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8A"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F20646"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3.8</w:t>
      </w:r>
      <w:proofErr w:type="gramStart"/>
      <w:r w:rsidRPr="00123724">
        <w:rPr>
          <w:rFonts w:ascii="Times New Roman" w:hAnsi="Times New Roman" w:cs="Times New Roman"/>
          <w:b/>
          <w:sz w:val="24"/>
          <w:szCs w:val="24"/>
        </w:rPr>
        <w:t xml:space="preserve"> О</w:t>
      </w:r>
      <w:proofErr w:type="gramEnd"/>
      <w:r w:rsidRPr="00123724">
        <w:rPr>
          <w:rFonts w:ascii="Times New Roman" w:hAnsi="Times New Roman" w:cs="Times New Roman"/>
          <w:b/>
          <w:sz w:val="24"/>
          <w:szCs w:val="24"/>
        </w:rPr>
        <w:t>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p w:rsidR="00F20646"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3.8.1 Охват основными медико-санитарными услугами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w:t>
      </w:r>
      <w:proofErr w:type="gramStart"/>
      <w:r w:rsidRPr="00123724">
        <w:rPr>
          <w:rFonts w:ascii="Times New Roman" w:hAnsi="Times New Roman" w:cs="Times New Roman"/>
          <w:b/>
          <w:sz w:val="24"/>
          <w:szCs w:val="24"/>
        </w:rPr>
        <w:t>масштабы</w:t>
      </w:r>
      <w:proofErr w:type="gramEnd"/>
      <w:r w:rsidRPr="00123724">
        <w:rPr>
          <w:rFonts w:ascii="Times New Roman" w:hAnsi="Times New Roman" w:cs="Times New Roman"/>
          <w:b/>
          <w:sz w:val="24"/>
          <w:szCs w:val="24"/>
        </w:rPr>
        <w:t xml:space="preserve"> и доступность услуг для широких слоев населения и для находящихся в наиболее неблагоприятном положении групп населения)</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Институциональная информация</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Организация: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Всемирная организация здравоохранения (ВОЗ) </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Понятия и определения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Определение: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Охват основных медицинских услуг (определяемый как средний охват основных служб, основанный на вмешательствах, которые включают в себя репродуктивное, материнское, новорожденное и детское здоровье, инфекционные заболевания, неинфекционные заболевания и возможности и доступность услуг среди населения в целом и наиболее обездоленных).</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Показатель представляет собой индекс, </w:t>
      </w:r>
      <w:r w:rsidR="00397587" w:rsidRPr="00123724">
        <w:rPr>
          <w:rFonts w:ascii="Times New Roman" w:hAnsi="Times New Roman" w:cs="Times New Roman"/>
          <w:sz w:val="24"/>
          <w:szCs w:val="24"/>
        </w:rPr>
        <w:t>отображаемый</w:t>
      </w:r>
      <w:r w:rsidRPr="00123724">
        <w:rPr>
          <w:rFonts w:ascii="Times New Roman" w:hAnsi="Times New Roman" w:cs="Times New Roman"/>
          <w:sz w:val="24"/>
          <w:szCs w:val="24"/>
        </w:rPr>
        <w:t xml:space="preserve"> на единичной шкале от 0 до 100, которая вычисляется как среднее геометрическое из 14 показателей индикатора охвата услугами здравоохранения.</w:t>
      </w:r>
    </w:p>
    <w:p w:rsidR="00397587" w:rsidRPr="00123724" w:rsidRDefault="00397587"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Обоснование: </w:t>
      </w:r>
    </w:p>
    <w:p w:rsidR="00397587" w:rsidRPr="00E42DF2" w:rsidRDefault="00397587"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Целевая задача 3.8 определяется как «Обеспечение всеобщего </w:t>
      </w:r>
      <w:r w:rsidR="007B19FD" w:rsidRPr="00123724">
        <w:rPr>
          <w:rFonts w:ascii="Times New Roman" w:hAnsi="Times New Roman" w:cs="Times New Roman"/>
          <w:sz w:val="24"/>
          <w:szCs w:val="24"/>
        </w:rPr>
        <w:t>охвата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r w:rsidRPr="00123724">
        <w:rPr>
          <w:rFonts w:ascii="Times New Roman" w:hAnsi="Times New Roman" w:cs="Times New Roman"/>
          <w:sz w:val="24"/>
          <w:szCs w:val="24"/>
        </w:rPr>
        <w:t>»</w:t>
      </w:r>
      <w:proofErr w:type="gramStart"/>
      <w:r w:rsidRPr="00123724">
        <w:rPr>
          <w:rFonts w:ascii="Times New Roman" w:hAnsi="Times New Roman" w:cs="Times New Roman"/>
          <w:sz w:val="24"/>
          <w:szCs w:val="24"/>
        </w:rPr>
        <w:t>.</w:t>
      </w:r>
      <w:r w:rsidR="007B19FD" w:rsidRPr="00123724">
        <w:rPr>
          <w:rFonts w:ascii="Times New Roman" w:hAnsi="Times New Roman" w:cs="Times New Roman"/>
          <w:sz w:val="24"/>
          <w:szCs w:val="24"/>
        </w:rPr>
        <w:t>Р</w:t>
      </w:r>
      <w:proofErr w:type="gramEnd"/>
      <w:r w:rsidR="007B19FD" w:rsidRPr="00123724">
        <w:rPr>
          <w:rFonts w:ascii="Times New Roman" w:hAnsi="Times New Roman" w:cs="Times New Roman"/>
          <w:sz w:val="24"/>
          <w:szCs w:val="24"/>
        </w:rPr>
        <w:t>ечь идет о том, что в</w:t>
      </w:r>
      <w:r w:rsidRPr="00123724">
        <w:rPr>
          <w:rFonts w:ascii="Times New Roman" w:hAnsi="Times New Roman" w:cs="Times New Roman"/>
          <w:sz w:val="24"/>
          <w:szCs w:val="24"/>
        </w:rPr>
        <w:t>ызыва</w:t>
      </w:r>
      <w:r w:rsidR="007B19FD" w:rsidRPr="00123724">
        <w:rPr>
          <w:rFonts w:ascii="Times New Roman" w:hAnsi="Times New Roman" w:cs="Times New Roman"/>
          <w:sz w:val="24"/>
          <w:szCs w:val="24"/>
        </w:rPr>
        <w:t>е</w:t>
      </w:r>
      <w:r w:rsidRPr="00123724">
        <w:rPr>
          <w:rFonts w:ascii="Times New Roman" w:hAnsi="Times New Roman" w:cs="Times New Roman"/>
          <w:sz w:val="24"/>
          <w:szCs w:val="24"/>
        </w:rPr>
        <w:t xml:space="preserve">т озабоченность </w:t>
      </w:r>
      <w:r w:rsidR="007B19FD" w:rsidRPr="00123724">
        <w:rPr>
          <w:rFonts w:ascii="Times New Roman" w:hAnsi="Times New Roman" w:cs="Times New Roman"/>
          <w:sz w:val="24"/>
          <w:szCs w:val="24"/>
        </w:rPr>
        <w:t xml:space="preserve">то, чтобы </w:t>
      </w:r>
      <w:r w:rsidRPr="00123724">
        <w:rPr>
          <w:rFonts w:ascii="Times New Roman" w:hAnsi="Times New Roman" w:cs="Times New Roman"/>
          <w:sz w:val="24"/>
          <w:szCs w:val="24"/>
        </w:rPr>
        <w:t>все люди и сообщества, которые получают качественные медицинские услуги, в которых они нуждаются (включая лекарства и другие продукты здравоохранения), без финансовых трудностей. Для мониторинга целево</w:t>
      </w:r>
      <w:r w:rsidR="007B19FD" w:rsidRPr="00123724">
        <w:rPr>
          <w:rFonts w:ascii="Times New Roman" w:hAnsi="Times New Roman" w:cs="Times New Roman"/>
          <w:sz w:val="24"/>
          <w:szCs w:val="24"/>
        </w:rPr>
        <w:t xml:space="preserve">йзадачи </w:t>
      </w:r>
      <w:r w:rsidRPr="00123724">
        <w:rPr>
          <w:rFonts w:ascii="Times New Roman" w:hAnsi="Times New Roman" w:cs="Times New Roman"/>
          <w:sz w:val="24"/>
          <w:szCs w:val="24"/>
        </w:rPr>
        <w:t>3</w:t>
      </w:r>
      <w:r w:rsidR="007B19FD" w:rsidRPr="00123724">
        <w:rPr>
          <w:rFonts w:ascii="Times New Roman" w:hAnsi="Times New Roman" w:cs="Times New Roman"/>
          <w:sz w:val="24"/>
          <w:szCs w:val="24"/>
        </w:rPr>
        <w:t>.</w:t>
      </w:r>
      <w:r w:rsidRPr="00123724">
        <w:rPr>
          <w:rFonts w:ascii="Times New Roman" w:hAnsi="Times New Roman" w:cs="Times New Roman"/>
          <w:sz w:val="24"/>
          <w:szCs w:val="24"/>
        </w:rPr>
        <w:t xml:space="preserve">8 в рамках ЦУР были выбраны два показателя. Показатель 3.8.1 предназначен для охвата медицинских услуг, а в </w:t>
      </w:r>
      <w:r w:rsidR="007B19FD" w:rsidRPr="00123724">
        <w:rPr>
          <w:rFonts w:ascii="Times New Roman" w:hAnsi="Times New Roman" w:cs="Times New Roman"/>
          <w:sz w:val="24"/>
          <w:szCs w:val="24"/>
        </w:rPr>
        <w:t>показателе</w:t>
      </w:r>
      <w:r w:rsidRPr="00123724">
        <w:rPr>
          <w:rFonts w:ascii="Times New Roman" w:hAnsi="Times New Roman" w:cs="Times New Roman"/>
          <w:sz w:val="24"/>
          <w:szCs w:val="24"/>
        </w:rPr>
        <w:t xml:space="preserve"> 3.8.2 основное внимание уделяется расходам на здравоохранение в связи с бюджетом домашних хозяйств с целью выявления финансовых трудностей, вызванных прямыми платежами в области здравоохранения. В совокупности показатели 3.8.1 и 3.8.2 предназначены для охвата и размеров финансовой защиты, соответственно, целево</w:t>
      </w:r>
      <w:r w:rsidR="001921F6" w:rsidRPr="00123724">
        <w:rPr>
          <w:rFonts w:ascii="Times New Roman" w:hAnsi="Times New Roman" w:cs="Times New Roman"/>
          <w:sz w:val="24"/>
          <w:szCs w:val="24"/>
        </w:rPr>
        <w:t xml:space="preserve">йзадачи </w:t>
      </w:r>
      <w:r w:rsidRPr="00123724">
        <w:rPr>
          <w:rFonts w:ascii="Times New Roman" w:hAnsi="Times New Roman" w:cs="Times New Roman"/>
          <w:sz w:val="24"/>
          <w:szCs w:val="24"/>
        </w:rPr>
        <w:t>3.8. Эти два показателя должны всегда контролироваться совместно.</w:t>
      </w:r>
    </w:p>
    <w:p w:rsidR="00601E40" w:rsidRPr="00123724" w:rsidRDefault="00601E40"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Страны предоставляют множество основных услуг для охраны здоровья, поощрения, профилактики, лечения и ухода. Показатели охвата услугами, определяемые как люди, получающие необходимую им услугу, являются наилучшим способом отслеживания прогресса в предоставлении услуг в рамках универсального медицинского обслуживания (</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 xml:space="preserve">). Поскольку для мониторинга </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 xml:space="preserve"> недостаточно одного индикатора службы здравоохранения, индекс создается из 14 индикаторов показателя, выбранных на основе эпидемиологических и статистических критериев. Это включает в себя несколько показателей, которые уже включены в другие целевые показатели ЦУР, тем самым сводя к минимуму сбор данных и отчетность. Индекс указывается на единичной шкале от 0 до 100, при этом 100 является оптимальным значением.</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Понятия:</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Индекс охвата услугами здравоохранения рассчитывается как среднее геометрическое из 14 индикаторов показателя. Ниже перечислены 14 индикаторов, и подробные метаданные для каждого из компонентов приведены в Интернете (</w:t>
      </w:r>
      <w:hyperlink r:id="rId6" w:history="1">
        <w:r w:rsidRPr="00123724">
          <w:rPr>
            <w:rStyle w:val="a3"/>
            <w:rFonts w:ascii="Times New Roman" w:hAnsi="Times New Roman" w:cs="Times New Roman"/>
            <w:sz w:val="24"/>
            <w:szCs w:val="24"/>
          </w:rPr>
          <w:t>http://www.who.int/healthinfo/universal_health_coverage/UHC_Tracer_Indicators_Metadata.pdf</w:t>
        </w:r>
      </w:hyperlink>
      <w:r w:rsidRPr="00123724">
        <w:rPr>
          <w:rFonts w:ascii="Times New Roman" w:hAnsi="Times New Roman" w:cs="Times New Roman"/>
          <w:sz w:val="24"/>
          <w:szCs w:val="24"/>
        </w:rPr>
        <w:t>) и Приложение 1. Индикаторы показателя следующие, организованные четырьмя широкими категориями обслуживания:</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I. Репродуктивное здоровье матерей, новорожденных и детей</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 </w:t>
      </w:r>
      <w:r w:rsidRPr="00123724">
        <w:rPr>
          <w:rFonts w:ascii="Times New Roman" w:hAnsi="Times New Roman" w:cs="Times New Roman"/>
          <w:sz w:val="24"/>
          <w:szCs w:val="24"/>
          <w:u w:val="single"/>
        </w:rPr>
        <w:t>Планирование семьи:</w:t>
      </w:r>
      <w:r w:rsidRPr="00123724">
        <w:rPr>
          <w:rFonts w:ascii="Times New Roman" w:hAnsi="Times New Roman" w:cs="Times New Roman"/>
          <w:sz w:val="24"/>
          <w:szCs w:val="24"/>
        </w:rPr>
        <w:t xml:space="preserve"> Процент женщин репродуктивного возраста (15-49 лет), которые состоят в браке или в одиноки, которые нуждаются в планировании семьи, устраиваются современными методами (показатель 3.7.1 ЦУР, метаданные, доступные </w:t>
      </w:r>
      <w:hyperlink r:id="rId7"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2. </w:t>
      </w:r>
      <w:r w:rsidRPr="00123724">
        <w:rPr>
          <w:rFonts w:ascii="Times New Roman" w:hAnsi="Times New Roman" w:cs="Times New Roman"/>
          <w:sz w:val="24"/>
          <w:szCs w:val="24"/>
          <w:u w:val="single"/>
        </w:rPr>
        <w:t>Беременность и родовспоможение</w:t>
      </w:r>
      <w:r w:rsidRPr="00123724">
        <w:rPr>
          <w:rFonts w:ascii="Times New Roman" w:hAnsi="Times New Roman" w:cs="Times New Roman"/>
          <w:sz w:val="24"/>
          <w:szCs w:val="24"/>
        </w:rPr>
        <w:t>: Процент женщин в возрасте 15-49 лет с живорождением в определенный период времени, который получал дородовой уход четыре или более раз</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3. </w:t>
      </w:r>
      <w:r w:rsidRPr="00123724">
        <w:rPr>
          <w:rFonts w:ascii="Times New Roman" w:hAnsi="Times New Roman" w:cs="Times New Roman"/>
          <w:sz w:val="24"/>
          <w:szCs w:val="24"/>
          <w:u w:val="single"/>
        </w:rPr>
        <w:t>Иммунизация детей</w:t>
      </w:r>
      <w:r w:rsidRPr="00123724">
        <w:rPr>
          <w:rFonts w:ascii="Times New Roman" w:hAnsi="Times New Roman" w:cs="Times New Roman"/>
          <w:sz w:val="24"/>
          <w:szCs w:val="24"/>
        </w:rPr>
        <w:t>: Процент младенцев, получающих три дозы вакцины против дифтерии-столбняка-коклюша</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4. </w:t>
      </w:r>
      <w:r w:rsidRPr="00123724">
        <w:rPr>
          <w:rFonts w:ascii="Times New Roman" w:hAnsi="Times New Roman" w:cs="Times New Roman"/>
          <w:sz w:val="24"/>
          <w:szCs w:val="24"/>
          <w:u w:val="single"/>
        </w:rPr>
        <w:t>Лечение детей</w:t>
      </w:r>
      <w:r w:rsidRPr="00123724">
        <w:rPr>
          <w:rFonts w:ascii="Times New Roman" w:hAnsi="Times New Roman" w:cs="Times New Roman"/>
          <w:sz w:val="24"/>
          <w:szCs w:val="24"/>
        </w:rPr>
        <w:t>: Процент детей в возрасте до 5 лет с подозрением на пневмонию (кашель и затрудненное дыхание НЕ из-за проблемы в грудной клетке и заблокированном носу) в течение двух недель, предшествовавших обследованию, полученному в соответствующем медицинском учреждении или от лица, оказывающего медицинские услуги</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II. Инфекционные заболевания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5. </w:t>
      </w:r>
      <w:r w:rsidRPr="00123724">
        <w:rPr>
          <w:rFonts w:ascii="Times New Roman" w:hAnsi="Times New Roman" w:cs="Times New Roman"/>
          <w:sz w:val="24"/>
          <w:szCs w:val="24"/>
          <w:u w:val="single"/>
        </w:rPr>
        <w:t>Туберкулез</w:t>
      </w:r>
      <w:r w:rsidRPr="00123724">
        <w:rPr>
          <w:rFonts w:ascii="Times New Roman" w:hAnsi="Times New Roman" w:cs="Times New Roman"/>
          <w:sz w:val="24"/>
          <w:szCs w:val="24"/>
        </w:rPr>
        <w:t>: Процент случаев заболевания ТБ, которые обнаруживаются и успешно лечатся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6. </w:t>
      </w:r>
      <w:r w:rsidRPr="00123724">
        <w:rPr>
          <w:rFonts w:ascii="Times New Roman" w:hAnsi="Times New Roman" w:cs="Times New Roman"/>
          <w:sz w:val="24"/>
          <w:szCs w:val="24"/>
          <w:u w:val="single"/>
        </w:rPr>
        <w:t>ВИЧ/СПИД:</w:t>
      </w:r>
      <w:r w:rsidRPr="00123724">
        <w:rPr>
          <w:rFonts w:ascii="Times New Roman" w:hAnsi="Times New Roman" w:cs="Times New Roman"/>
          <w:sz w:val="24"/>
          <w:szCs w:val="24"/>
        </w:rPr>
        <w:t xml:space="preserve"> Процент людей, живущих с ВИЧ, в настоящее время получающих антиретровирусную терапию</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7. </w:t>
      </w:r>
      <w:r w:rsidRPr="00123724">
        <w:rPr>
          <w:rFonts w:ascii="Times New Roman" w:hAnsi="Times New Roman" w:cs="Times New Roman"/>
          <w:sz w:val="24"/>
          <w:szCs w:val="24"/>
          <w:u w:val="single"/>
        </w:rPr>
        <w:t>Малярия</w:t>
      </w:r>
      <w:r w:rsidRPr="00123724">
        <w:rPr>
          <w:rFonts w:ascii="Times New Roman" w:hAnsi="Times New Roman" w:cs="Times New Roman"/>
          <w:sz w:val="24"/>
          <w:szCs w:val="24"/>
        </w:rPr>
        <w:t>: Процент населения в районах, эндемичных по малярии, которые спали в сетях, обработанных инсектицидами прошлой ночью [только для стран с высоким уровнем малярии]</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8. </w:t>
      </w:r>
      <w:r w:rsidRPr="00123724">
        <w:rPr>
          <w:rFonts w:ascii="Times New Roman" w:hAnsi="Times New Roman" w:cs="Times New Roman"/>
          <w:sz w:val="24"/>
          <w:szCs w:val="24"/>
          <w:u w:val="single"/>
        </w:rPr>
        <w:t>Водоснабжение и санитария</w:t>
      </w:r>
      <w:r w:rsidRPr="00123724">
        <w:rPr>
          <w:rFonts w:ascii="Times New Roman" w:hAnsi="Times New Roman" w:cs="Times New Roman"/>
          <w:sz w:val="24"/>
          <w:szCs w:val="24"/>
        </w:rPr>
        <w:t>: процент домохозяйств, использующих улучшенные санитарные условия</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III. Незаразная болезнь</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9. </w:t>
      </w:r>
      <w:r w:rsidRPr="00123724">
        <w:rPr>
          <w:rFonts w:ascii="Times New Roman" w:hAnsi="Times New Roman" w:cs="Times New Roman"/>
          <w:sz w:val="24"/>
          <w:szCs w:val="24"/>
          <w:u w:val="single"/>
        </w:rPr>
        <w:t>Гипертония</w:t>
      </w:r>
      <w:r w:rsidRPr="00123724">
        <w:rPr>
          <w:rFonts w:ascii="Times New Roman" w:hAnsi="Times New Roman" w:cs="Times New Roman"/>
          <w:sz w:val="24"/>
          <w:szCs w:val="24"/>
        </w:rPr>
        <w:t xml:space="preserve">: стандартизированная по возрасту распространенность не повышенного кровяного давления (систолическое артериальное давление &lt;140 мм </w:t>
      </w:r>
      <w:proofErr w:type="spellStart"/>
      <w:r w:rsidRPr="00123724">
        <w:rPr>
          <w:rFonts w:ascii="Times New Roman" w:hAnsi="Times New Roman" w:cs="Times New Roman"/>
          <w:sz w:val="24"/>
          <w:szCs w:val="24"/>
        </w:rPr>
        <w:t>рт.ст</w:t>
      </w:r>
      <w:proofErr w:type="spellEnd"/>
      <w:r w:rsidRPr="00123724">
        <w:rPr>
          <w:rFonts w:ascii="Times New Roman" w:hAnsi="Times New Roman" w:cs="Times New Roman"/>
          <w:sz w:val="24"/>
          <w:szCs w:val="24"/>
        </w:rPr>
        <w:t xml:space="preserve">. или диастолическое артериальное давление &lt;90 мм </w:t>
      </w:r>
      <w:proofErr w:type="spellStart"/>
      <w:r w:rsidRPr="00123724">
        <w:rPr>
          <w:rFonts w:ascii="Times New Roman" w:hAnsi="Times New Roman" w:cs="Times New Roman"/>
          <w:sz w:val="24"/>
          <w:szCs w:val="24"/>
        </w:rPr>
        <w:t>рт.ст</w:t>
      </w:r>
      <w:proofErr w:type="spellEnd"/>
      <w:r w:rsidRPr="00123724">
        <w:rPr>
          <w:rFonts w:ascii="Times New Roman" w:hAnsi="Times New Roman" w:cs="Times New Roman"/>
          <w:sz w:val="24"/>
          <w:szCs w:val="24"/>
        </w:rPr>
        <w:t>.) Среди взрослых в возрасте от 18 лет и старше</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10. </w:t>
      </w:r>
      <w:r w:rsidRPr="00123724">
        <w:rPr>
          <w:rFonts w:ascii="Times New Roman" w:hAnsi="Times New Roman" w:cs="Times New Roman"/>
          <w:sz w:val="24"/>
          <w:szCs w:val="24"/>
          <w:u w:val="single"/>
        </w:rPr>
        <w:t>Диабет</w:t>
      </w:r>
      <w:r w:rsidRPr="00123724">
        <w:rPr>
          <w:rFonts w:ascii="Times New Roman" w:hAnsi="Times New Roman" w:cs="Times New Roman"/>
          <w:sz w:val="24"/>
          <w:szCs w:val="24"/>
        </w:rPr>
        <w:t>: стандартизованная по времени средняя глюкоза в плазме натощак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/л) для взрослых в возрасте от 25 лет и старше</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11. </w:t>
      </w:r>
      <w:r w:rsidRPr="00123724">
        <w:rPr>
          <w:rFonts w:ascii="Times New Roman" w:hAnsi="Times New Roman" w:cs="Times New Roman"/>
          <w:sz w:val="24"/>
          <w:szCs w:val="24"/>
          <w:u w:val="single"/>
        </w:rPr>
        <w:t>Табак</w:t>
      </w:r>
      <w:r w:rsidRPr="00123724">
        <w:rPr>
          <w:rFonts w:ascii="Times New Roman" w:hAnsi="Times New Roman" w:cs="Times New Roman"/>
          <w:sz w:val="24"/>
          <w:szCs w:val="24"/>
        </w:rPr>
        <w:t xml:space="preserve">: стандартизированная по возрасту распространенность взрослых&gt; = 15 лет, не курящий табак за последние 30 дней (показатель ЦУР 3.a.1, метаданные, доступные </w:t>
      </w:r>
      <w:hyperlink r:id="rId8"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V. Грузоподъемность и доступность</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12. </w:t>
      </w:r>
      <w:r w:rsidRPr="00123724">
        <w:rPr>
          <w:rFonts w:ascii="Times New Roman" w:hAnsi="Times New Roman" w:cs="Times New Roman"/>
          <w:sz w:val="24"/>
          <w:szCs w:val="24"/>
          <w:u w:val="single"/>
        </w:rPr>
        <w:t>Доступ в больницу</w:t>
      </w:r>
      <w:r w:rsidRPr="00123724">
        <w:rPr>
          <w:rFonts w:ascii="Times New Roman" w:hAnsi="Times New Roman" w:cs="Times New Roman"/>
          <w:sz w:val="24"/>
          <w:szCs w:val="24"/>
        </w:rPr>
        <w:t>: больничные койки на душу населения, относительно максимального порога 18 на 10 000 населения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13. </w:t>
      </w:r>
      <w:r w:rsidRPr="00123724">
        <w:rPr>
          <w:rFonts w:ascii="Times New Roman" w:hAnsi="Times New Roman" w:cs="Times New Roman"/>
          <w:sz w:val="24"/>
          <w:szCs w:val="24"/>
          <w:u w:val="single"/>
        </w:rPr>
        <w:t>Кадровые ресурсы здравоохранения</w:t>
      </w:r>
      <w:r w:rsidRPr="00123724">
        <w:rPr>
          <w:rFonts w:ascii="Times New Roman" w:hAnsi="Times New Roman" w:cs="Times New Roman"/>
          <w:sz w:val="24"/>
          <w:szCs w:val="24"/>
        </w:rPr>
        <w:t>: профессионалы здравоохранения (врачи, психиатры и хирурги) на душу населения по отношению к максимальным пороговым значениям для каждого кадра (</w:t>
      </w:r>
      <w:r w:rsidR="00EE4401" w:rsidRPr="00123724">
        <w:rPr>
          <w:rFonts w:ascii="Times New Roman" w:hAnsi="Times New Roman" w:cs="Times New Roman"/>
          <w:sz w:val="24"/>
          <w:szCs w:val="24"/>
        </w:rPr>
        <w:t xml:space="preserve">часть показателя ЦУР 3.c.1 см. в </w:t>
      </w:r>
      <w:r w:rsidRPr="00123724">
        <w:rPr>
          <w:rFonts w:ascii="Times New Roman" w:hAnsi="Times New Roman" w:cs="Times New Roman"/>
          <w:sz w:val="24"/>
          <w:szCs w:val="24"/>
        </w:rPr>
        <w:t>метаданных</w:t>
      </w:r>
      <w:hyperlink r:id="rId9" w:history="1">
        <w:r w:rsidR="00EE4401"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14. </w:t>
      </w:r>
      <w:r w:rsidRPr="00123724">
        <w:rPr>
          <w:rFonts w:ascii="Times New Roman" w:hAnsi="Times New Roman" w:cs="Times New Roman"/>
          <w:sz w:val="24"/>
          <w:szCs w:val="24"/>
          <w:u w:val="single"/>
        </w:rPr>
        <w:t>Здравоохранение:</w:t>
      </w:r>
      <w:r w:rsidRPr="00123724">
        <w:rPr>
          <w:rFonts w:ascii="Times New Roman" w:hAnsi="Times New Roman" w:cs="Times New Roman"/>
          <w:sz w:val="24"/>
          <w:szCs w:val="24"/>
        </w:rPr>
        <w:t xml:space="preserve"> индекс основных мощностей Международных медико-санитарных правил (ММСП), который представляет собой средний процент атрибутов из 13 основных мощностей, которые были достигнуты (</w:t>
      </w:r>
      <w:r w:rsidR="00EE4401" w:rsidRPr="00123724">
        <w:rPr>
          <w:rFonts w:ascii="Times New Roman" w:hAnsi="Times New Roman" w:cs="Times New Roman"/>
          <w:sz w:val="24"/>
          <w:szCs w:val="24"/>
        </w:rPr>
        <w:t>показатель ЦУР</w:t>
      </w:r>
      <w:r w:rsidRPr="00123724">
        <w:rPr>
          <w:rFonts w:ascii="Times New Roman" w:hAnsi="Times New Roman" w:cs="Times New Roman"/>
          <w:sz w:val="24"/>
          <w:szCs w:val="24"/>
        </w:rPr>
        <w:t xml:space="preserve"> 3.d.1, см. метаданные</w:t>
      </w:r>
      <w:hyperlink r:id="rId10" w:history="1">
        <w:r w:rsidR="00EE4401"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EE4401" w:rsidRPr="00123724" w:rsidRDefault="00EE4401" w:rsidP="00123724">
      <w:pPr>
        <w:jc w:val="both"/>
        <w:rPr>
          <w:rFonts w:ascii="Times New Roman" w:hAnsi="Times New Roman" w:cs="Times New Roman"/>
          <w:b/>
          <w:sz w:val="24"/>
          <w:szCs w:val="24"/>
        </w:rPr>
      </w:pPr>
      <w:r w:rsidRPr="00123724">
        <w:rPr>
          <w:rFonts w:ascii="Times New Roman" w:hAnsi="Times New Roman" w:cs="Times New Roman"/>
          <w:b/>
          <w:sz w:val="24"/>
          <w:szCs w:val="24"/>
        </w:rPr>
        <w:t>Комментарии и ограничения:</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Эти индикаторы показателя должны указывать на охват услугами, а не полный или исчерпывающий перечень медицинских услуг и вмешательств, необходимых для обеспечения всеобщего медицинского обслуживания. 14 индикаторов показателей были отобраны, потому что они хорошо известны, а имеющиеся данные широко представлены странами (или ожидается, что они станут </w:t>
      </w:r>
      <w:proofErr w:type="gramStart"/>
      <w:r w:rsidRPr="00123724">
        <w:rPr>
          <w:rFonts w:ascii="Times New Roman" w:hAnsi="Times New Roman" w:cs="Times New Roman"/>
          <w:sz w:val="24"/>
          <w:szCs w:val="24"/>
        </w:rPr>
        <w:t>широко доступными</w:t>
      </w:r>
      <w:proofErr w:type="gramEnd"/>
      <w:r w:rsidRPr="00123724">
        <w:rPr>
          <w:rFonts w:ascii="Times New Roman" w:hAnsi="Times New Roman" w:cs="Times New Roman"/>
          <w:sz w:val="24"/>
          <w:szCs w:val="24"/>
        </w:rPr>
        <w:t xml:space="preserve"> в ближайшее время). Таким образом, индекс может быть рассчитан с использованием существующих источников данных и не требует инициирования новых усилий по сбору данных исключительно для информирования индекса.</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Ожидается, что в будущем годы будут использоваться соответствующие показатели ЦУР вместо некоторых индикаторов текущего показателя (они приведены </w:t>
      </w:r>
      <w:hyperlink r:id="rId11"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Также ожидается, что показатели по скринингу рака шейки матки и основным лекарственным средствам будут включены в расчет индекса после их появления (Приложение 2). Сроки этих изменений будут зависеть от того, когда сопоставимые значения для этих показателей станут доступными для большинства стран, и последуют за консультацией со всеми государствами-членами ВОЗ, </w:t>
      </w:r>
      <w:proofErr w:type="gramStart"/>
      <w:r w:rsidRPr="00123724">
        <w:rPr>
          <w:rFonts w:ascii="Times New Roman" w:hAnsi="Times New Roman" w:cs="Times New Roman"/>
          <w:sz w:val="24"/>
          <w:szCs w:val="24"/>
        </w:rPr>
        <w:t>включая назначенные координаторы НСУ, и</w:t>
      </w:r>
      <w:proofErr w:type="gramEnd"/>
      <w:r w:rsidRPr="00123724">
        <w:rPr>
          <w:rFonts w:ascii="Times New Roman" w:hAnsi="Times New Roman" w:cs="Times New Roman"/>
          <w:sz w:val="24"/>
          <w:szCs w:val="24"/>
        </w:rPr>
        <w:t xml:space="preserve"> одобрение МЭГ-ЦУР.</w:t>
      </w:r>
    </w:p>
    <w:p w:rsidR="00EE4401" w:rsidRPr="00123724" w:rsidRDefault="00EE4401" w:rsidP="00123724">
      <w:pPr>
        <w:jc w:val="both"/>
        <w:rPr>
          <w:rFonts w:ascii="Times New Roman" w:hAnsi="Times New Roman" w:cs="Times New Roman"/>
          <w:b/>
          <w:sz w:val="24"/>
          <w:szCs w:val="24"/>
        </w:rPr>
      </w:pPr>
      <w:r w:rsidRPr="00123724">
        <w:rPr>
          <w:rFonts w:ascii="Times New Roman" w:hAnsi="Times New Roman" w:cs="Times New Roman"/>
          <w:b/>
          <w:sz w:val="24"/>
          <w:szCs w:val="24"/>
        </w:rPr>
        <w:t>Методология</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Метод вычисления: </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Индекс рассчитывается с помощью среднего геометрического, основанного на методах, используемых для Индекса развития человеческого потенциала. Для расчета показателя 3.8.1 необходимо сначала подготовить 14 индикаторов показателя, чтобы их можно было объединить в индекс, а затем вычислить индекс из этих значений.</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14 индикаторов показателя сначала помещаются в один и тот же масштаб, причем 0 является самым низким значением, а 100 - оптимальным. Для большинства показателей эта шкала является естественной шкалой измерения, например, процент младенцев, которые были иммунизированы, колеблется от 0 до 100 процентов. Однако для нескольких индикаторов требуется дополнительное масштабирование для получения соответствующих значений от 0 до 100, а именно:</w:t>
      </w:r>
    </w:p>
    <w:p w:rsidR="00EE4401" w:rsidRPr="00123724" w:rsidRDefault="00EE4401"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 xml:space="preserve">Повторное масштабирование на основе ненулевого минимума для получения более </w:t>
      </w:r>
      <w:r w:rsidR="000D79A8" w:rsidRPr="00123724">
        <w:rPr>
          <w:rFonts w:ascii="Times New Roman" w:hAnsi="Times New Roman" w:cs="Times New Roman"/>
          <w:sz w:val="24"/>
          <w:szCs w:val="24"/>
        </w:rPr>
        <w:t>высокого</w:t>
      </w:r>
      <w:r w:rsidRPr="00123724">
        <w:rPr>
          <w:rFonts w:ascii="Times New Roman" w:hAnsi="Times New Roman" w:cs="Times New Roman"/>
          <w:sz w:val="24"/>
          <w:szCs w:val="24"/>
        </w:rPr>
        <w:t xml:space="preserve"> разрешения (это «растягивает» распределение по странам): распространенность не поднятого кровяного давления и распространенность не употребления табака обе масштабируются с минимальным значением 50%.</w:t>
      </w:r>
    </w:p>
    <w:p w:rsidR="00EE4401" w:rsidRPr="00123724" w:rsidRDefault="000D79A8" w:rsidP="00123724">
      <w:pPr>
        <w:pStyle w:val="a4"/>
        <w:jc w:val="both"/>
        <w:rPr>
          <w:rFonts w:ascii="Times New Roman" w:hAnsi="Times New Roman" w:cs="Times New Roman"/>
          <w:sz w:val="24"/>
          <w:szCs w:val="24"/>
        </w:rPr>
      </w:pPr>
      <w:r w:rsidRPr="00123724">
        <w:rPr>
          <w:rFonts w:ascii="Times New Roman" w:hAnsi="Times New Roman" w:cs="Times New Roman"/>
          <w:sz w:val="24"/>
          <w:szCs w:val="24"/>
        </w:rPr>
        <w:t>пересчитанное</w:t>
      </w:r>
      <w:r w:rsidR="00EE4401" w:rsidRPr="00123724">
        <w:rPr>
          <w:rFonts w:ascii="Times New Roman" w:hAnsi="Times New Roman" w:cs="Times New Roman"/>
          <w:sz w:val="24"/>
          <w:szCs w:val="24"/>
        </w:rPr>
        <w:t xml:space="preserve"> значение = (X-50) / (100-50) * 100</w:t>
      </w:r>
    </w:p>
    <w:p w:rsidR="000D79A8" w:rsidRPr="00123724" w:rsidRDefault="000D79A8"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 xml:space="preserve">Масштабирование для непрерывной меры: средняя глюкоза в плазме натощак, которая является непрерывной мерой (единицы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 xml:space="preserve">/л), преобразуется в шкалу от 0 до 100 с использованием минимального теоретического биологического риска (5,1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 xml:space="preserve">/л) и наблюдаемого максимума в разных странах (7,1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/л).</w:t>
      </w:r>
    </w:p>
    <w:p w:rsidR="000D79A8" w:rsidRPr="00123724" w:rsidRDefault="000D79A8" w:rsidP="00123724">
      <w:pPr>
        <w:pStyle w:val="a4"/>
        <w:jc w:val="both"/>
        <w:rPr>
          <w:rFonts w:ascii="Times New Roman" w:hAnsi="Times New Roman" w:cs="Times New Roman"/>
          <w:sz w:val="24"/>
          <w:szCs w:val="24"/>
        </w:rPr>
      </w:pPr>
      <w:r w:rsidRPr="00123724">
        <w:rPr>
          <w:rFonts w:ascii="Times New Roman" w:hAnsi="Times New Roman" w:cs="Times New Roman"/>
          <w:sz w:val="24"/>
          <w:szCs w:val="24"/>
        </w:rPr>
        <w:t>пересчитанное значение = (7.1 - измененное значение)/(7.1-5.1)*100</w:t>
      </w:r>
      <w:r w:rsidRPr="00123724">
        <w:rPr>
          <w:rFonts w:ascii="Times New Roman" w:hAnsi="Times New Roman" w:cs="Times New Roman"/>
          <w:sz w:val="24"/>
          <w:szCs w:val="24"/>
        </w:rPr>
        <w:cr/>
      </w:r>
    </w:p>
    <w:p w:rsidR="000D79A8" w:rsidRPr="00123724" w:rsidRDefault="000D79A8"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Максимальные пороговые значения для показателей скорости: плотность больничной койки и плотность рабочей силы здравоохранения ограничены максимальными порогами, а значения выше этого порога поддерживаются на уровне 100. Эти пороговые значения основаны на минимальных значениях, наблюдаемых в странах ОЭСР.</w:t>
      </w:r>
    </w:p>
    <w:p w:rsidR="0046686E" w:rsidRPr="00123724" w:rsidRDefault="0046686E" w:rsidP="00123724">
      <w:pPr>
        <w:spacing w:after="0"/>
        <w:ind w:left="1080"/>
        <w:jc w:val="both"/>
        <w:rPr>
          <w:rFonts w:ascii="Times New Roman" w:hAnsi="Times New Roman" w:cs="Times New Roman"/>
          <w:sz w:val="24"/>
          <w:szCs w:val="24"/>
        </w:rPr>
      </w:pPr>
      <w:r w:rsidRPr="00123724">
        <w:rPr>
          <w:rFonts w:ascii="Times New Roman" w:hAnsi="Times New Roman" w:cs="Times New Roman"/>
          <w:sz w:val="24"/>
          <w:szCs w:val="24"/>
        </w:rPr>
        <w:t>пересчитанные больничные койки на 10000 = минимум (100, исходное значение / 18 * 100)</w:t>
      </w:r>
    </w:p>
    <w:p w:rsidR="0046686E" w:rsidRPr="00123724" w:rsidRDefault="0046686E" w:rsidP="00123724">
      <w:pPr>
        <w:spacing w:after="0"/>
        <w:ind w:left="1080"/>
        <w:jc w:val="both"/>
        <w:rPr>
          <w:rFonts w:ascii="Times New Roman" w:hAnsi="Times New Roman" w:cs="Times New Roman"/>
          <w:sz w:val="24"/>
          <w:szCs w:val="24"/>
        </w:rPr>
      </w:pPr>
      <w:proofErr w:type="spellStart"/>
      <w:r w:rsidRPr="00123724">
        <w:rPr>
          <w:rFonts w:ascii="Times New Roman" w:hAnsi="Times New Roman" w:cs="Times New Roman"/>
          <w:sz w:val="24"/>
          <w:szCs w:val="24"/>
        </w:rPr>
        <w:t>перемасштабированные</w:t>
      </w:r>
      <w:proofErr w:type="spellEnd"/>
      <w:r w:rsidRPr="00123724">
        <w:rPr>
          <w:rFonts w:ascii="Times New Roman" w:hAnsi="Times New Roman" w:cs="Times New Roman"/>
          <w:sz w:val="24"/>
          <w:szCs w:val="24"/>
        </w:rPr>
        <w:t xml:space="preserve"> врачи на 1000 = минимум (100, исходное значение / 0,9 * 100)</w:t>
      </w:r>
    </w:p>
    <w:p w:rsidR="0046686E" w:rsidRPr="00123724" w:rsidRDefault="0046686E" w:rsidP="00123724">
      <w:pPr>
        <w:spacing w:after="0"/>
        <w:ind w:left="1080"/>
        <w:jc w:val="both"/>
        <w:rPr>
          <w:rFonts w:ascii="Times New Roman" w:hAnsi="Times New Roman" w:cs="Times New Roman"/>
          <w:sz w:val="24"/>
          <w:szCs w:val="24"/>
        </w:rPr>
      </w:pPr>
      <w:r w:rsidRPr="00123724">
        <w:rPr>
          <w:rFonts w:ascii="Times New Roman" w:hAnsi="Times New Roman" w:cs="Times New Roman"/>
          <w:sz w:val="24"/>
          <w:szCs w:val="24"/>
        </w:rPr>
        <w:t>измененные психиатры на 100 000 = минимум (100, исходное значение / 1 * 100)</w:t>
      </w:r>
    </w:p>
    <w:p w:rsidR="0046686E" w:rsidRPr="00E42DF2" w:rsidRDefault="0046686E" w:rsidP="00123724">
      <w:pPr>
        <w:ind w:left="1080"/>
        <w:jc w:val="both"/>
        <w:rPr>
          <w:rFonts w:ascii="Times New Roman" w:hAnsi="Times New Roman" w:cs="Times New Roman"/>
          <w:sz w:val="24"/>
          <w:szCs w:val="24"/>
        </w:rPr>
      </w:pPr>
      <w:proofErr w:type="spellStart"/>
      <w:r w:rsidRPr="00123724">
        <w:rPr>
          <w:rFonts w:ascii="Times New Roman" w:hAnsi="Times New Roman" w:cs="Times New Roman"/>
          <w:sz w:val="24"/>
          <w:szCs w:val="24"/>
        </w:rPr>
        <w:t>rescaled</w:t>
      </w:r>
      <w:proofErr w:type="spellEnd"/>
      <w:r w:rsidRPr="00123724">
        <w:rPr>
          <w:rFonts w:ascii="Times New Roman" w:hAnsi="Times New Roman" w:cs="Times New Roman"/>
          <w:sz w:val="24"/>
          <w:szCs w:val="24"/>
        </w:rPr>
        <w:t xml:space="preserve"> хирурги на 100 000 = минимум (100, исходное значение / 14 * 100)</w:t>
      </w:r>
    </w:p>
    <w:p w:rsidR="00DE0BC3" w:rsidRPr="00123724" w:rsidRDefault="0046686E" w:rsidP="00123724">
      <w:pPr>
        <w:jc w:val="both"/>
        <w:rPr>
          <w:rFonts w:ascii="Times New Roman" w:hAnsi="Times New Roman" w:cs="Times New Roman"/>
          <w:sz w:val="24"/>
          <w:szCs w:val="24"/>
        </w:rPr>
      </w:pPr>
      <w:r w:rsidRPr="00123724">
        <w:rPr>
          <w:rFonts w:ascii="Times New Roman" w:hAnsi="Times New Roman" w:cs="Times New Roman"/>
          <w:sz w:val="24"/>
          <w:szCs w:val="24"/>
        </w:rPr>
        <w:t>Когда все значения индикатора показателя находятся в масштабе от 0 до 100, геометрические средства вычисляются в каждой из четырех областей службы здравоохранения, а затем берутся геометрические значения этих четырех значений. Если значение индикатора показателя оказывается равным нулю, оно устанавливается равным 1 (из 100), прежде чем вычислять среднее геометрическое значение. На диаграмме показаны расчеты.</w:t>
      </w:r>
    </w:p>
    <w:p w:rsidR="00DE0BC3" w:rsidRPr="00123724" w:rsidRDefault="00DE0BC3" w:rsidP="00123724">
      <w:pPr>
        <w:jc w:val="both"/>
        <w:rPr>
          <w:rFonts w:ascii="Times New Roman" w:hAnsi="Times New Roman" w:cs="Times New Roman"/>
          <w:sz w:val="24"/>
          <w:szCs w:val="24"/>
        </w:rPr>
      </w:pPr>
      <w:r w:rsidRPr="00123724">
        <w:rPr>
          <w:rFonts w:ascii="Times New Roman" w:hAnsi="Times New Roman" w:cs="Times New Roman"/>
          <w:noProof/>
          <w:sz w:val="24"/>
          <w:szCs w:val="24"/>
          <w:lang w:eastAsia="ru-RU"/>
        </w:rPr>
        <w:lastRenderedPageBreak/>
        <w:drawing>
          <wp:inline distT="0" distB="0" distL="0" distR="0">
            <wp:extent cx="6381750" cy="6019800"/>
            <wp:effectExtent l="0" t="0" r="0" b="0"/>
            <wp:docPr id="24" name="Рисунок 24" descr="C:\Users\ca_BoykoT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_BoykoTE\Desktop\1.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67"/>
                    <a:stretch/>
                  </pic:blipFill>
                  <pic:spPr bwMode="auto">
                    <a:xfrm>
                      <a:off x="0" y="0"/>
                      <a:ext cx="6381750" cy="6019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686E" w:rsidRPr="00123724" w:rsidRDefault="00601E40" w:rsidP="00123724">
      <w:pPr>
        <w:jc w:val="both"/>
        <w:rPr>
          <w:rFonts w:ascii="Times New Roman" w:hAnsi="Times New Roman" w:cs="Times New Roman"/>
          <w:sz w:val="24"/>
          <w:szCs w:val="24"/>
        </w:rPr>
      </w:pPr>
      <w:r w:rsidRPr="00123724">
        <w:rPr>
          <w:rFonts w:ascii="Times New Roman" w:hAnsi="Times New Roman" w:cs="Times New Roman"/>
          <w:sz w:val="24"/>
          <w:szCs w:val="24"/>
        </w:rPr>
        <w:t>Обратите внимание, что в странах с низкой риском малярии индикатор показателя для использования обработанных инсектицидами сеток исключается из расчета.</w:t>
      </w:r>
    </w:p>
    <w:p w:rsidR="00DE0BC3" w:rsidRPr="00123724" w:rsidRDefault="00DE0BC3" w:rsidP="00123724">
      <w:pPr>
        <w:jc w:val="both"/>
        <w:rPr>
          <w:rFonts w:ascii="Times New Roman" w:hAnsi="Times New Roman" w:cs="Times New Roman"/>
          <w:b/>
          <w:sz w:val="24"/>
          <w:szCs w:val="24"/>
        </w:rPr>
      </w:pPr>
      <w:proofErr w:type="spellStart"/>
      <w:r w:rsidRPr="00123724">
        <w:rPr>
          <w:rFonts w:ascii="Times New Roman" w:hAnsi="Times New Roman" w:cs="Times New Roman"/>
          <w:b/>
          <w:sz w:val="24"/>
          <w:szCs w:val="24"/>
        </w:rPr>
        <w:t>Дезагрегация</w:t>
      </w:r>
      <w:proofErr w:type="spellEnd"/>
      <w:r w:rsidRPr="00123724">
        <w:rPr>
          <w:rFonts w:ascii="Times New Roman" w:hAnsi="Times New Roman" w:cs="Times New Roman"/>
          <w:b/>
          <w:sz w:val="24"/>
          <w:szCs w:val="24"/>
        </w:rPr>
        <w:t>:</w:t>
      </w:r>
    </w:p>
    <w:p w:rsidR="00DE0BC3" w:rsidRPr="00123724" w:rsidRDefault="00DE0BC3" w:rsidP="00123724">
      <w:pPr>
        <w:jc w:val="both"/>
        <w:rPr>
          <w:rFonts w:ascii="Times New Roman" w:hAnsi="Times New Roman" w:cs="Times New Roman"/>
          <w:sz w:val="24"/>
          <w:szCs w:val="24"/>
        </w:rPr>
      </w:pPr>
      <w:r w:rsidRPr="00123724">
        <w:rPr>
          <w:rFonts w:ascii="Times New Roman" w:hAnsi="Times New Roman" w:cs="Times New Roman"/>
          <w:sz w:val="24"/>
          <w:szCs w:val="24"/>
        </w:rPr>
        <w:t>Справедливость играет центральную роль в определении UHC, поэтому индекс охвата услуг UHC следует использовать для передачи информации о неравенствах в охвате услугами внутри стран. Это можно сделать, представив индекс отдельно для населения страны и малообеспеченных слоев населения, чтобы выявить различия между ними.</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стран географическое местоположение, по всей вероятности, является наиболее осуществимым аспектом для дезагрегации </w:t>
      </w:r>
      <w:proofErr w:type="spellStart"/>
      <w:r w:rsidRPr="00123724">
        <w:rPr>
          <w:rFonts w:ascii="Times New Roman" w:hAnsi="Times New Roman" w:cs="Times New Roman"/>
          <w:sz w:val="24"/>
          <w:szCs w:val="24"/>
        </w:rPr>
        <w:t>субнациональных</w:t>
      </w:r>
      <w:proofErr w:type="spellEnd"/>
      <w:r w:rsidRPr="00123724">
        <w:rPr>
          <w:rFonts w:ascii="Times New Roman" w:hAnsi="Times New Roman" w:cs="Times New Roman"/>
          <w:sz w:val="24"/>
          <w:szCs w:val="24"/>
        </w:rPr>
        <w:t xml:space="preserve"> стран на основе средних уровней охвата, измеренных с использованием существующих источников данных. Для этого индекс UHC может быть вычислен отдельно, например, в провинциях или городах или в сельской местности, что позволит проводить субнациональные сравнения охвата услугами. В настоящее время наиболее доступными данными для дезагрегации по другим аспектам неравенства, таким </w:t>
      </w:r>
      <w:r w:rsidRPr="00123724">
        <w:rPr>
          <w:rFonts w:ascii="Times New Roman" w:hAnsi="Times New Roman" w:cs="Times New Roman"/>
          <w:sz w:val="24"/>
          <w:szCs w:val="24"/>
        </w:rPr>
        <w:lastRenderedPageBreak/>
        <w:t xml:space="preserve">как благосостояние домашних хозяйств, является показатель охвата категории репродуктивных, материнских, новорожденных и детей. Неравенство, наблюдаемое в этом измерении, можно использовать в качестве прокси для понимания различий в охвате услугами по ключевым измерениям неравенства. Этот подход следует заменить полной </w:t>
      </w:r>
      <w:proofErr w:type="spellStart"/>
      <w:r w:rsidRPr="00123724">
        <w:rPr>
          <w:rFonts w:ascii="Times New Roman" w:hAnsi="Times New Roman" w:cs="Times New Roman"/>
          <w:sz w:val="24"/>
          <w:szCs w:val="24"/>
        </w:rPr>
        <w:t>дезагрегацией</w:t>
      </w:r>
      <w:proofErr w:type="spellEnd"/>
      <w:r w:rsidRPr="00123724">
        <w:rPr>
          <w:rFonts w:ascii="Times New Roman" w:hAnsi="Times New Roman" w:cs="Times New Roman"/>
          <w:sz w:val="24"/>
          <w:szCs w:val="24"/>
        </w:rPr>
        <w:t xml:space="preserve"> всех 14 индикаторов показателя, как только данные будут доступны для этого.</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Обработка отсутствующих значений: </w:t>
      </w:r>
    </w:p>
    <w:p w:rsidR="00900488" w:rsidRPr="00123724" w:rsidRDefault="00900488" w:rsidP="00123724">
      <w:pPr>
        <w:pStyle w:val="a4"/>
        <w:numPr>
          <w:ilvl w:val="0"/>
          <w:numId w:val="1"/>
        </w:numPr>
        <w:jc w:val="both"/>
        <w:rPr>
          <w:rFonts w:ascii="Times New Roman" w:hAnsi="Times New Roman" w:cs="Times New Roman"/>
          <w:i/>
          <w:sz w:val="24"/>
          <w:szCs w:val="24"/>
        </w:rPr>
      </w:pPr>
      <w:r w:rsidRPr="00123724">
        <w:rPr>
          <w:rFonts w:ascii="Times New Roman" w:hAnsi="Times New Roman" w:cs="Times New Roman"/>
          <w:i/>
          <w:sz w:val="24"/>
          <w:szCs w:val="24"/>
        </w:rPr>
        <w:t>На уровне страны:</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Отправной точкой для вычисления индекса является сбор существующей информации для каждого индикатора показателя. Во многих случаях это связано с использованием </w:t>
      </w:r>
      <w:proofErr w:type="spellStart"/>
      <w:r w:rsidRPr="00123724">
        <w:rPr>
          <w:rFonts w:ascii="Times New Roman" w:hAnsi="Times New Roman" w:cs="Times New Roman"/>
          <w:sz w:val="24"/>
          <w:szCs w:val="24"/>
        </w:rPr>
        <w:t>страновых</w:t>
      </w:r>
      <w:proofErr w:type="spellEnd"/>
      <w:r w:rsidRPr="00123724">
        <w:rPr>
          <w:rFonts w:ascii="Times New Roman" w:hAnsi="Times New Roman" w:cs="Times New Roman"/>
          <w:sz w:val="24"/>
          <w:szCs w:val="24"/>
        </w:rPr>
        <w:t xml:space="preserve"> временных рядов, которые были созданы или сопоставлены агентствами ООН в консультации с правительствами стран (например, охват иммунизацией, доступ к санитарии, охват лечением ВИЧ и т.д.). Некоторые из этих опубликованных временных рядов включают в себя математическое моделирование для согласования нескольких источников данных или передачи недостающих значений, и эти детали суммируются </w:t>
      </w:r>
      <w:hyperlink r:id="rId13"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и в Приложении 1.</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После сборки этих материалов по некоторым показателям по-прежнему отсутствуют значения для некоторых стран-лет. Для расчета индекса охвата услуг UHC требуются значения для каждого индикатора показателя для страны, поэтому для заполнения этих пробелов данных требуется некоторое вменение. Текущий подход включает простой алгоритм вменения. Для каждого индикатора:</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в стране отсутствуют значения в течение двух лет со значениями, линейная интерполяция используется для заполнения отсутствующих значений за прошедшие годы</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страна имеет исторические годы со значениями, но не имеет текущего значения, постоянная экстраполяция используется для заполнения пропущенных значений до текущего года</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страна не имеет значений, значение вменяется ее региональной медианной величиной, которая рассчитывается на основе регионов Всемирного банка</w:t>
      </w:r>
    </w:p>
    <w:p w:rsidR="00900488"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Учитывая сроки и распределение различных обследований состояния здоровья и других механизмов сбора данных, страны не собирают и не сообщают обо всех 14 индикаторов показателя охвата услугами здравоохранения на ежегодной основе. Следовательно, степень, в которой вменение используется для заполнения недостающей информации, следует сообщать вместе со значением индекса. И мониторинг на страновом уровне наиболее целесообразно проводить на более широких временных интервалах, например, каждые 5 лет, чтобы обеспечить возможность сбора новых данных по индикаторам. На данный момент ВОЗ рассчитала только базовое значение ЦУР для 2015 года.</w:t>
      </w:r>
    </w:p>
    <w:p w:rsidR="00900488" w:rsidRPr="00123724" w:rsidRDefault="00900488" w:rsidP="00123724">
      <w:pPr>
        <w:pStyle w:val="a4"/>
        <w:numPr>
          <w:ilvl w:val="0"/>
          <w:numId w:val="1"/>
        </w:numPr>
        <w:jc w:val="both"/>
        <w:rPr>
          <w:rFonts w:ascii="Times New Roman" w:hAnsi="Times New Roman" w:cs="Times New Roman"/>
          <w:i/>
          <w:sz w:val="24"/>
          <w:szCs w:val="24"/>
        </w:rPr>
      </w:pPr>
      <w:r w:rsidRPr="00123724">
        <w:rPr>
          <w:rFonts w:ascii="Times New Roman" w:hAnsi="Times New Roman" w:cs="Times New Roman"/>
          <w:i/>
          <w:sz w:val="24"/>
          <w:szCs w:val="24"/>
        </w:rPr>
        <w:t>На региональном и глобальном уровнях:</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Любое требуемое вменение делается на уровне страны. Эти значения стран могут затем использоваться для расчета региональных и глобальных.</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Региональные показатели: </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Региональные и глобальные показатели рассчитываются с использованием национальных размеров населения для расчета средневзвешенного значения для конкретного региона для индекса. Это оправдано тем, что UHC является собственностью стран, а индекс основных услуг - сводная мера доступа к основным услугам для населения каждой страны.</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Источники расхождений: </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Индекс покрытия услуг основывается на существующих, общедоступных данных и оценках индикаторов </w:t>
      </w:r>
      <w:r w:rsidR="00053189" w:rsidRPr="00123724">
        <w:rPr>
          <w:rFonts w:ascii="Times New Roman" w:hAnsi="Times New Roman" w:cs="Times New Roman"/>
          <w:sz w:val="24"/>
          <w:szCs w:val="24"/>
        </w:rPr>
        <w:t>показателя</w:t>
      </w:r>
      <w:r w:rsidRPr="00123724">
        <w:rPr>
          <w:rFonts w:ascii="Times New Roman" w:hAnsi="Times New Roman" w:cs="Times New Roman"/>
          <w:sz w:val="24"/>
          <w:szCs w:val="24"/>
        </w:rPr>
        <w:t>. Эти цифры уже прошли через процесс консультаций с каждой страной (например, для охвата иммунизацией) или принимаются непосредственно из данных по стране. В 2017 году с государствами-членами ВОЗ были проведены консультации с базовыми показателями в стране для 2015 года.</w:t>
      </w:r>
    </w:p>
    <w:p w:rsidR="00053189" w:rsidRPr="00123724" w:rsidRDefault="00053189"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Источники данных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Описание: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Многие индикаторы показателя охвата услугами здравоохранения измеряются обследованиями домашних хозяйств. Однако для определенных показателей используются административные данные, данные объекта, обследования объектов и системы дозорного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Основные источники данных для каждого из 14 индикаторов показателя более подробно описаны </w:t>
      </w:r>
      <w:hyperlink r:id="rId14"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и в Приложении 1.</w:t>
      </w:r>
    </w:p>
    <w:p w:rsidR="00DE0BC3"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В терминах значений, используемых для вычисления индекса, значения берутся из существующих опубликованных источников. Сюда входят собранные наборы данных и оценки различных агентств ООН. Это обобщается в приведенной выше ссылке.</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Процесс сбора: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Механизмы сбора данных из стран различаются по 14 индикаторам показателя, однако во многих случаях агентство или межведомственная группа ООН собирают и анализируют соответствующие национальные источники данных, а затем проводят официальную консультацию стран с правительствами стран для обзора или подготовки сопоставимых оценок по странам. Для индекса охвата услуг UHC, когда эта существующая информация по 14 индикаторам показателя сопоставлена, ВОЗ проводит </w:t>
      </w:r>
      <w:proofErr w:type="spellStart"/>
      <w:r w:rsidRPr="00123724">
        <w:rPr>
          <w:rFonts w:ascii="Times New Roman" w:hAnsi="Times New Roman" w:cs="Times New Roman"/>
          <w:sz w:val="24"/>
          <w:szCs w:val="24"/>
        </w:rPr>
        <w:t>страновые</w:t>
      </w:r>
      <w:proofErr w:type="spellEnd"/>
      <w:r w:rsidRPr="00123724">
        <w:rPr>
          <w:rFonts w:ascii="Times New Roman" w:hAnsi="Times New Roman" w:cs="Times New Roman"/>
          <w:sz w:val="24"/>
          <w:szCs w:val="24"/>
        </w:rPr>
        <w:t xml:space="preserve"> консультации с назначенными координационными центрами от национальных правитель</w:t>
      </w:r>
      <w:proofErr w:type="gramStart"/>
      <w:r w:rsidRPr="00123724">
        <w:rPr>
          <w:rFonts w:ascii="Times New Roman" w:hAnsi="Times New Roman" w:cs="Times New Roman"/>
          <w:sz w:val="24"/>
          <w:szCs w:val="24"/>
        </w:rPr>
        <w:t>ств дл</w:t>
      </w:r>
      <w:proofErr w:type="gramEnd"/>
      <w:r w:rsidRPr="00123724">
        <w:rPr>
          <w:rFonts w:ascii="Times New Roman" w:hAnsi="Times New Roman" w:cs="Times New Roman"/>
          <w:sz w:val="24"/>
          <w:szCs w:val="24"/>
        </w:rPr>
        <w:t>я рассмотрения материалов и расчета индекса. ВОЗ не предпринимает новых оценочных мероприятий для получения значений индикатора показателя для индекса обслуживания; скорее, индекс предназначен для использования существующих и хорошо зарекомендовавших себя рядов показателей для снижения бремени отчетности.</w:t>
      </w:r>
    </w:p>
    <w:p w:rsidR="00053189" w:rsidRPr="00123724" w:rsidRDefault="00053189"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Доступность данных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Описание:</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Суммирование доступности данных для индекса охвата услуг UHC не является простым, поскольку различные источники данных используются по 14 индикаторам </w:t>
      </w:r>
      <w:r w:rsidR="006907E3" w:rsidRPr="00123724">
        <w:rPr>
          <w:rFonts w:ascii="Times New Roman" w:hAnsi="Times New Roman" w:cs="Times New Roman"/>
          <w:sz w:val="24"/>
          <w:szCs w:val="24"/>
        </w:rPr>
        <w:t>показателя</w:t>
      </w:r>
      <w:r w:rsidRPr="00123724">
        <w:rPr>
          <w:rFonts w:ascii="Times New Roman" w:hAnsi="Times New Roman" w:cs="Times New Roman"/>
          <w:sz w:val="24"/>
          <w:szCs w:val="24"/>
        </w:rPr>
        <w:t xml:space="preserve">. Кроме того, для многих индикаторов были получены сопоставимые оценки, во многих случаях </w:t>
      </w:r>
      <w:r w:rsidRPr="00123724">
        <w:rPr>
          <w:rFonts w:ascii="Times New Roman" w:hAnsi="Times New Roman" w:cs="Times New Roman"/>
          <w:sz w:val="24"/>
          <w:szCs w:val="24"/>
        </w:rPr>
        <w:lastRenderedPageBreak/>
        <w:t xml:space="preserve">использовались различные типы исходных источников данных для информирования оценок, а также с использованием прогнозов для приведения недостающих значений. Основываясь на исходных </w:t>
      </w:r>
      <w:proofErr w:type="gramStart"/>
      <w:r w:rsidRPr="00123724">
        <w:rPr>
          <w:rFonts w:ascii="Times New Roman" w:hAnsi="Times New Roman" w:cs="Times New Roman"/>
          <w:sz w:val="24"/>
          <w:szCs w:val="24"/>
        </w:rPr>
        <w:t>источниках</w:t>
      </w:r>
      <w:proofErr w:type="gramEnd"/>
      <w:r w:rsidRPr="00123724">
        <w:rPr>
          <w:rFonts w:ascii="Times New Roman" w:hAnsi="Times New Roman" w:cs="Times New Roman"/>
          <w:sz w:val="24"/>
          <w:szCs w:val="24"/>
        </w:rPr>
        <w:t xml:space="preserve"> данных для каждого индикатора показателя (т.е. игнорируя оценки и прогнозы), средняя доля индикаторов, используемых для расчета индекса, с базовыми данными, имеющимися с 2010 года, составляет около 70% в разных странах по всему миру с региональной разбивкой по </w:t>
      </w:r>
      <w:r w:rsidR="006907E3" w:rsidRPr="00123724">
        <w:rPr>
          <w:rFonts w:ascii="Times New Roman" w:hAnsi="Times New Roman" w:cs="Times New Roman"/>
          <w:sz w:val="24"/>
          <w:szCs w:val="24"/>
        </w:rPr>
        <w:t>ЦУР</w:t>
      </w:r>
      <w:r w:rsidRPr="00123724">
        <w:rPr>
          <w:rFonts w:ascii="Times New Roman" w:hAnsi="Times New Roman" w:cs="Times New Roman"/>
          <w:sz w:val="24"/>
          <w:szCs w:val="24"/>
        </w:rPr>
        <w:t xml:space="preserve"> следующим образом:</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Австралия и Новая Зеландия 65% </w:t>
      </w:r>
      <w:r w:rsidRPr="00123724">
        <w:rPr>
          <w:rFonts w:ascii="Times New Roman" w:hAnsi="Times New Roman" w:cs="Times New Roman"/>
          <w:sz w:val="24"/>
          <w:szCs w:val="24"/>
        </w:rPr>
        <w:tab/>
        <w:t xml:space="preserve">                              Северная Америка и Европа 64%</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Центральная и Южная Азия 76%                                Океания 56%</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Восточная и Юго-Восточная Азия 73%                     Страны Африки к югу от Сахары 73%</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Латинская Америка и Карибский бассейн 72%        Западная Азия и Северная Африка 63%</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Временные ряды:</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Базовое значение индекса охвата услуг UHC на 2015 год в 183 странах будет опубликована в конце 2017 года. В рамках этого процесса были собраны источники данных, начиная с 2000 года, и будущая работа будет включать временные тенденции в индексе.</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Календарь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Сбор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Сбор данных варьируется от 1 до 5 лет по индикаторам показателя. Например, данные о стране по иммунизации и лечению ВИЧ сообщаются ежегодно, </w:t>
      </w:r>
      <w:proofErr w:type="gramStart"/>
      <w:r w:rsidRPr="00123724">
        <w:rPr>
          <w:rFonts w:ascii="Times New Roman" w:hAnsi="Times New Roman" w:cs="Times New Roman"/>
          <w:sz w:val="24"/>
          <w:szCs w:val="24"/>
        </w:rPr>
        <w:t>тогда</w:t>
      </w:r>
      <w:proofErr w:type="gramEnd"/>
      <w:r w:rsidRPr="00123724">
        <w:rPr>
          <w:rFonts w:ascii="Times New Roman" w:hAnsi="Times New Roman" w:cs="Times New Roman"/>
          <w:sz w:val="24"/>
          <w:szCs w:val="24"/>
        </w:rPr>
        <w:t xml:space="preserve"> как обследования домашних хозяйств для сбора информации о лечении детей могут возникать каждые 3-5 лет, в зависимости от страны. Более подробную информацию об отдельных индикаторах показателя можно найти здесь: </w:t>
      </w:r>
    </w:p>
    <w:p w:rsidR="004B6BA5" w:rsidRPr="00123724" w:rsidRDefault="009F6FCF" w:rsidP="00123724">
      <w:pPr>
        <w:jc w:val="both"/>
        <w:rPr>
          <w:rFonts w:ascii="Times New Roman" w:hAnsi="Times New Roman" w:cs="Times New Roman"/>
          <w:sz w:val="24"/>
          <w:szCs w:val="24"/>
        </w:rPr>
      </w:pPr>
      <w:hyperlink r:id="rId15" w:history="1">
        <w:r w:rsidR="004B6BA5" w:rsidRPr="00123724">
          <w:rPr>
            <w:rStyle w:val="a3"/>
            <w:rFonts w:ascii="Times New Roman" w:hAnsi="Times New Roman" w:cs="Times New Roman"/>
            <w:sz w:val="24"/>
            <w:szCs w:val="24"/>
          </w:rPr>
          <w:t>http://www.who.int/healthinfo/universal_health_coverage/UHC_Tracer_Indicators_Metadata.pdf</w:t>
        </w:r>
      </w:hyperlink>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Выпуск данных:</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Первый выпуск базовых значений для индекса охвата услуг UHC запланирован на декабрь 2017 года. После этого значения, вероятно, будут </w:t>
      </w:r>
      <w:proofErr w:type="gramStart"/>
      <w:r w:rsidRPr="00123724">
        <w:rPr>
          <w:rFonts w:ascii="Times New Roman" w:hAnsi="Times New Roman" w:cs="Times New Roman"/>
          <w:sz w:val="24"/>
          <w:szCs w:val="24"/>
        </w:rPr>
        <w:t>проверяться</w:t>
      </w:r>
      <w:proofErr w:type="gramEnd"/>
      <w:r w:rsidRPr="00123724">
        <w:rPr>
          <w:rFonts w:ascii="Times New Roman" w:hAnsi="Times New Roman" w:cs="Times New Roman"/>
          <w:sz w:val="24"/>
          <w:szCs w:val="24"/>
        </w:rPr>
        <w:t xml:space="preserve"> и обновляться каждые два года.</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Поставщики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 большинстве случаев министерства здравоохранения и национальные статистические управления осуществляют надзор за сбором данных и представлением отчетности по показателям покрытия медицинских услуг.</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Составители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Всемирная организация здравоохранения, опираясь на материалы других международных учреждений.</w:t>
      </w:r>
    </w:p>
    <w:p w:rsidR="004B6BA5" w:rsidRPr="00E42DF2"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Ссылки</w:t>
      </w:r>
      <w:r w:rsidRPr="00E42DF2">
        <w:rPr>
          <w:rFonts w:ascii="Times New Roman" w:hAnsi="Times New Roman" w:cs="Times New Roman"/>
          <w:b/>
          <w:sz w:val="24"/>
          <w:szCs w:val="24"/>
        </w:rPr>
        <w:t xml:space="preserve">: </w:t>
      </w:r>
    </w:p>
    <w:p w:rsidR="004B6BA5" w:rsidRPr="00E42DF2"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URL</w:t>
      </w:r>
      <w:r w:rsidRPr="00E42DF2">
        <w:rPr>
          <w:rFonts w:ascii="Times New Roman" w:hAnsi="Times New Roman" w:cs="Times New Roman"/>
          <w:sz w:val="24"/>
          <w:szCs w:val="24"/>
        </w:rPr>
        <w:t xml:space="preserve">: </w:t>
      </w:r>
      <w:r w:rsidRPr="00123724">
        <w:rPr>
          <w:rFonts w:ascii="Times New Roman" w:hAnsi="Times New Roman" w:cs="Times New Roman"/>
          <w:sz w:val="24"/>
          <w:szCs w:val="24"/>
          <w:lang w:val="en-US"/>
        </w:rPr>
        <w:t>http</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www</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who</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en</w:t>
      </w:r>
      <w:r w:rsidRPr="00E42DF2">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Ссылки: </w:t>
      </w: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report</w:t>
      </w:r>
      <w:r w:rsidRPr="00123724">
        <w:rPr>
          <w:rFonts w:ascii="Times New Roman" w:hAnsi="Times New Roman" w:cs="Times New Roman"/>
          <w:sz w:val="24"/>
          <w:szCs w:val="24"/>
        </w:rPr>
        <w:t>/2017/</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p>
    <w:p w:rsidR="004B6BA5" w:rsidRPr="00E42DF2"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www</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thelancet</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com</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pdfs</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journals</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langlo</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PIIS</w:t>
      </w:r>
      <w:r w:rsidRPr="00E42DF2">
        <w:rPr>
          <w:rFonts w:ascii="Times New Roman" w:hAnsi="Times New Roman" w:cs="Times New Roman"/>
          <w:sz w:val="24"/>
          <w:szCs w:val="24"/>
        </w:rPr>
        <w:t>2214-</w:t>
      </w:r>
      <w:proofErr w:type="gramStart"/>
      <w:r w:rsidRPr="00E42DF2">
        <w:rPr>
          <w:rFonts w:ascii="Times New Roman" w:hAnsi="Times New Roman" w:cs="Times New Roman"/>
          <w:sz w:val="24"/>
          <w:szCs w:val="24"/>
        </w:rPr>
        <w:t>109</w:t>
      </w:r>
      <w:r w:rsidRPr="00123724">
        <w:rPr>
          <w:rFonts w:ascii="Times New Roman" w:hAnsi="Times New Roman" w:cs="Times New Roman"/>
          <w:sz w:val="24"/>
          <w:szCs w:val="24"/>
          <w:lang w:val="en-US"/>
        </w:rPr>
        <w:t>X</w:t>
      </w:r>
      <w:r w:rsidRPr="00E42DF2">
        <w:rPr>
          <w:rFonts w:ascii="Times New Roman" w:hAnsi="Times New Roman" w:cs="Times New Roman"/>
          <w:sz w:val="24"/>
          <w:szCs w:val="24"/>
        </w:rPr>
        <w:t>(</w:t>
      </w:r>
      <w:proofErr w:type="gramEnd"/>
      <w:r w:rsidRPr="00E42DF2">
        <w:rPr>
          <w:rFonts w:ascii="Times New Roman" w:hAnsi="Times New Roman" w:cs="Times New Roman"/>
          <w:sz w:val="24"/>
          <w:szCs w:val="24"/>
        </w:rPr>
        <w:t>17)30472-2.</w:t>
      </w:r>
      <w:proofErr w:type="spellStart"/>
      <w:r w:rsidRPr="00123724">
        <w:rPr>
          <w:rFonts w:ascii="Times New Roman" w:hAnsi="Times New Roman" w:cs="Times New Roman"/>
          <w:sz w:val="24"/>
          <w:szCs w:val="24"/>
          <w:lang w:val="en-US"/>
        </w:rPr>
        <w:t>pdf</w:t>
      </w:r>
      <w:proofErr w:type="spellEnd"/>
    </w:p>
    <w:p w:rsidR="004B6BA5" w:rsidRPr="00E42DF2"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www</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who</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en</w:t>
      </w:r>
      <w:r w:rsidRPr="00E42DF2">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исторического развития методов </w:t>
      </w:r>
      <w:proofErr w:type="gramStart"/>
      <w:r w:rsidRPr="00123724">
        <w:rPr>
          <w:rFonts w:ascii="Times New Roman" w:hAnsi="Times New Roman" w:cs="Times New Roman"/>
          <w:sz w:val="24"/>
          <w:szCs w:val="24"/>
        </w:rPr>
        <w:t>см</w:t>
      </w:r>
      <w:proofErr w:type="gramEnd"/>
      <w:r w:rsidRPr="00123724">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WHS</w:t>
      </w:r>
      <w:r w:rsidRPr="00123724">
        <w:rPr>
          <w:rFonts w:ascii="Times New Roman" w:hAnsi="Times New Roman" w:cs="Times New Roman"/>
          <w:sz w:val="24"/>
          <w:szCs w:val="24"/>
        </w:rPr>
        <w:t>2016_</w:t>
      </w:r>
      <w:proofErr w:type="spellStart"/>
      <w:r w:rsidRPr="00123724">
        <w:rPr>
          <w:rFonts w:ascii="Times New Roman" w:hAnsi="Times New Roman" w:cs="Times New Roman"/>
          <w:sz w:val="24"/>
          <w:szCs w:val="24"/>
          <w:lang w:val="en-US"/>
        </w:rPr>
        <w:t>TechnicalNote</w:t>
      </w:r>
      <w:proofErr w:type="spellEnd"/>
      <w:r w:rsidRPr="00123724">
        <w:rPr>
          <w:rFonts w:ascii="Times New Roman" w:hAnsi="Times New Roman" w:cs="Times New Roman"/>
          <w:sz w:val="24"/>
          <w:szCs w:val="24"/>
        </w:rPr>
        <w:t>_</w:t>
      </w:r>
      <w:r w:rsidRPr="00123724">
        <w:rPr>
          <w:rFonts w:ascii="Times New Roman" w:hAnsi="Times New Roman" w:cs="Times New Roman"/>
          <w:sz w:val="24"/>
          <w:szCs w:val="24"/>
          <w:lang w:val="en-US"/>
        </w:rPr>
        <w:t>May</w:t>
      </w:r>
      <w:r w:rsidRPr="00123724">
        <w:rPr>
          <w:rFonts w:ascii="Times New Roman" w:hAnsi="Times New Roman" w:cs="Times New Roman"/>
          <w:sz w:val="24"/>
          <w:szCs w:val="24"/>
        </w:rPr>
        <w:t>2016.</w:t>
      </w:r>
      <w:proofErr w:type="spellStart"/>
      <w:r w:rsidRPr="00123724">
        <w:rPr>
          <w:rFonts w:ascii="Times New Roman" w:hAnsi="Times New Roman" w:cs="Times New Roman"/>
          <w:sz w:val="24"/>
          <w:szCs w:val="24"/>
          <w:lang w:val="en-US"/>
        </w:rPr>
        <w:t>pdf</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ua</w:t>
      </w:r>
      <w:proofErr w:type="spellEnd"/>
      <w:r w:rsidRPr="00123724">
        <w:rPr>
          <w:rFonts w:ascii="Times New Roman" w:hAnsi="Times New Roman" w:cs="Times New Roman"/>
          <w:sz w:val="24"/>
          <w:szCs w:val="24"/>
        </w:rPr>
        <w:t>=1 (замененный этим документом)</w:t>
      </w:r>
    </w:p>
    <w:p w:rsidR="004B6BA5" w:rsidRPr="00E42DF2"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www</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who</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report</w:t>
      </w:r>
      <w:r w:rsidRPr="00E42DF2">
        <w:rPr>
          <w:rFonts w:ascii="Times New Roman" w:hAnsi="Times New Roman" w:cs="Times New Roman"/>
          <w:sz w:val="24"/>
          <w:szCs w:val="24"/>
        </w:rPr>
        <w:t>/2015/</w:t>
      </w:r>
      <w:r w:rsidRPr="00123724">
        <w:rPr>
          <w:rFonts w:ascii="Times New Roman" w:hAnsi="Times New Roman" w:cs="Times New Roman"/>
          <w:sz w:val="24"/>
          <w:szCs w:val="24"/>
          <w:lang w:val="en-US"/>
        </w:rPr>
        <w:t>en</w:t>
      </w:r>
      <w:r w:rsidRPr="00E42DF2">
        <w:rPr>
          <w:rFonts w:ascii="Times New Roman" w:hAnsi="Times New Roman" w:cs="Times New Roman"/>
          <w:sz w:val="24"/>
          <w:szCs w:val="24"/>
        </w:rPr>
        <w:t>/</w:t>
      </w:r>
    </w:p>
    <w:p w:rsidR="004B6BA5" w:rsidRPr="00E42DF2"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www</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who</w:t>
      </w:r>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E42DF2">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E42DF2">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E42DF2">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E42DF2">
        <w:rPr>
          <w:rFonts w:ascii="Times New Roman" w:hAnsi="Times New Roman" w:cs="Times New Roman"/>
          <w:sz w:val="24"/>
          <w:szCs w:val="24"/>
        </w:rPr>
        <w:t>/</w:t>
      </w:r>
      <w:r w:rsidRPr="00123724">
        <w:rPr>
          <w:rFonts w:ascii="Times New Roman" w:hAnsi="Times New Roman" w:cs="Times New Roman"/>
          <w:sz w:val="24"/>
          <w:szCs w:val="24"/>
          <w:lang w:val="en-US"/>
        </w:rPr>
        <w:t>report</w:t>
      </w:r>
      <w:r w:rsidRPr="00E42DF2">
        <w:rPr>
          <w:rFonts w:ascii="Times New Roman" w:hAnsi="Times New Roman" w:cs="Times New Roman"/>
          <w:sz w:val="24"/>
          <w:szCs w:val="24"/>
        </w:rPr>
        <w:t>/2014/</w:t>
      </w:r>
      <w:r w:rsidRPr="00123724">
        <w:rPr>
          <w:rFonts w:ascii="Times New Roman" w:hAnsi="Times New Roman" w:cs="Times New Roman"/>
          <w:sz w:val="24"/>
          <w:szCs w:val="24"/>
          <w:lang w:val="en-US"/>
        </w:rPr>
        <w:t>en</w:t>
      </w:r>
      <w:r w:rsidRPr="00E42DF2">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collections</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plos</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org</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uhc</w:t>
      </w:r>
      <w:proofErr w:type="spellEnd"/>
      <w:r w:rsidRPr="00123724">
        <w:rPr>
          <w:rFonts w:ascii="Times New Roman" w:hAnsi="Times New Roman" w:cs="Times New Roman"/>
          <w:sz w:val="24"/>
          <w:szCs w:val="24"/>
        </w:rPr>
        <w:t>2014</w:t>
      </w:r>
      <w:r w:rsidRPr="00123724">
        <w:rPr>
          <w:rFonts w:ascii="Times New Roman" w:hAnsi="Times New Roman" w:cs="Times New Roman"/>
          <w:sz w:val="24"/>
          <w:szCs w:val="24"/>
        </w:rPr>
        <w:cr/>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Связанные показатели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Индекс охвата услуг UHC предназначен для обобщения существующих показателей охвата услугами здравоохранения для обеспечения согласованности с ЦУР и другими глобальными инициативами и сокращения бремени дублирования и отчетности. В настоящее время три показателя ЦУР включены в индекс (3.7.1, 3.a.1 и 3.d.1). По мере того, как станут доступны сопоставимые значения, будет добавлено несколько дополнительных показателей ЦУР, которые </w:t>
      </w:r>
      <w:proofErr w:type="gramStart"/>
      <w:r w:rsidRPr="00123724">
        <w:rPr>
          <w:rFonts w:ascii="Times New Roman" w:hAnsi="Times New Roman" w:cs="Times New Roman"/>
          <w:sz w:val="24"/>
          <w:szCs w:val="24"/>
        </w:rPr>
        <w:t>заменяют их на индекс</w:t>
      </w:r>
      <w:proofErr w:type="gramEnd"/>
      <w:r w:rsidRPr="00123724">
        <w:rPr>
          <w:rFonts w:ascii="Times New Roman" w:hAnsi="Times New Roman" w:cs="Times New Roman"/>
          <w:sz w:val="24"/>
          <w:szCs w:val="24"/>
        </w:rPr>
        <w:t xml:space="preserve"> вместо используемых в настоящее время соответствующих показателей. Это включает в себя 3.1.2, 3.b.1, 3.c.1 и 6.2.1. Таким образом, ожидается, что 7 из 14 индикаторов текущего показателя в индексе будут </w:t>
      </w:r>
      <w:r w:rsidR="000B4273" w:rsidRPr="00123724">
        <w:rPr>
          <w:rFonts w:ascii="Times New Roman" w:hAnsi="Times New Roman" w:cs="Times New Roman"/>
          <w:sz w:val="24"/>
          <w:szCs w:val="24"/>
        </w:rPr>
        <w:t>показателями</w:t>
      </w:r>
      <w:r w:rsidRPr="00123724">
        <w:rPr>
          <w:rFonts w:ascii="Times New Roman" w:hAnsi="Times New Roman" w:cs="Times New Roman"/>
          <w:sz w:val="24"/>
          <w:szCs w:val="24"/>
        </w:rPr>
        <w:t xml:space="preserve"> ЦУР. Кроме того, </w:t>
      </w:r>
      <w:r w:rsidR="000B4273" w:rsidRPr="00123724">
        <w:rPr>
          <w:rFonts w:ascii="Times New Roman" w:hAnsi="Times New Roman" w:cs="Times New Roman"/>
          <w:sz w:val="24"/>
          <w:szCs w:val="24"/>
        </w:rPr>
        <w:t>показатель</w:t>
      </w:r>
      <w:r w:rsidRPr="00123724">
        <w:rPr>
          <w:rFonts w:ascii="Times New Roman" w:hAnsi="Times New Roman" w:cs="Times New Roman"/>
          <w:sz w:val="24"/>
          <w:szCs w:val="24"/>
        </w:rPr>
        <w:t xml:space="preserve"> 3.b.3 может быть включен в индекс, как только данные будут доступны. Показатели охвата услугами по ВИЧ, туберкулезу и малярии также тесно связаны с показателями заболеваемости в целево</w:t>
      </w:r>
      <w:r w:rsidR="000B4273" w:rsidRPr="00123724">
        <w:rPr>
          <w:rFonts w:ascii="Times New Roman" w:hAnsi="Times New Roman" w:cs="Times New Roman"/>
          <w:sz w:val="24"/>
          <w:szCs w:val="24"/>
        </w:rPr>
        <w:t xml:space="preserve">йзадачи </w:t>
      </w:r>
      <w:r w:rsidRPr="00123724">
        <w:rPr>
          <w:rFonts w:ascii="Times New Roman" w:hAnsi="Times New Roman" w:cs="Times New Roman"/>
          <w:sz w:val="24"/>
          <w:szCs w:val="24"/>
        </w:rPr>
        <w:t xml:space="preserve">3.3 с точки зрения механизмов сбора данных и отчетности, а индикаторы </w:t>
      </w:r>
      <w:r w:rsidR="000B4273" w:rsidRPr="00123724">
        <w:rPr>
          <w:rFonts w:ascii="Times New Roman" w:hAnsi="Times New Roman" w:cs="Times New Roman"/>
          <w:sz w:val="24"/>
          <w:szCs w:val="24"/>
        </w:rPr>
        <w:t>показателя</w:t>
      </w:r>
      <w:r w:rsidRPr="00123724">
        <w:rPr>
          <w:rFonts w:ascii="Times New Roman" w:hAnsi="Times New Roman" w:cs="Times New Roman"/>
          <w:sz w:val="24"/>
          <w:szCs w:val="24"/>
        </w:rPr>
        <w:t xml:space="preserve"> для лечения гипертонии и диабета связаны с</w:t>
      </w:r>
      <w:r w:rsidR="000B4273" w:rsidRPr="00123724">
        <w:rPr>
          <w:rFonts w:ascii="Times New Roman" w:hAnsi="Times New Roman" w:cs="Times New Roman"/>
          <w:sz w:val="24"/>
          <w:szCs w:val="24"/>
        </w:rPr>
        <w:t>о</w:t>
      </w:r>
      <w:r w:rsidRPr="00123724">
        <w:rPr>
          <w:rFonts w:ascii="Times New Roman" w:hAnsi="Times New Roman" w:cs="Times New Roman"/>
          <w:sz w:val="24"/>
          <w:szCs w:val="24"/>
        </w:rPr>
        <w:t xml:space="preserve"> смертностью от </w:t>
      </w:r>
      <w:r w:rsidR="000B4273" w:rsidRPr="00123724">
        <w:rPr>
          <w:rFonts w:ascii="Times New Roman" w:hAnsi="Times New Roman" w:cs="Times New Roman"/>
          <w:sz w:val="24"/>
          <w:szCs w:val="24"/>
          <w:lang w:val="en-US"/>
        </w:rPr>
        <w:t>NCD</w:t>
      </w:r>
      <w:r w:rsidRPr="00123724">
        <w:rPr>
          <w:rFonts w:ascii="Times New Roman" w:hAnsi="Times New Roman" w:cs="Times New Roman"/>
          <w:sz w:val="24"/>
          <w:szCs w:val="24"/>
        </w:rPr>
        <w:t>, как измерено в 3.4.1. Будущее включение показателей ЦУР будет предметом консультаций с государствами-членами и одобрения со стороны МЭ</w:t>
      </w:r>
      <w:r w:rsidR="000B4273" w:rsidRPr="00123724">
        <w:rPr>
          <w:rFonts w:ascii="Times New Roman" w:hAnsi="Times New Roman" w:cs="Times New Roman"/>
          <w:sz w:val="24"/>
          <w:szCs w:val="24"/>
        </w:rPr>
        <w:t>Г</w:t>
      </w:r>
      <w:r w:rsidRPr="00123724">
        <w:rPr>
          <w:rFonts w:ascii="Times New Roman" w:hAnsi="Times New Roman" w:cs="Times New Roman"/>
          <w:sz w:val="24"/>
          <w:szCs w:val="24"/>
        </w:rPr>
        <w:t>-</w:t>
      </w:r>
      <w:r w:rsidR="000B4273" w:rsidRPr="00123724">
        <w:rPr>
          <w:rFonts w:ascii="Times New Roman" w:hAnsi="Times New Roman" w:cs="Times New Roman"/>
          <w:sz w:val="24"/>
          <w:szCs w:val="24"/>
        </w:rPr>
        <w:t>ЦУР</w:t>
      </w:r>
      <w:r w:rsidRPr="00123724">
        <w:rPr>
          <w:rFonts w:ascii="Times New Roman" w:hAnsi="Times New Roman" w:cs="Times New Roman"/>
          <w:sz w:val="24"/>
          <w:szCs w:val="24"/>
        </w:rPr>
        <w:t>. Показатель 3.8.1 всегда должен интерпретироваться вместе с другим показателем ЦУР UHC, 3.8.2, который измеряет финансовую защиту.</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p w:rsidR="000B4273" w:rsidRPr="00123724" w:rsidRDefault="000B4273" w:rsidP="00123724">
      <w:pPr>
        <w:jc w:val="both"/>
        <w:rPr>
          <w:rFonts w:ascii="Times New Roman" w:hAnsi="Times New Roman" w:cs="Times New Roman"/>
          <w:b/>
          <w:sz w:val="24"/>
          <w:szCs w:val="24"/>
        </w:rPr>
      </w:pPr>
      <w:r w:rsidRPr="00123724">
        <w:rPr>
          <w:rFonts w:ascii="Times New Roman" w:hAnsi="Times New Roman" w:cs="Times New Roman"/>
          <w:b/>
          <w:sz w:val="24"/>
          <w:szCs w:val="24"/>
        </w:rPr>
        <w:lastRenderedPageBreak/>
        <w:t>Приложение 1: Метаданные для индикаторов показателя, используемые для измерения охвата основных слу</w:t>
      </w:r>
      <w:proofErr w:type="gramStart"/>
      <w:r w:rsidRPr="00123724">
        <w:rPr>
          <w:rFonts w:ascii="Times New Roman" w:hAnsi="Times New Roman" w:cs="Times New Roman"/>
          <w:b/>
          <w:sz w:val="24"/>
          <w:szCs w:val="24"/>
        </w:rPr>
        <w:t>жб здр</w:t>
      </w:r>
      <w:proofErr w:type="gramEnd"/>
      <w:r w:rsidRPr="00123724">
        <w:rPr>
          <w:rFonts w:ascii="Times New Roman" w:hAnsi="Times New Roman" w:cs="Times New Roman"/>
          <w:b/>
          <w:sz w:val="24"/>
          <w:szCs w:val="24"/>
        </w:rPr>
        <w:t>авоохранения для мониторинга показателя ЦУР 3.8.1.</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Опубликовано: 9 марта 2018 г.</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Пожалуйста, присылайте любые комментарии или запросы по адресу: </w:t>
      </w:r>
      <w:hyperlink r:id="rId16" w:history="1">
        <w:r w:rsidRPr="00123724">
          <w:rPr>
            <w:rStyle w:val="a3"/>
            <w:rFonts w:ascii="Times New Roman" w:hAnsi="Times New Roman" w:cs="Times New Roman"/>
            <w:sz w:val="24"/>
            <w:szCs w:val="24"/>
          </w:rPr>
          <w:t>uhc_stats@who.int</w:t>
        </w:r>
      </w:hyperlink>
    </w:p>
    <w:tbl>
      <w:tblPr>
        <w:tblStyle w:val="a7"/>
        <w:tblW w:w="0" w:type="auto"/>
        <w:tblLayout w:type="fixed"/>
        <w:tblLook w:val="04A0"/>
      </w:tblPr>
      <w:tblGrid>
        <w:gridCol w:w="1809"/>
        <w:gridCol w:w="7762"/>
      </w:tblGrid>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Область индикатора</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Планирование семьи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женщин репродуктивного возраста (15-49 лет), которые состоят в браке или в союзе, которые нуждаются в планировании семьи, удовлетворены современными методами.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женщин в возрасте 15-49 лет, которые состоят в браке или в союзе, которые используют современные методы.</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число женщин в возрасте 15-49 лет, которые состоят в браке или в союзе, нуждающихся в планировании семьи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здоровья населения</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762" w:type="dxa"/>
          </w:tcPr>
          <w:p w:rsidR="000B4273" w:rsidRPr="00123724" w:rsidRDefault="000B4273" w:rsidP="00123724">
            <w:pPr>
              <w:jc w:val="both"/>
              <w:rPr>
                <w:rFonts w:ascii="Times New Roman" w:hAnsi="Times New Roman" w:cs="Times New Roman"/>
                <w:b/>
                <w:sz w:val="24"/>
                <w:szCs w:val="24"/>
              </w:rPr>
            </w:pPr>
            <w:r w:rsidRPr="00123724">
              <w:rPr>
                <w:rFonts w:ascii="Times New Roman" w:hAnsi="Times New Roman" w:cs="Times New Roman"/>
                <w:sz w:val="24"/>
                <w:szCs w:val="24"/>
              </w:rPr>
              <w:t>Обследования домашних хозяй</w:t>
            </w:r>
            <w:proofErr w:type="gramStart"/>
            <w:r w:rsidRPr="00123724">
              <w:rPr>
                <w:rFonts w:ascii="Times New Roman" w:hAnsi="Times New Roman" w:cs="Times New Roman"/>
                <w:sz w:val="24"/>
                <w:szCs w:val="24"/>
              </w:rPr>
              <w:t>ств вкл</w:t>
            </w:r>
            <w:proofErr w:type="gramEnd"/>
            <w:r w:rsidRPr="00123724">
              <w:rPr>
                <w:rFonts w:ascii="Times New Roman" w:hAnsi="Times New Roman" w:cs="Times New Roman"/>
                <w:sz w:val="24"/>
                <w:szCs w:val="24"/>
              </w:rPr>
              <w:t>ючают в себя ряд вопросов для измерения современного уровня распространенности контрацептивов и спроса на планирование семьи. Общий спрос на планирование семьи определяется как сумма числа женщин репродуктивного возраста (15-49 лет), которые состоят в браке или в союзе и которые в настоящее время используют, или чей сексуальный партнер в настоящее время использует, по крайней мере, один метод контрацепции, и неудовлетворенная потребность в планировании семьи</w:t>
            </w:r>
            <w:proofErr w:type="gramStart"/>
            <w:r w:rsidRPr="00123724">
              <w:rPr>
                <w:rFonts w:ascii="Times New Roman" w:hAnsi="Times New Roman" w:cs="Times New Roman"/>
                <w:sz w:val="24"/>
                <w:szCs w:val="24"/>
              </w:rPr>
              <w:t>.Н</w:t>
            </w:r>
            <w:proofErr w:type="gramEnd"/>
            <w:r w:rsidRPr="00123724">
              <w:rPr>
                <w:rFonts w:ascii="Times New Roman" w:hAnsi="Times New Roman" w:cs="Times New Roman"/>
                <w:sz w:val="24"/>
                <w:szCs w:val="24"/>
              </w:rPr>
              <w:t xml:space="preserve">еудовлетворенной потребностью в планировании семьи является доля женщин репродуктивного возраста (15-49 лет) либо замужем, либо в консенсуальном союзе, </w:t>
            </w:r>
            <w:proofErr w:type="gramStart"/>
            <w:r w:rsidRPr="00123724">
              <w:rPr>
                <w:rFonts w:ascii="Times New Roman" w:hAnsi="Times New Roman" w:cs="Times New Roman"/>
                <w:sz w:val="24"/>
                <w:szCs w:val="24"/>
              </w:rPr>
              <w:t>которые</w:t>
            </w:r>
            <w:proofErr w:type="gramEnd"/>
            <w:r w:rsidRPr="00123724">
              <w:rPr>
                <w:rFonts w:ascii="Times New Roman" w:hAnsi="Times New Roman" w:cs="Times New Roman"/>
                <w:sz w:val="24"/>
                <w:szCs w:val="24"/>
              </w:rPr>
              <w:t xml:space="preserve"> являются полноценными и сексуально активными, но не используют какой-либо метод контрацепции (современный или традиционный) и сообщают</w:t>
            </w:r>
            <w:r w:rsidR="00123724">
              <w:rPr>
                <w:rFonts w:ascii="Times New Roman" w:hAnsi="Times New Roman" w:cs="Times New Roman"/>
                <w:sz w:val="24"/>
                <w:szCs w:val="24"/>
              </w:rPr>
              <w:t>,</w:t>
            </w:r>
            <w:r w:rsidRPr="00123724">
              <w:rPr>
                <w:rFonts w:ascii="Times New Roman" w:hAnsi="Times New Roman" w:cs="Times New Roman"/>
                <w:sz w:val="24"/>
                <w:szCs w:val="24"/>
              </w:rPr>
              <w:t xml:space="preserve"> не желая больше детей или желающих отсрочить рождение своего следующего ребенка в течение как минимум двух лет. Включены:</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1. все беременные женщины (замужние или в консенсуальном союзе), беременность которых была нежелательной или ошибочной во время зачатия;</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2. все послеродовые </w:t>
            </w:r>
            <w:proofErr w:type="spellStart"/>
            <w:r w:rsidRPr="00123724">
              <w:rPr>
                <w:rFonts w:ascii="Times New Roman" w:hAnsi="Times New Roman" w:cs="Times New Roman"/>
                <w:sz w:val="24"/>
                <w:szCs w:val="24"/>
              </w:rPr>
              <w:t>аменоретические</w:t>
            </w:r>
            <w:proofErr w:type="spellEnd"/>
            <w:r w:rsidRPr="00123724">
              <w:rPr>
                <w:rFonts w:ascii="Times New Roman" w:hAnsi="Times New Roman" w:cs="Times New Roman"/>
                <w:sz w:val="24"/>
                <w:szCs w:val="24"/>
              </w:rPr>
              <w:t xml:space="preserve"> женщины (женатые или в </w:t>
            </w:r>
            <w:r w:rsidR="00123724" w:rsidRPr="00123724">
              <w:rPr>
                <w:rFonts w:ascii="Times New Roman" w:hAnsi="Times New Roman" w:cs="Times New Roman"/>
                <w:sz w:val="24"/>
                <w:szCs w:val="24"/>
              </w:rPr>
              <w:t xml:space="preserve">консенсуальном </w:t>
            </w:r>
            <w:r w:rsidRPr="00123724">
              <w:rPr>
                <w:rFonts w:ascii="Times New Roman" w:hAnsi="Times New Roman" w:cs="Times New Roman"/>
                <w:sz w:val="24"/>
                <w:szCs w:val="24"/>
              </w:rPr>
              <w:t xml:space="preserve">союзе), которые не </w:t>
            </w:r>
            <w:proofErr w:type="gramStart"/>
            <w:r w:rsidRPr="00123724">
              <w:rPr>
                <w:rFonts w:ascii="Times New Roman" w:hAnsi="Times New Roman" w:cs="Times New Roman"/>
                <w:sz w:val="24"/>
                <w:szCs w:val="24"/>
              </w:rPr>
              <w:t>используют планирование семьи и чье последнее рождение было</w:t>
            </w:r>
            <w:proofErr w:type="gramEnd"/>
            <w:r w:rsidRPr="00123724">
              <w:rPr>
                <w:rFonts w:ascii="Times New Roman" w:hAnsi="Times New Roman" w:cs="Times New Roman"/>
                <w:sz w:val="24"/>
                <w:szCs w:val="24"/>
              </w:rPr>
              <w:t xml:space="preserve"> нежелательным или ошибочным;</w:t>
            </w:r>
          </w:p>
          <w:p w:rsidR="000B4273" w:rsidRPr="00123724" w:rsidRDefault="000B4273" w:rsidP="00123724">
            <w:pPr>
              <w:jc w:val="both"/>
              <w:rPr>
                <w:rFonts w:ascii="Times New Roman" w:hAnsi="Times New Roman" w:cs="Times New Roman"/>
                <w:sz w:val="24"/>
                <w:szCs w:val="24"/>
              </w:rPr>
            </w:pPr>
            <w:proofErr w:type="gramStart"/>
            <w:r w:rsidRPr="00123724">
              <w:rPr>
                <w:rFonts w:ascii="Times New Roman" w:hAnsi="Times New Roman" w:cs="Times New Roman"/>
                <w:sz w:val="24"/>
                <w:szCs w:val="24"/>
              </w:rPr>
              <w:t xml:space="preserve">3. все женщины, способные родить (женатые или консенсуальные союзы), которые не беременны и не </w:t>
            </w:r>
            <w:r w:rsidR="00751BE9">
              <w:rPr>
                <w:rFonts w:ascii="Times New Roman" w:hAnsi="Times New Roman" w:cs="Times New Roman"/>
                <w:sz w:val="24"/>
                <w:szCs w:val="24"/>
              </w:rPr>
              <w:t xml:space="preserve">находятся в состоянии </w:t>
            </w:r>
            <w:r w:rsidR="00751BE9" w:rsidRPr="00751BE9">
              <w:rPr>
                <w:rFonts w:ascii="Times New Roman" w:hAnsi="Times New Roman" w:cs="Times New Roman"/>
                <w:sz w:val="24"/>
                <w:szCs w:val="24"/>
              </w:rPr>
              <w:t>послеродов</w:t>
            </w:r>
            <w:r w:rsidR="00751BE9">
              <w:rPr>
                <w:rFonts w:ascii="Times New Roman" w:hAnsi="Times New Roman" w:cs="Times New Roman"/>
                <w:sz w:val="24"/>
                <w:szCs w:val="24"/>
              </w:rPr>
              <w:t>ой</w:t>
            </w:r>
            <w:r w:rsidR="00751BE9" w:rsidRPr="00751BE9">
              <w:rPr>
                <w:rFonts w:ascii="Times New Roman" w:hAnsi="Times New Roman" w:cs="Times New Roman"/>
                <w:sz w:val="24"/>
                <w:szCs w:val="24"/>
              </w:rPr>
              <w:t xml:space="preserve"> аменоре</w:t>
            </w:r>
            <w:r w:rsidR="00751BE9">
              <w:rPr>
                <w:rFonts w:ascii="Times New Roman" w:hAnsi="Times New Roman" w:cs="Times New Roman"/>
                <w:sz w:val="24"/>
                <w:szCs w:val="24"/>
              </w:rPr>
              <w:t>и</w:t>
            </w:r>
            <w:r w:rsidRPr="00123724">
              <w:rPr>
                <w:rFonts w:ascii="Times New Roman" w:hAnsi="Times New Roman" w:cs="Times New Roman"/>
                <w:sz w:val="24"/>
                <w:szCs w:val="24"/>
              </w:rPr>
              <w:t xml:space="preserve">, и которые либо не хотят больше детей (хотят ограничить размер семьи), либо желают отложить рождение ребенка по крайней мере два года или не знают, когда они хотят другого ребенка (хотят </w:t>
            </w:r>
            <w:r w:rsidR="00751BE9">
              <w:rPr>
                <w:rFonts w:ascii="Times New Roman" w:hAnsi="Times New Roman" w:cs="Times New Roman"/>
                <w:sz w:val="24"/>
                <w:szCs w:val="24"/>
              </w:rPr>
              <w:t>перерыв между родами</w:t>
            </w:r>
            <w:r w:rsidRPr="00123724">
              <w:rPr>
                <w:rFonts w:ascii="Times New Roman" w:hAnsi="Times New Roman" w:cs="Times New Roman"/>
                <w:sz w:val="24"/>
                <w:szCs w:val="24"/>
              </w:rPr>
              <w:t>), но не используют какой-либо метод контрацепции.</w:t>
            </w:r>
            <w:proofErr w:type="gramEnd"/>
          </w:p>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Современные методы включают стерилизацию женщин и мужчин, внутриматочное устройство (</w:t>
            </w:r>
            <w:r w:rsidRPr="00123724">
              <w:rPr>
                <w:rFonts w:ascii="Times New Roman" w:hAnsi="Times New Roman" w:cs="Times New Roman"/>
                <w:sz w:val="24"/>
                <w:szCs w:val="24"/>
                <w:lang w:val="en-US"/>
              </w:rPr>
              <w:t>IUD</w:t>
            </w:r>
            <w:r w:rsidRPr="00123724">
              <w:rPr>
                <w:rFonts w:ascii="Times New Roman" w:hAnsi="Times New Roman" w:cs="Times New Roman"/>
                <w:sz w:val="24"/>
                <w:szCs w:val="24"/>
              </w:rPr>
              <w:t xml:space="preserve">), имплантат, инъекционные препараты, оральные контрацептивные таблетки, мужские и женские презервативы, вагинальные барьерные методы (включая диафрагму, шейку матки и </w:t>
            </w:r>
            <w:proofErr w:type="spellStart"/>
            <w:r w:rsidRPr="00123724">
              <w:rPr>
                <w:rFonts w:ascii="Times New Roman" w:hAnsi="Times New Roman" w:cs="Times New Roman"/>
                <w:sz w:val="24"/>
                <w:szCs w:val="24"/>
              </w:rPr>
              <w:t>спермицидную</w:t>
            </w:r>
            <w:proofErr w:type="spellEnd"/>
            <w:r w:rsidRPr="00123724">
              <w:rPr>
                <w:rFonts w:ascii="Times New Roman" w:hAnsi="Times New Roman" w:cs="Times New Roman"/>
                <w:sz w:val="24"/>
                <w:szCs w:val="24"/>
              </w:rPr>
              <w:t xml:space="preserve"> пену, желе, сливки и губку), метод </w:t>
            </w:r>
            <w:r w:rsidRPr="00123724">
              <w:rPr>
                <w:rFonts w:ascii="Times New Roman" w:hAnsi="Times New Roman" w:cs="Times New Roman"/>
                <w:sz w:val="24"/>
                <w:szCs w:val="24"/>
              </w:rPr>
              <w:lastRenderedPageBreak/>
              <w:t>лактационной аменореи (LAM), экстренная контрацепция и другие современные методы, не сообщаемые отдельно.</w:t>
            </w:r>
          </w:p>
        </w:tc>
      </w:tr>
      <w:tr w:rsidR="000B4273" w:rsidRPr="00123724" w:rsidTr="00103776">
        <w:tc>
          <w:tcPr>
            <w:tcW w:w="1809"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Метод оценки</w:t>
            </w:r>
          </w:p>
        </w:tc>
        <w:tc>
          <w:tcPr>
            <w:tcW w:w="7762"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Отдел народонаселения Организации Объединенных Наций выпускает систематическую и всеобъемлющую серию ежегодных оценок и прогнозов процентной доли спроса на планирование семьи, которая удовлетворена среди замужних или женщин</w:t>
            </w:r>
            <w:r w:rsidR="00751BE9">
              <w:rPr>
                <w:rFonts w:ascii="Times New Roman" w:hAnsi="Times New Roman" w:cs="Times New Roman"/>
                <w:sz w:val="24"/>
                <w:szCs w:val="24"/>
              </w:rPr>
              <w:t>, состоящих в союзе</w:t>
            </w:r>
            <w:r w:rsidRPr="00123724">
              <w:rPr>
                <w:rFonts w:ascii="Times New Roman" w:hAnsi="Times New Roman" w:cs="Times New Roman"/>
                <w:sz w:val="24"/>
                <w:szCs w:val="24"/>
              </w:rPr>
              <w:t>. Байесовская иерархическая модель в сочетании с данными по конкретным странам используется для формирования оценок, прогнозов и оценок неопределенности по данным опроса. Модель учитывает различия по источникам данных, выборке населения и методам контрацепции. Смотрите здесь для подробностей:</w:t>
            </w: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http://www.un.org/en/development/desa/population/theme/familyplanning/cp_model.shtml</w:t>
            </w:r>
          </w:p>
        </w:tc>
      </w:tr>
      <w:tr w:rsidR="000B4273" w:rsidRPr="00123724" w:rsidTr="00103776">
        <w:tc>
          <w:tcPr>
            <w:tcW w:w="1809"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762" w:type="dxa"/>
          </w:tcPr>
          <w:p w:rsidR="000B4273" w:rsidRPr="00123724" w:rsidRDefault="000B4273" w:rsidP="00123724">
            <w:pPr>
              <w:jc w:val="both"/>
              <w:rPr>
                <w:rFonts w:ascii="Times New Roman" w:hAnsi="Times New Roman" w:cs="Times New Roman"/>
                <w:sz w:val="24"/>
                <w:szCs w:val="24"/>
              </w:rPr>
            </w:pPr>
          </w:p>
        </w:tc>
      </w:tr>
    </w:tbl>
    <w:p w:rsidR="00103776" w:rsidRPr="00123724" w:rsidRDefault="00103776" w:rsidP="00123724">
      <w:pPr>
        <w:jc w:val="both"/>
        <w:rPr>
          <w:rFonts w:ascii="Times New Roman" w:hAnsi="Times New Roman" w:cs="Times New Roman"/>
          <w:sz w:val="24"/>
          <w:szCs w:val="24"/>
        </w:rPr>
      </w:pP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494"/>
        <w:gridCol w:w="8644"/>
      </w:tblGrid>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Детская иммунизация</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младенцев, получавших три дозы вакцины против дифтерии-столбняка-коклюша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Дети в возрасте 1 года, которые получили три дозы вакцины против дифтерии-столбняка-коклюша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Все дети в возрасте 1 года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домашних хозяйств и информационные системы объектов.</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Для данных обследований статус вакцинации детей в возрасте от 12 до 23 месяцев собирается из карт здоровья ребенка или, если нет карты, из отзыва со стороны опекуна. Для административных данных извлекается общее количество доз, назначаемых целевой группе.</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Вместе ВОЗ и ЮНИСЕФ получают оценки охвата DTP3 на основе данных, официально сообщенных ВОЗ и ЮНИСЕФ государствами-членами, а также данных, опубликованных в опубликованной и серой литературе. Они также консультируются с местными экспертами - в первую очередь с национальными менеджерами по охране окружающей среды и сотрудниками региональных отделений ВОЗ - за дополнительной информацией о выполнении конкретных местных служб иммунизации. Исходя из имеющихся данных, рассмотрения потенциальных предвзятостей и вкладов местных экспертов, ВОЗ/ЮНИСЕФ определяет наиболее вероятный истинный уровень охвата иммунизацией.</w:t>
            </w:r>
          </w:p>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Более подробную информацию смотрите здесь:</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http://www.who.int/bulletin/volumes/87/7/08-053819/en/</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immunization</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monitoring</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surveillance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routine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index</w:t>
            </w:r>
            <w:r w:rsidRPr="00123724">
              <w:rPr>
                <w:rFonts w:ascii="Times New Roman" w:hAnsi="Times New Roman" w:cs="Times New Roman"/>
                <w:sz w:val="24"/>
                <w:szCs w:val="24"/>
              </w:rPr>
              <w:t>4.</w:t>
            </w:r>
            <w:r w:rsidRPr="00123724">
              <w:rPr>
                <w:rFonts w:ascii="Times New Roman" w:hAnsi="Times New Roman" w:cs="Times New Roman"/>
                <w:sz w:val="24"/>
                <w:szCs w:val="24"/>
                <w:lang w:val="en-US"/>
              </w:rPr>
              <w:t>html</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Существует изменчивость национальных графиков вакцинации в разных странах. Учитывая это, одним из вариантов мониторинга полной иммунизации детей является мониторинг доли детей, получающих вакцины, включенных в национальный график своей страны. Второй вариант, который </w:t>
            </w:r>
            <w:proofErr w:type="gramStart"/>
            <w:r w:rsidRPr="00123724">
              <w:rPr>
                <w:rFonts w:ascii="Times New Roman" w:hAnsi="Times New Roman" w:cs="Times New Roman"/>
                <w:sz w:val="24"/>
                <w:szCs w:val="24"/>
              </w:rPr>
              <w:t>может быть более сопоставим</w:t>
            </w:r>
            <w:proofErr w:type="gramEnd"/>
            <w:r w:rsidRPr="00123724">
              <w:rPr>
                <w:rFonts w:ascii="Times New Roman" w:hAnsi="Times New Roman" w:cs="Times New Roman"/>
                <w:sz w:val="24"/>
                <w:szCs w:val="24"/>
              </w:rPr>
              <w:t xml:space="preserve"> по странам и времени, заключается в мониторинге покрытия DTP3 в качестве прокси для полной иммунизации детей. Вакцина, содержащая дифтерий-столбняк-коклюш, часто включает в себя другие вакцины, например, против гепатита</w:t>
            </w:r>
            <w:proofErr w:type="gramStart"/>
            <w:r w:rsidRPr="00123724">
              <w:rPr>
                <w:rFonts w:ascii="Times New Roman" w:hAnsi="Times New Roman" w:cs="Times New Roman"/>
                <w:sz w:val="24"/>
                <w:szCs w:val="24"/>
              </w:rPr>
              <w:t xml:space="preserve"> В</w:t>
            </w:r>
            <w:proofErr w:type="gramEnd"/>
            <w:r w:rsidRPr="00123724">
              <w:rPr>
                <w:rFonts w:ascii="Times New Roman" w:hAnsi="Times New Roman" w:cs="Times New Roman"/>
                <w:sz w:val="24"/>
                <w:szCs w:val="24"/>
              </w:rPr>
              <w:t xml:space="preserve"> и гемофильного гриппа типа В, и является разумным показателем того, в какой степени в стране существует надежная платформа доставки вакцин. Недавно был одобрена задача охвата вакцины ЦУР 3.b. Следуя рекомендациям Консультативной группы экспертов по иммунизации от ноября 2017 года, этот показатель будет заменен второй дозой кори, которая является одним из четырех компонентов из 3.b.1. Это изменение будет сделано после процесса консультаций со страной.</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ayout w:type="fixed"/>
        <w:tblLook w:val="04A0"/>
      </w:tblPr>
      <w:tblGrid>
        <w:gridCol w:w="1668"/>
        <w:gridCol w:w="7903"/>
      </w:tblGrid>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Лечение детей (уход за симптомами пневмонии)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861272" w:rsidP="00DF359B">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Процент детей в возрасте до 5 лет с подозрением на пневмонию (кашель и затрудненное дыхание НЕ из-за проблемы в грудной клетке и заблокированный нос) за две недели, предшествовавшие обследованию, полученному в соответствующее учреждение или </w:t>
            </w:r>
            <w:r w:rsidR="00DF359B">
              <w:rPr>
                <w:rFonts w:ascii="Times New Roman" w:hAnsi="Times New Roman" w:cs="Times New Roman"/>
                <w:sz w:val="24"/>
                <w:szCs w:val="24"/>
              </w:rPr>
              <w:t>лицо, оказывающее медицинские услуги.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861272" w:rsidP="00DF359B">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детей с подозрением на пневмонию за две недели, предшествующие обследованию, </w:t>
            </w:r>
            <w:r w:rsidR="00DF359B">
              <w:rPr>
                <w:rFonts w:ascii="Times New Roman" w:hAnsi="Times New Roman" w:cs="Times New Roman"/>
                <w:sz w:val="24"/>
                <w:szCs w:val="24"/>
              </w:rPr>
              <w:t>оказанноелицом, оказывающее медицинские услуги.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детей с подозрением на пневмонию за две недели до обследования</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Опросы</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Во время совещания ЮНИСЕФ/ВОЗ по показателям, связанным с выживанием детей, проведенного в Нью-Йорке 17-18 июня 2004 года, было рекомендовано охарактеризовать острые респираторные инфекции (ОРИ) как «предполагаемую пневмонию», чтобы лучше отражать вероятную причину и рекомендованные вмешательства. Определение предполагаемой пневмонии, используемой в Обзоре демографии и здоровья (DHS) и в Групповых обследованиях с множественными показателями (MICS), было выбрано группой и основано на восприятии матерями ребенка, у которого есть кашель, дышит быстрее обычного с короткими, быстрыми вдохами или затрудненное дыхание, исключая детей, у которых был только заблокированный нос. Определение «подходящего» поставщика медицинских услуг варьируется между странами.</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ВОЗ ведет базу данных наблюдений на страновом уровне из обследований домашних хозяйств, к которым можно получить доступ:</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http://www.who.int/gho/child_health/prevention/pneumonia/en/</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В настоящее время нет сопоставимых на международном уровне оценок этого показателя.</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Этот показатель обычно не измеряется в странах с более высоким уровнем дохода с хорошо зарекомендовавшими себя системами здравоохранения. Для стран, не имеющих наблюдаемых данных, охват оценивался по регрессии, которая предсказывает охват по уходу за симптомами пневмонии (по шкале </w:t>
            </w:r>
            <w:proofErr w:type="spellStart"/>
            <w:r w:rsidRPr="00123724">
              <w:rPr>
                <w:rFonts w:ascii="Times New Roman" w:hAnsi="Times New Roman" w:cs="Times New Roman"/>
                <w:sz w:val="24"/>
                <w:szCs w:val="24"/>
              </w:rPr>
              <w:t>logit</w:t>
            </w:r>
            <w:proofErr w:type="spellEnd"/>
            <w:r w:rsidRPr="00123724">
              <w:rPr>
                <w:rFonts w:ascii="Times New Roman" w:hAnsi="Times New Roman" w:cs="Times New Roman"/>
                <w:sz w:val="24"/>
                <w:szCs w:val="24"/>
              </w:rPr>
              <w:t>), полученной из базы данных ВОЗ, описанной выше, в зависимости от журнала оценочных данных, пять смертей от пневмонии, которые можно найти здесь:</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global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burden</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disease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estimates</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child</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cod</w:t>
            </w:r>
            <w:r w:rsidRPr="00123724">
              <w:rPr>
                <w:rFonts w:ascii="Times New Roman" w:hAnsi="Times New Roman" w:cs="Times New Roman"/>
                <w:sz w:val="24"/>
                <w:szCs w:val="24"/>
              </w:rPr>
              <w:t>_2015/</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61272" w:rsidP="00123724">
            <w:pPr>
              <w:tabs>
                <w:tab w:val="left" w:pos="1080"/>
              </w:tabs>
              <w:jc w:val="both"/>
              <w:rPr>
                <w:rFonts w:ascii="Times New Roman" w:hAnsi="Times New Roman" w:cs="Times New Roman"/>
                <w:sz w:val="24"/>
                <w:szCs w:val="24"/>
              </w:rPr>
            </w:pPr>
            <w:r w:rsidRPr="00123724">
              <w:rPr>
                <w:rFonts w:ascii="Times New Roman" w:hAnsi="Times New Roman" w:cs="Times New Roman"/>
                <w:sz w:val="24"/>
                <w:szCs w:val="24"/>
              </w:rPr>
              <w:t>Лечение туберкулеза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случаев заболевания ТБ, которые были обнаружены и успешно лечены в течение данного года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новых случаев и случаев рецидивов, выявленных в данном году и успешно леченных</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новых и рецидивов в том же году</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Информационные системы, системы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демографические обследования населения с диагностическим тестом на туберкулез, регистрацию ТБ и соответствующую квартальную систему отчетности (или электронные регистраторы ТБ)</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Для этого индикатора требуются три основных входа:</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(1) Число новых и рецидивирующих случаев туберкулеза диагностировано и лечится в национальных программах борьбы с туберкулезом и уведомлено ВОЗ в конкретном году.</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(2) Число случаев заболевания ТБ в том же году, как правило, оценивается ВОЗ.</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(3) Процент больных туберкулезом, успешно лечившихся (лечение и лечение завершен) среди случаев ТБ, уведомленных национальным органам здравоохранения.</w:t>
            </w:r>
          </w:p>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Конечный индикатор = (1) / (2) x (3)</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Оценки заболеваемости ТБ производятся в рамках консультативного и аналитического процесса, возглавляемого ВОЗ, и публикуются ежегодно. Эти оценки основаны на ежегодных уведомлениях о случаях, оценках качества и охвата данных уведомления о туберкулезе, национальных обследованиях распространенности заболевания ТБ и информации о смертельных (жизненно важных) системах регистрации. Оценки заболеваемости для каждой страны производятся с использованием одного или нескольких из следующих подходов в зависимости от имеющихся данных:</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1. заболеваемость = уведомления о случаях/оценочная доля выявленных случаев;</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2. заболеваемость = распространенность/продолжительность заболевания;</w:t>
            </w:r>
          </w:p>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3. заболеваемость = смертность/доля случаев инцидентов, которые умирают.</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Эти оценки заболеваемости туберкулезом сочетаются с данными по странам о количестве выявленных и обработанных случаев и о процентном отношении случаев, которые были успешно обработаны, как описано выше.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572DD" w:rsidP="00182745">
            <w:pPr>
              <w:jc w:val="both"/>
              <w:rPr>
                <w:rFonts w:ascii="Times New Roman" w:hAnsi="Times New Roman" w:cs="Times New Roman"/>
                <w:sz w:val="24"/>
                <w:szCs w:val="24"/>
              </w:rPr>
            </w:pPr>
            <w:r w:rsidRPr="00123724">
              <w:rPr>
                <w:rFonts w:ascii="Times New Roman" w:hAnsi="Times New Roman" w:cs="Times New Roman"/>
                <w:sz w:val="24"/>
                <w:szCs w:val="24"/>
              </w:rPr>
              <w:t xml:space="preserve">Чтобы вычислить </w:t>
            </w:r>
            <w:r w:rsidR="00182745">
              <w:rPr>
                <w:rFonts w:ascii="Times New Roman" w:hAnsi="Times New Roman" w:cs="Times New Roman"/>
                <w:sz w:val="24"/>
                <w:szCs w:val="24"/>
              </w:rPr>
              <w:t>индикатор</w:t>
            </w:r>
            <w:r w:rsidRPr="00123724">
              <w:rPr>
                <w:rFonts w:ascii="Times New Roman" w:hAnsi="Times New Roman" w:cs="Times New Roman"/>
                <w:sz w:val="24"/>
                <w:szCs w:val="24"/>
              </w:rPr>
              <w:t xml:space="preserve"> с использованием оценок ВОЗ, можно получить доступ к необходимым файлам здесь: http://www.who.int/tb/country/data/download/en/,и вычислить индикатор как = </w:t>
            </w:r>
            <w:proofErr w:type="spellStart"/>
            <w:r w:rsidRPr="00123724">
              <w:rPr>
                <w:rFonts w:ascii="Times New Roman" w:hAnsi="Times New Roman" w:cs="Times New Roman"/>
                <w:sz w:val="24"/>
                <w:szCs w:val="24"/>
              </w:rPr>
              <w:t>c_cdr</w:t>
            </w:r>
            <w:proofErr w:type="spellEnd"/>
            <w:r w:rsidRPr="00123724">
              <w:rPr>
                <w:rFonts w:ascii="Times New Roman" w:hAnsi="Times New Roman" w:cs="Times New Roman"/>
                <w:sz w:val="24"/>
                <w:szCs w:val="24"/>
              </w:rPr>
              <w:t xml:space="preserve"> x </w:t>
            </w:r>
            <w:proofErr w:type="spellStart"/>
            <w:r w:rsidRPr="00123724">
              <w:rPr>
                <w:rFonts w:ascii="Times New Roman" w:hAnsi="Times New Roman" w:cs="Times New Roman"/>
                <w:sz w:val="24"/>
                <w:szCs w:val="24"/>
              </w:rPr>
              <w:t>c_new_tsr</w:t>
            </w:r>
            <w:proofErr w:type="spellEnd"/>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Лечение ВИЧ</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людей, живущих с ВИЧ, в настоящее время получающих антиретровирусную терапию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взрослых и детей, которые в настоящее время получают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на конец отчетного периода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взрослых и детей, живущих с ВИЧ, за тот же период</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Системы отчетности по объектам, дозорные пункты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обследования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EC34BC"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Числитель: числитель может быть сгенерирован путем подсчета числа взрослых и детей, которые получили антиретровирусную комбинированную терапию в конце отчетного периода. Данные можно собирать из реестров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основанных на объектах, или систем управления лекарственными средствами. Затем они подсчитываются и переводятся в ежемесячные или квартальные отчеты в поперечном разрезе, которые затем могут быть объединены для национальных итогов. Пациенты, получающие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в частном секторе и в государственном секторе, должны быть включены в числитель. </w:t>
            </w:r>
          </w:p>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Знаменатель. Данные о числе людей с ВИЧ-инфекцией могут поступать из опросов населения или, как это принято в странах Африки к югу от Сахары, систем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на базе клиник дородовой помощи.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Оценки охвата антиретровирусным лечением среди людей, живущих с ВИЧ, в 2015 году получены в рамках раунда оценки ЮНЭЙДС в 2016 году или, в некоторых ограниченных случаях, взяты из данных, представленных ЮНЭЙДС с помощью Глобального механизма отчетности о ходе осуществления мер в ответ на СПИД. Чтобы оценить количество людей, живущих с ВИЧ, во время пребывания в странах с высоким бременем, ЮНЭЙДС в сотрудничестве со странами использует эпидемическую модель (</w:t>
            </w:r>
            <w:proofErr w:type="spellStart"/>
            <w:r w:rsidRPr="00123724">
              <w:rPr>
                <w:rFonts w:ascii="Times New Roman" w:hAnsi="Times New Roman" w:cs="Times New Roman"/>
                <w:sz w:val="24"/>
                <w:szCs w:val="24"/>
              </w:rPr>
              <w:t>Spectrum</w:t>
            </w:r>
            <w:proofErr w:type="spellEnd"/>
            <w:r w:rsidRPr="00123724">
              <w:rPr>
                <w:rFonts w:ascii="Times New Roman" w:hAnsi="Times New Roman" w:cs="Times New Roman"/>
                <w:sz w:val="24"/>
                <w:szCs w:val="24"/>
              </w:rPr>
              <w:t xml:space="preserve">), которая объединяет данные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о распространенности с текущим числом пациентов, получающих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и предположения о естественной истории ВИЧ прогрессирование болезни. Поскольку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сейчас рекомендуется для всех людей, живущих с ВИЧ, мониторинг АРТ менее сложный, чем раньше, когда только те, у кого определенный уровень тяжести заболевания, имеют право на получение АРТ.</w:t>
            </w:r>
          </w:p>
          <w:p w:rsidR="008572D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Оценки охвата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можно найти здесь: http://aidsinfo.unaids.org/</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Сопоставимые оценки охвата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в странах с высокими доходами, в частности временные тенденции, не всегда доступны.</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Предотвращение малярии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населения в эндемичных по малярии районах, которые спали под ITN накануне вечером.</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людей в эндемичных по малярии областях, которые спали под ITN.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людей в эндемичных районах малярии.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Данные о доступе к домохозяйству и использовании ITN поступают из общенациональных репрезентативных обследований домашних хозяйств, таких как демографические и медицинские обследования, групповые обследования с несколькими показателями и обследования показателей по малярии. Данные о количестве ITN, поставляемых производителями в страны, составляются </w:t>
            </w:r>
            <w:proofErr w:type="spellStart"/>
            <w:r w:rsidRPr="00123724">
              <w:rPr>
                <w:rFonts w:ascii="Times New Roman" w:hAnsi="Times New Roman" w:cs="Times New Roman"/>
                <w:sz w:val="24"/>
                <w:szCs w:val="24"/>
              </w:rPr>
              <w:t>MillinerGlobalAssociates</w:t>
            </w:r>
            <w:proofErr w:type="spellEnd"/>
            <w:r w:rsidRPr="00123724">
              <w:rPr>
                <w:rFonts w:ascii="Times New Roman" w:hAnsi="Times New Roman" w:cs="Times New Roman"/>
                <w:sz w:val="24"/>
                <w:szCs w:val="24"/>
              </w:rPr>
              <w:t>, а данные о количестве ITN, распространяемых внутри стран, сообщаются Национальными программами борьбы с малярией.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20378A" w:rsidP="00EC34BC">
            <w:pPr>
              <w:jc w:val="both"/>
              <w:rPr>
                <w:rFonts w:ascii="Times New Roman" w:hAnsi="Times New Roman" w:cs="Times New Roman"/>
                <w:sz w:val="24"/>
                <w:szCs w:val="24"/>
              </w:rPr>
            </w:pPr>
            <w:r w:rsidRPr="00123724">
              <w:rPr>
                <w:rFonts w:ascii="Times New Roman" w:hAnsi="Times New Roman" w:cs="Times New Roman"/>
                <w:sz w:val="24"/>
                <w:szCs w:val="24"/>
              </w:rPr>
              <w:t xml:space="preserve">Во многих недавних национальных обследованиях сообщается о количестве </w:t>
            </w:r>
            <w:r w:rsidR="00EC34BC" w:rsidRPr="00123724">
              <w:rPr>
                <w:rFonts w:ascii="Times New Roman" w:hAnsi="Times New Roman" w:cs="Times New Roman"/>
                <w:sz w:val="24"/>
                <w:szCs w:val="24"/>
              </w:rPr>
              <w:t>ITN</w:t>
            </w:r>
            <w:r w:rsidRPr="00123724">
              <w:rPr>
                <w:rFonts w:ascii="Times New Roman" w:hAnsi="Times New Roman" w:cs="Times New Roman"/>
                <w:sz w:val="24"/>
                <w:szCs w:val="24"/>
              </w:rPr>
              <w:t xml:space="preserve">, наблюдаемых в каждом домохозяйстве-респонденте. </w:t>
            </w:r>
            <w:r w:rsidR="00EC34BC">
              <w:rPr>
                <w:rFonts w:ascii="Times New Roman" w:hAnsi="Times New Roman" w:cs="Times New Roman"/>
                <w:sz w:val="24"/>
                <w:szCs w:val="24"/>
              </w:rPr>
              <w:t>Оценки</w:t>
            </w:r>
            <w:r w:rsidRPr="00123724">
              <w:rPr>
                <w:rFonts w:ascii="Times New Roman" w:hAnsi="Times New Roman" w:cs="Times New Roman"/>
                <w:sz w:val="24"/>
                <w:szCs w:val="24"/>
              </w:rPr>
              <w:t xml:space="preserve"> владения могут быть преобразованы в долю людей, спящих в ITN, используя линейную зависимость между доступом и использованием, полученную из 62 опросов, которые собирают информацию по обоим показателям.</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20378A" w:rsidP="00123724">
            <w:pPr>
              <w:jc w:val="both"/>
              <w:rPr>
                <w:rFonts w:ascii="Times New Roman" w:hAnsi="Times New Roman" w:cs="Times New Roman"/>
                <w:b/>
                <w:sz w:val="24"/>
                <w:szCs w:val="24"/>
              </w:rPr>
            </w:pPr>
            <w:r w:rsidRPr="00123724">
              <w:rPr>
                <w:rFonts w:ascii="Times New Roman" w:hAnsi="Times New Roman" w:cs="Times New Roman"/>
                <w:sz w:val="24"/>
                <w:szCs w:val="24"/>
              </w:rPr>
              <w:t>Математические модели могут использоваться для объединения данных обследований домашних хозяйств по доступу и использованию с информацией о поставках ITN от производителей и распределении ITN по национальным программам борьбы с малярией для получения ежегодных оценок охвата ITN. ВОЗ использует этот подход в сотрудничестве с проектом «Атлас малярии». Методологические подробности можно найти в Приложении к Всемирному докладу о малярии в 2015 году: http://www.who.int/malaria/publications/world-malaria-report2015/report/en/.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ВОЗ производит сопоставимые оценки охвата ITN для 40 стран с высокой нагрузкой. Для других стран покрытие ITN не включено в индекс охвата услуг UHC из-за ограничений данных. Однако в будущих исследованиях основное внимание будет уделено оценке охвата ITN среди лиц, подвергающихся риску, в странах за пределами Африки с (потенциально локализованным) бременем малярии.</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Водоснабжение и санитария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E80F7B" w:rsidP="00123724">
            <w:pPr>
              <w:tabs>
                <w:tab w:val="left" w:pos="1095"/>
              </w:tabs>
              <w:jc w:val="both"/>
              <w:rPr>
                <w:rFonts w:ascii="Times New Roman" w:hAnsi="Times New Roman" w:cs="Times New Roman"/>
                <w:sz w:val="24"/>
                <w:szCs w:val="24"/>
              </w:rPr>
            </w:pPr>
            <w:r w:rsidRPr="00123724">
              <w:rPr>
                <w:rFonts w:ascii="Times New Roman" w:hAnsi="Times New Roman" w:cs="Times New Roman"/>
                <w:sz w:val="24"/>
                <w:szCs w:val="24"/>
              </w:rPr>
              <w:t>Процент домохозяйств, использующих улучшенные санитарные условия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E80F7B" w:rsidP="00EC34BC">
            <w:pPr>
              <w:jc w:val="both"/>
              <w:rPr>
                <w:rFonts w:ascii="Times New Roman" w:hAnsi="Times New Roman" w:cs="Times New Roman"/>
                <w:sz w:val="24"/>
                <w:szCs w:val="24"/>
              </w:rPr>
            </w:pPr>
            <w:r w:rsidRPr="00123724">
              <w:rPr>
                <w:rFonts w:ascii="Times New Roman" w:hAnsi="Times New Roman" w:cs="Times New Roman"/>
                <w:sz w:val="24"/>
                <w:szCs w:val="24"/>
              </w:rPr>
              <w:t xml:space="preserve">Население, проживающее в домашнем хозяйстве с: промывкой или заливом в канализационную систему, септик или </w:t>
            </w:r>
            <w:r w:rsidR="00EC34BC" w:rsidRPr="00EC34BC">
              <w:rPr>
                <w:rFonts w:ascii="Times New Roman" w:hAnsi="Times New Roman" w:cs="Times New Roman"/>
                <w:sz w:val="24"/>
                <w:szCs w:val="24"/>
              </w:rPr>
              <w:t xml:space="preserve">выгребная </w:t>
            </w:r>
            <w:r w:rsidRPr="00123724">
              <w:rPr>
                <w:rFonts w:ascii="Times New Roman" w:hAnsi="Times New Roman" w:cs="Times New Roman"/>
                <w:sz w:val="24"/>
                <w:szCs w:val="24"/>
              </w:rPr>
              <w:t>ям</w:t>
            </w:r>
            <w:r w:rsidR="00EC34BC">
              <w:rPr>
                <w:rFonts w:ascii="Times New Roman" w:hAnsi="Times New Roman" w:cs="Times New Roman"/>
                <w:sz w:val="24"/>
                <w:szCs w:val="24"/>
              </w:rPr>
              <w:t>а</w:t>
            </w:r>
            <w:r w:rsidRPr="00123724">
              <w:rPr>
                <w:rFonts w:ascii="Times New Roman" w:hAnsi="Times New Roman" w:cs="Times New Roman"/>
                <w:sz w:val="24"/>
                <w:szCs w:val="24"/>
              </w:rPr>
              <w:t xml:space="preserve">; вентилируемый улучшенный ящик для уборки ямы; </w:t>
            </w:r>
            <w:r w:rsidR="00EC34BC" w:rsidRPr="00EC34BC">
              <w:rPr>
                <w:rFonts w:ascii="Times New Roman" w:hAnsi="Times New Roman" w:cs="Times New Roman"/>
                <w:sz w:val="24"/>
                <w:szCs w:val="24"/>
              </w:rPr>
              <w:t>выгребная яма с плитой</w:t>
            </w:r>
            <w:r w:rsidRPr="00123724">
              <w:rPr>
                <w:rFonts w:ascii="Times New Roman" w:hAnsi="Times New Roman" w:cs="Times New Roman"/>
                <w:sz w:val="24"/>
                <w:szCs w:val="24"/>
              </w:rPr>
              <w:t>; или компостирующий туалет.</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домашних хозяйств и переписи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Ответы домашних хозяйств, взвешенные по размеру домашних хозяйств, используются для расчета охвата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C4254E" w:rsidP="00EC34BC">
            <w:pPr>
              <w:jc w:val="both"/>
              <w:rPr>
                <w:rFonts w:ascii="Times New Roman" w:hAnsi="Times New Roman" w:cs="Times New Roman"/>
                <w:sz w:val="24"/>
                <w:szCs w:val="24"/>
              </w:rPr>
            </w:pPr>
            <w:r w:rsidRPr="00123724">
              <w:rPr>
                <w:rFonts w:ascii="Times New Roman" w:hAnsi="Times New Roman" w:cs="Times New Roman"/>
                <w:sz w:val="24"/>
                <w:szCs w:val="24"/>
              </w:rPr>
              <w:t>Совме</w:t>
            </w:r>
            <w:r w:rsidR="00EC34BC">
              <w:rPr>
                <w:rFonts w:ascii="Times New Roman" w:hAnsi="Times New Roman" w:cs="Times New Roman"/>
                <w:sz w:val="24"/>
                <w:szCs w:val="24"/>
              </w:rPr>
              <w:t>стная программа мониторинга ВОЗ</w:t>
            </w:r>
            <w:r w:rsidRPr="00123724">
              <w:rPr>
                <w:rFonts w:ascii="Times New Roman" w:hAnsi="Times New Roman" w:cs="Times New Roman"/>
                <w:sz w:val="24"/>
                <w:szCs w:val="24"/>
              </w:rPr>
              <w:t xml:space="preserve">/ЮНИСЕФ провела регулярные оценки охвата улучшенной санитарии для мониторинга </w:t>
            </w:r>
            <w:r w:rsidR="00C44EC1" w:rsidRPr="00C44EC1">
              <w:rPr>
                <w:rFonts w:ascii="Times New Roman" w:hAnsi="Times New Roman" w:cs="Times New Roman"/>
                <w:sz w:val="24"/>
                <w:szCs w:val="24"/>
              </w:rPr>
              <w:t>MDG</w:t>
            </w:r>
            <w:r w:rsidRPr="00123724">
              <w:rPr>
                <w:rFonts w:ascii="Times New Roman" w:hAnsi="Times New Roman" w:cs="Times New Roman"/>
                <w:sz w:val="24"/>
                <w:szCs w:val="24"/>
              </w:rPr>
              <w:t>. После составления базы данных доступных источников данных для каждой страны простые линейные регрессии устанавливаются в серии данных страны для получения оценки без оценки, а также для получения 2-летней экстраполяции за пределами последней доступной точки данных, после которой охват сохранялся постоянным в течение 4 лет, а затем считался отсутствующим. Это делается отдельно для городских и сельских регионов, а затем объединяется для получения оценок национального покрытия. Подробная информация о методологии и последних оценках приведена здесь: http://www.wssinfo.org/</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C44EC1" w:rsidP="00123724">
            <w:pPr>
              <w:jc w:val="both"/>
              <w:rPr>
                <w:rFonts w:ascii="Times New Roman" w:hAnsi="Times New Roman" w:cs="Times New Roman"/>
                <w:sz w:val="24"/>
                <w:szCs w:val="24"/>
              </w:rPr>
            </w:pPr>
            <w:r>
              <w:rPr>
                <w:rFonts w:ascii="Times New Roman" w:hAnsi="Times New Roman" w:cs="Times New Roman"/>
                <w:sz w:val="24"/>
                <w:szCs w:val="24"/>
              </w:rPr>
              <w:t>Показатель</w:t>
            </w:r>
            <w:r w:rsidR="00C4254E" w:rsidRPr="00123724">
              <w:rPr>
                <w:rFonts w:ascii="Times New Roman" w:hAnsi="Times New Roman" w:cs="Times New Roman"/>
                <w:sz w:val="24"/>
                <w:szCs w:val="24"/>
              </w:rPr>
              <w:t xml:space="preserve"> ЦУР для санитарии (ЦУР 6.2.1) является расширенной версией показателя </w:t>
            </w:r>
            <w:r w:rsidR="00C4254E" w:rsidRPr="00123724">
              <w:rPr>
                <w:rFonts w:ascii="Times New Roman" w:hAnsi="Times New Roman" w:cs="Times New Roman"/>
                <w:sz w:val="24"/>
                <w:szCs w:val="24"/>
                <w:lang w:val="en-US"/>
              </w:rPr>
              <w:t>MDG</w:t>
            </w:r>
            <w:r w:rsidR="00C4254E" w:rsidRPr="00123724">
              <w:rPr>
                <w:rFonts w:ascii="Times New Roman" w:hAnsi="Times New Roman" w:cs="Times New Roman"/>
                <w:sz w:val="24"/>
                <w:szCs w:val="24"/>
              </w:rPr>
              <w:t xml:space="preserve">, включающим качество санитарии. После того, как данные по стране и оценки будут доступны для этого нового показателя, его можно использовать для мониторинга UHC вместо определения индикатора </w:t>
            </w:r>
            <w:r w:rsidR="00C4254E" w:rsidRPr="00123724">
              <w:rPr>
                <w:rFonts w:ascii="Times New Roman" w:hAnsi="Times New Roman" w:cs="Times New Roman"/>
                <w:sz w:val="24"/>
                <w:szCs w:val="24"/>
                <w:lang w:val="en-US"/>
              </w:rPr>
              <w:t>MDG</w:t>
            </w:r>
            <w:r w:rsidR="00C4254E" w:rsidRPr="00123724">
              <w:rPr>
                <w:rFonts w:ascii="Times New Roman" w:hAnsi="Times New Roman" w:cs="Times New Roman"/>
                <w:sz w:val="24"/>
                <w:szCs w:val="24"/>
              </w:rPr>
              <w:t>, описанного выше. Также можно рассмотреть совместный показатель, который определяет долю домашних хозяйств, имеющих доступ к безопасной воде и санитарии.</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Профилактика </w:t>
            </w:r>
            <w:proofErr w:type="gramStart"/>
            <w:r w:rsidRPr="00123724">
              <w:rPr>
                <w:rFonts w:ascii="Times New Roman" w:hAnsi="Times New Roman" w:cs="Times New Roman"/>
                <w:sz w:val="24"/>
                <w:szCs w:val="24"/>
              </w:rPr>
              <w:t>сердечно-сосудистых</w:t>
            </w:r>
            <w:proofErr w:type="gramEnd"/>
            <w:r w:rsidRPr="00123724">
              <w:rPr>
                <w:rFonts w:ascii="Times New Roman" w:hAnsi="Times New Roman" w:cs="Times New Roman"/>
                <w:sz w:val="24"/>
                <w:szCs w:val="24"/>
              </w:rPr>
              <w:t xml:space="preserve"> заболеваний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Стандартизованная по возрасту распространенность нормального артериального давления среди взрослых в возрасте 18+, независимо от статуса лечения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C4254E" w:rsidP="00C44EC1">
            <w:pPr>
              <w:tabs>
                <w:tab w:val="left" w:pos="1320"/>
              </w:tabs>
              <w:jc w:val="both"/>
              <w:rPr>
                <w:rFonts w:ascii="Times New Roman" w:hAnsi="Times New Roman" w:cs="Times New Roman"/>
                <w:sz w:val="24"/>
                <w:szCs w:val="24"/>
              </w:rPr>
            </w:pPr>
            <w:r w:rsidRPr="00123724">
              <w:rPr>
                <w:rFonts w:ascii="Times New Roman" w:hAnsi="Times New Roman" w:cs="Times New Roman"/>
                <w:sz w:val="24"/>
                <w:szCs w:val="24"/>
              </w:rPr>
              <w:t>Число взрослых в возрасте 18 лет и старше с систолическим арт</w:t>
            </w:r>
            <w:r w:rsidR="00C44EC1">
              <w:rPr>
                <w:rFonts w:ascii="Times New Roman" w:hAnsi="Times New Roman" w:cs="Times New Roman"/>
                <w:sz w:val="24"/>
                <w:szCs w:val="24"/>
              </w:rPr>
              <w:t xml:space="preserve">ериальным давлением &lt;140 мм </w:t>
            </w:r>
            <w:proofErr w:type="spellStart"/>
            <w:r w:rsidR="00C44EC1">
              <w:rPr>
                <w:rFonts w:ascii="Times New Roman" w:hAnsi="Times New Roman" w:cs="Times New Roman"/>
                <w:sz w:val="24"/>
                <w:szCs w:val="24"/>
              </w:rPr>
              <w:t>рт.с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 xml:space="preserve">. </w:t>
            </w:r>
            <w:r w:rsidR="00C44EC1">
              <w:rPr>
                <w:rFonts w:ascii="Times New Roman" w:hAnsi="Times New Roman" w:cs="Times New Roman"/>
                <w:sz w:val="24"/>
                <w:szCs w:val="24"/>
              </w:rPr>
              <w:t>и</w:t>
            </w:r>
            <w:r w:rsidRPr="00123724">
              <w:rPr>
                <w:rFonts w:ascii="Times New Roman" w:hAnsi="Times New Roman" w:cs="Times New Roman"/>
                <w:sz w:val="24"/>
                <w:szCs w:val="24"/>
              </w:rPr>
              <w:t xml:space="preserve"> диастолическое артериальное давление &lt;90 мм </w:t>
            </w:r>
            <w:proofErr w:type="spellStart"/>
            <w:r w:rsidRPr="00123724">
              <w:rPr>
                <w:rFonts w:ascii="Times New Roman" w:hAnsi="Times New Roman" w:cs="Times New Roman"/>
                <w:sz w:val="24"/>
                <w:szCs w:val="24"/>
              </w:rPr>
              <w:t>рт.</w:t>
            </w:r>
            <w:r w:rsidR="00C44EC1">
              <w:rPr>
                <w:rFonts w:ascii="Times New Roman" w:hAnsi="Times New Roman" w:cs="Times New Roman"/>
                <w:sz w:val="24"/>
                <w:szCs w:val="24"/>
              </w:rPr>
              <w:t>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 (</w:t>
            </w:r>
            <w:r w:rsidR="00C44EC1">
              <w:rPr>
                <w:rFonts w:ascii="Times New Roman" w:hAnsi="Times New Roman" w:cs="Times New Roman"/>
                <w:sz w:val="24"/>
                <w:szCs w:val="24"/>
              </w:rPr>
              <w:t>н</w:t>
            </w:r>
            <w:r w:rsidRPr="00123724">
              <w:rPr>
                <w:rFonts w:ascii="Times New Roman" w:hAnsi="Times New Roman" w:cs="Times New Roman"/>
                <w:sz w:val="24"/>
                <w:szCs w:val="24"/>
              </w:rPr>
              <w:t>езависимо от состояния лечения)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взрослых в возрасте от 18 лет и старше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Населенные обследования и системы наблюдения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Используются источники данных, регистрирующие измеренное кровяное давление (исключаются данные с самоотдачей). Если для каждого участника принимается несколько показаний кровяного давления, первое чтение отбрасывается, а остальные показания усредняются.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E42DF2"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получения сопоставимых национальных оценок данные наблюдений за распространенностью, определяемыми с помощью чередующихся обследований SBP и/или DBP, преобразуются в распространенность повышенного кровяного давления, определяемого как систолическое артериальное давление&gt; 140 мм </w:t>
            </w:r>
            <w:proofErr w:type="spellStart"/>
            <w:r w:rsidRPr="00123724">
              <w:rPr>
                <w:rFonts w:ascii="Times New Roman" w:hAnsi="Times New Roman" w:cs="Times New Roman"/>
                <w:sz w:val="24"/>
                <w:szCs w:val="24"/>
              </w:rPr>
              <w:t>рт.</w:t>
            </w:r>
            <w:r w:rsidR="00C44EC1">
              <w:rPr>
                <w:rFonts w:ascii="Times New Roman" w:hAnsi="Times New Roman" w:cs="Times New Roman"/>
                <w:sz w:val="24"/>
                <w:szCs w:val="24"/>
              </w:rPr>
              <w:t>ст</w:t>
            </w:r>
            <w:proofErr w:type="spellEnd"/>
            <w:r w:rsidR="00C44EC1">
              <w:rPr>
                <w:rFonts w:ascii="Times New Roman" w:hAnsi="Times New Roman" w:cs="Times New Roman"/>
                <w:sz w:val="24"/>
                <w:szCs w:val="24"/>
              </w:rPr>
              <w:t>. и</w:t>
            </w:r>
            <w:r w:rsidRPr="00123724">
              <w:rPr>
                <w:rFonts w:ascii="Times New Roman" w:hAnsi="Times New Roman" w:cs="Times New Roman"/>
                <w:sz w:val="24"/>
                <w:szCs w:val="24"/>
              </w:rPr>
              <w:t>ли диастолическое арте</w:t>
            </w:r>
            <w:r w:rsidR="00C44EC1">
              <w:rPr>
                <w:rFonts w:ascii="Times New Roman" w:hAnsi="Times New Roman" w:cs="Times New Roman"/>
                <w:sz w:val="24"/>
                <w:szCs w:val="24"/>
              </w:rPr>
              <w:t xml:space="preserve">риальное давление&gt; = 90 мм </w:t>
            </w:r>
            <w:proofErr w:type="spellStart"/>
            <w:r w:rsidR="00C44EC1">
              <w:rPr>
                <w:rFonts w:ascii="Times New Roman" w:hAnsi="Times New Roman" w:cs="Times New Roman"/>
                <w:sz w:val="24"/>
                <w:szCs w:val="24"/>
              </w:rPr>
              <w:t>рт.с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w:t>
            </w:r>
            <w:r w:rsidR="00C44EC1">
              <w:rPr>
                <w:rFonts w:ascii="Times New Roman" w:hAnsi="Times New Roman" w:cs="Times New Roman"/>
                <w:sz w:val="24"/>
                <w:szCs w:val="24"/>
              </w:rPr>
              <w:t xml:space="preserve"> и</w:t>
            </w:r>
            <w:r w:rsidRPr="00123724">
              <w:rPr>
                <w:rFonts w:ascii="Times New Roman" w:hAnsi="Times New Roman" w:cs="Times New Roman"/>
                <w:sz w:val="24"/>
                <w:szCs w:val="24"/>
              </w:rPr>
              <w:t>спользуя регрессионных уравнений.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Затем оцениваются оценки, основанные на агитации, путем применения грубых оценок к Стандартной группе ВОЗ. Подробная информация о статистических методах приведена здесь:</w:t>
            </w:r>
          </w:p>
          <w:p w:rsidR="00C4254E" w:rsidRPr="00E42DF2" w:rsidRDefault="009F6FCF" w:rsidP="00123724">
            <w:pPr>
              <w:jc w:val="both"/>
              <w:rPr>
                <w:rFonts w:ascii="Times New Roman" w:hAnsi="Times New Roman" w:cs="Times New Roman"/>
                <w:sz w:val="24"/>
                <w:szCs w:val="24"/>
              </w:rPr>
            </w:pPr>
            <w:hyperlink r:id="rId17" w:history="1">
              <w:r w:rsidR="00C4254E" w:rsidRPr="00123724">
                <w:rPr>
                  <w:rStyle w:val="a3"/>
                  <w:rFonts w:ascii="Times New Roman" w:hAnsi="Times New Roman" w:cs="Times New Roman"/>
                  <w:sz w:val="24"/>
                  <w:szCs w:val="24"/>
                  <w:lang w:val="en-US"/>
                </w:rPr>
                <w:t>http</w:t>
              </w:r>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www</w:t>
              </w:r>
              <w:r w:rsidR="00C4254E" w:rsidRPr="00E42DF2">
                <w:rPr>
                  <w:rStyle w:val="a3"/>
                  <w:rFonts w:ascii="Times New Roman" w:hAnsi="Times New Roman" w:cs="Times New Roman"/>
                  <w:sz w:val="24"/>
                  <w:szCs w:val="24"/>
                </w:rPr>
                <w:t>.</w:t>
              </w:r>
              <w:proofErr w:type="spellStart"/>
              <w:r w:rsidR="00C4254E" w:rsidRPr="00123724">
                <w:rPr>
                  <w:rStyle w:val="a3"/>
                  <w:rFonts w:ascii="Times New Roman" w:hAnsi="Times New Roman" w:cs="Times New Roman"/>
                  <w:sz w:val="24"/>
                  <w:szCs w:val="24"/>
                  <w:lang w:val="en-US"/>
                </w:rPr>
                <w:t>thelancet</w:t>
              </w:r>
              <w:proofErr w:type="spellEnd"/>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com</w:t>
              </w:r>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journals</w:t>
              </w:r>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lancet</w:t>
              </w:r>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article</w:t>
              </w:r>
              <w:r w:rsidR="00C4254E" w:rsidRPr="00E42DF2">
                <w:rPr>
                  <w:rStyle w:val="a3"/>
                  <w:rFonts w:ascii="Times New Roman" w:hAnsi="Times New Roman" w:cs="Times New Roman"/>
                  <w:sz w:val="24"/>
                  <w:szCs w:val="24"/>
                </w:rPr>
                <w:t>/</w:t>
              </w:r>
              <w:r w:rsidR="00C4254E" w:rsidRPr="00123724">
                <w:rPr>
                  <w:rStyle w:val="a3"/>
                  <w:rFonts w:ascii="Times New Roman" w:hAnsi="Times New Roman" w:cs="Times New Roman"/>
                  <w:sz w:val="24"/>
                  <w:szCs w:val="24"/>
                  <w:lang w:val="en-US"/>
                </w:rPr>
                <w:t>PIIS</w:t>
              </w:r>
              <w:r w:rsidR="00C4254E" w:rsidRPr="00E42DF2">
                <w:rPr>
                  <w:rStyle w:val="a3"/>
                  <w:rFonts w:ascii="Times New Roman" w:hAnsi="Times New Roman" w:cs="Times New Roman"/>
                  <w:sz w:val="24"/>
                  <w:szCs w:val="24"/>
                </w:rPr>
                <w:t>0140-6736(16)31919-5/</w:t>
              </w:r>
              <w:proofErr w:type="spellStart"/>
              <w:r w:rsidR="00C4254E" w:rsidRPr="00123724">
                <w:rPr>
                  <w:rStyle w:val="a3"/>
                  <w:rFonts w:ascii="Times New Roman" w:hAnsi="Times New Roman" w:cs="Times New Roman"/>
                  <w:sz w:val="24"/>
                  <w:szCs w:val="24"/>
                  <w:lang w:val="en-US"/>
                </w:rPr>
                <w:t>fulltext</w:t>
              </w:r>
              <w:proofErr w:type="spellEnd"/>
            </w:hyperlink>
          </w:p>
          <w:p w:rsidR="00C4254E" w:rsidRPr="00E42DF2"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ВОЗ и Сотрудничество с факторами риска НИЗ (</w:t>
            </w:r>
            <w:r w:rsidRPr="00123724">
              <w:rPr>
                <w:rFonts w:ascii="Times New Roman" w:hAnsi="Times New Roman" w:cs="Times New Roman"/>
                <w:sz w:val="24"/>
                <w:szCs w:val="24"/>
                <w:lang w:val="en-US"/>
              </w:rPr>
              <w:t>NCD</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RISC</w:t>
            </w:r>
            <w:r w:rsidRPr="00123724">
              <w:rPr>
                <w:rFonts w:ascii="Times New Roman" w:hAnsi="Times New Roman" w:cs="Times New Roman"/>
                <w:sz w:val="24"/>
                <w:szCs w:val="24"/>
              </w:rPr>
              <w:t xml:space="preserve">) дали сопоставимые оценки для этого показателя до 2015 года, которые доступны здесь: </w:t>
            </w:r>
          </w:p>
          <w:p w:rsidR="00C4254E" w:rsidRPr="00E42DF2" w:rsidRDefault="009F6FCF" w:rsidP="00123724">
            <w:pPr>
              <w:jc w:val="both"/>
              <w:rPr>
                <w:rFonts w:ascii="Times New Roman" w:hAnsi="Times New Roman" w:cs="Times New Roman"/>
                <w:sz w:val="24"/>
                <w:szCs w:val="24"/>
              </w:rPr>
            </w:pPr>
            <w:hyperlink r:id="rId18" w:history="1">
              <w:r w:rsidR="00C44EC1" w:rsidRPr="00026DA7">
                <w:rPr>
                  <w:rStyle w:val="a3"/>
                  <w:rFonts w:ascii="Times New Roman" w:hAnsi="Times New Roman" w:cs="Times New Roman"/>
                  <w:sz w:val="24"/>
                  <w:szCs w:val="24"/>
                  <w:lang w:val="en-US"/>
                </w:rPr>
                <w:t>http</w:t>
              </w:r>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apps</w:t>
              </w:r>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who</w:t>
              </w:r>
              <w:r w:rsidR="00C44EC1" w:rsidRPr="00E42DF2">
                <w:rPr>
                  <w:rStyle w:val="a3"/>
                  <w:rFonts w:ascii="Times New Roman" w:hAnsi="Times New Roman" w:cs="Times New Roman"/>
                  <w:sz w:val="24"/>
                  <w:szCs w:val="24"/>
                </w:rPr>
                <w:t>.</w:t>
              </w:r>
              <w:proofErr w:type="spellStart"/>
              <w:r w:rsidR="00C44EC1" w:rsidRPr="00026DA7">
                <w:rPr>
                  <w:rStyle w:val="a3"/>
                  <w:rFonts w:ascii="Times New Roman" w:hAnsi="Times New Roman" w:cs="Times New Roman"/>
                  <w:sz w:val="24"/>
                  <w:szCs w:val="24"/>
                  <w:lang w:val="en-US"/>
                </w:rPr>
                <w:t>int</w:t>
              </w:r>
              <w:proofErr w:type="spellEnd"/>
              <w:r w:rsidR="00C44EC1" w:rsidRPr="00E42DF2">
                <w:rPr>
                  <w:rStyle w:val="a3"/>
                  <w:rFonts w:ascii="Times New Roman" w:hAnsi="Times New Roman" w:cs="Times New Roman"/>
                  <w:sz w:val="24"/>
                  <w:szCs w:val="24"/>
                </w:rPr>
                <w:t>/</w:t>
              </w:r>
              <w:proofErr w:type="spellStart"/>
              <w:r w:rsidR="00C44EC1" w:rsidRPr="00026DA7">
                <w:rPr>
                  <w:rStyle w:val="a3"/>
                  <w:rFonts w:ascii="Times New Roman" w:hAnsi="Times New Roman" w:cs="Times New Roman"/>
                  <w:sz w:val="24"/>
                  <w:szCs w:val="24"/>
                  <w:lang w:val="en-US"/>
                </w:rPr>
                <w:t>gho</w:t>
              </w:r>
              <w:proofErr w:type="spellEnd"/>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data</w:t>
              </w:r>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node</w:t>
              </w:r>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main</w:t>
              </w:r>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A</w:t>
              </w:r>
              <w:r w:rsidR="00C44EC1" w:rsidRPr="00E42DF2">
                <w:rPr>
                  <w:rStyle w:val="a3"/>
                  <w:rFonts w:ascii="Times New Roman" w:hAnsi="Times New Roman" w:cs="Times New Roman"/>
                  <w:sz w:val="24"/>
                  <w:szCs w:val="24"/>
                </w:rPr>
                <w:t>875</w:t>
              </w:r>
              <w:r w:rsidR="00C44EC1" w:rsidRPr="00026DA7">
                <w:rPr>
                  <w:rStyle w:val="a3"/>
                  <w:rFonts w:ascii="Times New Roman" w:hAnsi="Times New Roman" w:cs="Times New Roman"/>
                  <w:sz w:val="24"/>
                  <w:szCs w:val="24"/>
                  <w:lang w:val="en-US"/>
                </w:rPr>
                <w:t>STANDARD</w:t>
              </w:r>
              <w:r w:rsidR="00C44EC1" w:rsidRPr="00E42DF2">
                <w:rPr>
                  <w:rStyle w:val="a3"/>
                  <w:rFonts w:ascii="Times New Roman" w:hAnsi="Times New Roman" w:cs="Times New Roman"/>
                  <w:sz w:val="24"/>
                  <w:szCs w:val="24"/>
                </w:rPr>
                <w:t>?</w:t>
              </w:r>
              <w:proofErr w:type="spellStart"/>
              <w:r w:rsidR="00C44EC1" w:rsidRPr="00026DA7">
                <w:rPr>
                  <w:rStyle w:val="a3"/>
                  <w:rFonts w:ascii="Times New Roman" w:hAnsi="Times New Roman" w:cs="Times New Roman"/>
                  <w:sz w:val="24"/>
                  <w:szCs w:val="24"/>
                  <w:lang w:val="en-US"/>
                </w:rPr>
                <w:t>lang</w:t>
              </w:r>
              <w:proofErr w:type="spellEnd"/>
              <w:r w:rsidR="00C44EC1" w:rsidRPr="00E42DF2">
                <w:rPr>
                  <w:rStyle w:val="a3"/>
                  <w:rFonts w:ascii="Times New Roman" w:hAnsi="Times New Roman" w:cs="Times New Roman"/>
                  <w:sz w:val="24"/>
                  <w:szCs w:val="24"/>
                </w:rPr>
                <w:t>=</w:t>
              </w:r>
              <w:r w:rsidR="00C44EC1" w:rsidRPr="00026DA7">
                <w:rPr>
                  <w:rStyle w:val="a3"/>
                  <w:rFonts w:ascii="Times New Roman" w:hAnsi="Times New Roman" w:cs="Times New Roman"/>
                  <w:sz w:val="24"/>
                  <w:szCs w:val="24"/>
                  <w:lang w:val="en-US"/>
                </w:rPr>
                <w:t>en</w:t>
              </w:r>
            </w:hyperlink>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Оценки распространенности преобразуются в распространенность нормального артериального давления для включения в индекс UHC, так что значение 100% является оптимальной целью. Это вычисляется как: нормальное распространенность артериального давления = 1 - повышенная распространенность артериального давления. Вышеприведенные оценки сделаны отдельно для мужчин и женщин; для индикатора </w:t>
            </w:r>
            <w:r w:rsidR="00C44EC1">
              <w:rPr>
                <w:rFonts w:ascii="Times New Roman" w:hAnsi="Times New Roman" w:cs="Times New Roman"/>
                <w:sz w:val="24"/>
                <w:szCs w:val="24"/>
              </w:rPr>
              <w:t>показателя</w:t>
            </w:r>
            <w:r w:rsidRPr="00123724">
              <w:rPr>
                <w:rFonts w:ascii="Times New Roman" w:hAnsi="Times New Roman" w:cs="Times New Roman"/>
                <w:sz w:val="24"/>
                <w:szCs w:val="24"/>
              </w:rPr>
              <w:t xml:space="preserve"> UHC вычисляется простое среднее значение для мужчин и женщин.</w:t>
            </w:r>
          </w:p>
          <w:p w:rsidR="00D9034D" w:rsidRPr="00123724" w:rsidRDefault="00C4254E" w:rsidP="00C44EC1">
            <w:pPr>
              <w:jc w:val="both"/>
              <w:rPr>
                <w:rFonts w:ascii="Times New Roman" w:hAnsi="Times New Roman" w:cs="Times New Roman"/>
                <w:sz w:val="24"/>
                <w:szCs w:val="24"/>
              </w:rPr>
            </w:pPr>
            <w:r w:rsidRPr="00123724">
              <w:rPr>
                <w:rFonts w:ascii="Times New Roman" w:hAnsi="Times New Roman" w:cs="Times New Roman"/>
                <w:sz w:val="24"/>
                <w:szCs w:val="24"/>
              </w:rPr>
              <w:t xml:space="preserve">Нормальное кровяное давление представляет собой сумму процента лиц, у которых нет гипертонии, и процент лиц, у которых гипертония контролируется медикаментами. Отсутствие гипертонии является результатом профилактических мероприятий путем стимулирования физической активности и здорового питания, а также других факторов. Гипертензия, контролируемая препаратом, является результатом эффективного лечения. Таким образом, этот показатель является </w:t>
            </w:r>
            <w:r w:rsidR="00C44EC1">
              <w:rPr>
                <w:rFonts w:ascii="Times New Roman" w:hAnsi="Times New Roman" w:cs="Times New Roman"/>
                <w:sz w:val="24"/>
                <w:szCs w:val="24"/>
              </w:rPr>
              <w:t>прокси</w:t>
            </w:r>
            <w:r w:rsidRPr="00123724">
              <w:rPr>
                <w:rFonts w:ascii="Times New Roman" w:hAnsi="Times New Roman" w:cs="Times New Roman"/>
                <w:sz w:val="24"/>
                <w:szCs w:val="24"/>
              </w:rPr>
              <w:t xml:space="preserve"> как эффективного укрепления здоровья, так и эффективных медицинских </w:t>
            </w:r>
            <w:r w:rsidRPr="00123724">
              <w:rPr>
                <w:rFonts w:ascii="Times New Roman" w:hAnsi="Times New Roman" w:cs="Times New Roman"/>
                <w:sz w:val="24"/>
                <w:szCs w:val="24"/>
              </w:rPr>
              <w:lastRenderedPageBreak/>
              <w:t>услуг. По мере поступления большего количества данных этот показатель, скорее всего, будет заменен на долю населения, получающего лечение гипертонией.</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Контроль диабета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Стандартизованная по времени средняя глюкоза в плазме натощак для взрослых в возрасте от 25 лет и старше</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Населенные обследования и системы наблюдения</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Уровни глюкозы в плазме натощак (FPG) определяются путем взятия образца крови у участников, которые </w:t>
            </w:r>
            <w:proofErr w:type="gramStart"/>
            <w:r w:rsidRPr="00123724">
              <w:rPr>
                <w:rFonts w:ascii="Times New Roman" w:hAnsi="Times New Roman" w:cs="Times New Roman"/>
                <w:sz w:val="24"/>
                <w:szCs w:val="24"/>
              </w:rPr>
              <w:t>голодали</w:t>
            </w:r>
            <w:proofErr w:type="gramEnd"/>
            <w:r w:rsidRPr="00123724">
              <w:rPr>
                <w:rFonts w:ascii="Times New Roman" w:hAnsi="Times New Roman" w:cs="Times New Roman"/>
                <w:sz w:val="24"/>
                <w:szCs w:val="24"/>
              </w:rPr>
              <w:t xml:space="preserve"> по меньшей мере 8 часов. Другие связанные </w:t>
            </w:r>
            <w:proofErr w:type="spellStart"/>
            <w:r w:rsidRPr="00123724">
              <w:rPr>
                <w:rFonts w:ascii="Times New Roman" w:hAnsi="Times New Roman" w:cs="Times New Roman"/>
                <w:sz w:val="24"/>
                <w:szCs w:val="24"/>
              </w:rPr>
              <w:t>биомаркеры</w:t>
            </w:r>
            <w:proofErr w:type="spellEnd"/>
            <w:r w:rsidRPr="00123724">
              <w:rPr>
                <w:rFonts w:ascii="Times New Roman" w:hAnsi="Times New Roman" w:cs="Times New Roman"/>
                <w:sz w:val="24"/>
                <w:szCs w:val="24"/>
              </w:rPr>
              <w:t>, такие как гемоглобин A1c (HbA1c), использовались для расчета оценок (см. ниже).</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получения сопоставимых национальных оценок данные наблюдений, основанные на среднем FPG, оральном тесте на толерантность к глюкозе (OGTT), HbA1c или их комбинациях, все превращаются </w:t>
            </w:r>
            <w:proofErr w:type="gramStart"/>
            <w:r w:rsidRPr="00123724">
              <w:rPr>
                <w:rFonts w:ascii="Times New Roman" w:hAnsi="Times New Roman" w:cs="Times New Roman"/>
                <w:sz w:val="24"/>
                <w:szCs w:val="24"/>
              </w:rPr>
              <w:t>в</w:t>
            </w:r>
            <w:proofErr w:type="gramEnd"/>
            <w:r w:rsidRPr="00123724">
              <w:rPr>
                <w:rFonts w:ascii="Times New Roman" w:hAnsi="Times New Roman" w:cs="Times New Roman"/>
                <w:sz w:val="24"/>
                <w:szCs w:val="24"/>
              </w:rPr>
              <w:t xml:space="preserve"> средние FPG.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Стандартизованные по возрасту </w:t>
            </w:r>
            <w:proofErr w:type="gramStart"/>
            <w:r w:rsidRPr="00123724">
              <w:rPr>
                <w:rFonts w:ascii="Times New Roman" w:hAnsi="Times New Roman" w:cs="Times New Roman"/>
                <w:sz w:val="24"/>
                <w:szCs w:val="24"/>
              </w:rPr>
              <w:t>оценки</w:t>
            </w:r>
            <w:proofErr w:type="gramEnd"/>
            <w:r w:rsidRPr="00123724">
              <w:rPr>
                <w:rFonts w:ascii="Times New Roman" w:hAnsi="Times New Roman" w:cs="Times New Roman"/>
                <w:sz w:val="24"/>
                <w:szCs w:val="24"/>
              </w:rPr>
              <w:t xml:space="preserve"> затем производятся путем применения приблизительных оценок к Стандартной группе ВОЗ. Методологические подробности можно найти здесь:</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thelancet</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com</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journals</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lancet</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article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PIIS</w:t>
            </w:r>
            <w:r w:rsidRPr="00123724">
              <w:rPr>
                <w:rFonts w:ascii="Times New Roman" w:hAnsi="Times New Roman" w:cs="Times New Roman"/>
                <w:sz w:val="24"/>
                <w:szCs w:val="24"/>
              </w:rPr>
              <w:t>0140-6736(11)60679-</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abstract</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FPG человека может быть низким из-за эффективного лечения с помощью снижения уровня глюкозы или потому, что индивидуум не </w:t>
            </w:r>
            <w:proofErr w:type="spellStart"/>
            <w:r w:rsidRPr="00123724">
              <w:rPr>
                <w:rFonts w:ascii="Times New Roman" w:hAnsi="Times New Roman" w:cs="Times New Roman"/>
                <w:sz w:val="24"/>
                <w:szCs w:val="24"/>
              </w:rPr>
              <w:t>диабетичен</w:t>
            </w:r>
            <w:proofErr w:type="spellEnd"/>
            <w:r w:rsidRPr="00123724">
              <w:rPr>
                <w:rFonts w:ascii="Times New Roman" w:hAnsi="Times New Roman" w:cs="Times New Roman"/>
                <w:sz w:val="24"/>
                <w:szCs w:val="24"/>
              </w:rPr>
              <w:t xml:space="preserve"> в результате деятельности по укреплению здоровья или других факторов, таких как генетика. Таким образом, среднее значение FPG является показателем как эффективного продвижения здоровых диет и поведения, так и эффективного лечения диабета. По мере поступления большего количества данных этот показатель будет заменен на долю населения с диабетом, находящимся в стадии лечения.</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Приведенная выше оценка проводится отдельно для мужчин и женщин; для индикатора показателя UHC вычисляется простое среднее значение для мужчин и женщин.</w:t>
            </w:r>
          </w:p>
        </w:tc>
      </w:tr>
    </w:tbl>
    <w:p w:rsidR="000B4273" w:rsidRPr="00123724" w:rsidRDefault="000B4273"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Борьба против табака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Стандартизованная по возрасту распространенность взрослых&gt; = 15 лет, не курящих табак за </w:t>
            </w:r>
            <w:proofErr w:type="gramStart"/>
            <w:r w:rsidRPr="00123724">
              <w:rPr>
                <w:rFonts w:ascii="Times New Roman" w:hAnsi="Times New Roman" w:cs="Times New Roman"/>
                <w:sz w:val="24"/>
                <w:szCs w:val="24"/>
              </w:rPr>
              <w:t>последние</w:t>
            </w:r>
            <w:proofErr w:type="gramEnd"/>
            <w:r w:rsidRPr="00123724">
              <w:rPr>
                <w:rFonts w:ascii="Times New Roman" w:hAnsi="Times New Roman" w:cs="Times New Roman"/>
                <w:sz w:val="24"/>
                <w:szCs w:val="24"/>
              </w:rPr>
              <w:t xml:space="preserve"> 30 дней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Взрослые 15 лет и старше, которые не курили табак </w:t>
            </w:r>
            <w:proofErr w:type="gramStart"/>
            <w:r w:rsidRPr="00123724">
              <w:rPr>
                <w:rFonts w:ascii="Times New Roman" w:hAnsi="Times New Roman" w:cs="Times New Roman"/>
                <w:sz w:val="24"/>
                <w:szCs w:val="24"/>
              </w:rPr>
              <w:t>за</w:t>
            </w:r>
            <w:proofErr w:type="gramEnd"/>
            <w:r w:rsidRPr="00123724">
              <w:rPr>
                <w:rFonts w:ascii="Times New Roman" w:hAnsi="Times New Roman" w:cs="Times New Roman"/>
                <w:sz w:val="24"/>
                <w:szCs w:val="24"/>
              </w:rPr>
              <w:t xml:space="preserve"> последние 30 дней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Взрослые 15 лет и старше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Опросы</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«Текущее курение табака» включает сигареты, сигары, трубы или любые другие копченые табачные изделия, используемые </w:t>
            </w:r>
            <w:proofErr w:type="gramStart"/>
            <w:r w:rsidRPr="00123724">
              <w:rPr>
                <w:rFonts w:ascii="Times New Roman" w:hAnsi="Times New Roman" w:cs="Times New Roman"/>
                <w:sz w:val="24"/>
                <w:szCs w:val="24"/>
              </w:rPr>
              <w:t>за</w:t>
            </w:r>
            <w:proofErr w:type="gramEnd"/>
            <w:r w:rsidRPr="00123724">
              <w:rPr>
                <w:rFonts w:ascii="Times New Roman" w:hAnsi="Times New Roman" w:cs="Times New Roman"/>
                <w:sz w:val="24"/>
                <w:szCs w:val="24"/>
              </w:rPr>
              <w:t xml:space="preserve"> последние 30 дней. Данные собираются посредством самоотчета в обследованиях.</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A628F4"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ВОЗ оценивает распространенность текущего табачного (не) курения с отрицательной биномиальной моделью </w:t>
            </w:r>
            <w:proofErr w:type="spellStart"/>
            <w:r w:rsidRPr="00123724">
              <w:rPr>
                <w:rFonts w:ascii="Times New Roman" w:hAnsi="Times New Roman" w:cs="Times New Roman"/>
                <w:sz w:val="24"/>
                <w:szCs w:val="24"/>
              </w:rPr>
              <w:t>метарегрессии</w:t>
            </w:r>
            <w:proofErr w:type="spellEnd"/>
            <w:r w:rsidRPr="00123724">
              <w:rPr>
                <w:rFonts w:ascii="Times New Roman" w:hAnsi="Times New Roman" w:cs="Times New Roman"/>
                <w:sz w:val="24"/>
                <w:szCs w:val="24"/>
              </w:rPr>
              <w:t xml:space="preserve">, которая дает сопоставимые оценки путем корректировки различий по возрастным группам и определения показателя в национальных обследованиях, включенных в анализ. Эти оценки сделаны отдельно для мужчин и женщин. Методологические подробности можно найти здесь: </w:t>
            </w:r>
          </w:p>
          <w:p w:rsidR="00A628F4"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http://www.thelancet.com/journals/lancet/article/PIIS0140-6736(15)60264-1/supplemental. Оценки ВОЗ по распространенности курения табака публикуются здесь (см. «Текущее курение любого табачного продукта»): </w:t>
            </w:r>
          </w:p>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http://www.who.int/tobacco/global_report/2017/en/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Распространенность некурящего табака рассчитывается как 1 минус распространенность курения табака.</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Доступность больниц</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Больничные койки на душу населения, относительно максимального порога 18 на 10 000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A628F4" w:rsidP="000971EE">
            <w:pPr>
              <w:jc w:val="both"/>
              <w:rPr>
                <w:rFonts w:ascii="Times New Roman" w:hAnsi="Times New Roman" w:cs="Times New Roman"/>
                <w:sz w:val="24"/>
                <w:szCs w:val="24"/>
              </w:rPr>
            </w:pPr>
            <w:r w:rsidRPr="00123724">
              <w:rPr>
                <w:rFonts w:ascii="Times New Roman" w:hAnsi="Times New Roman" w:cs="Times New Roman"/>
                <w:sz w:val="24"/>
                <w:szCs w:val="24"/>
              </w:rPr>
              <w:t>Количество больничных коек (должно исключать р</w:t>
            </w:r>
            <w:r w:rsidR="000971EE">
              <w:rPr>
                <w:rFonts w:ascii="Times New Roman" w:hAnsi="Times New Roman" w:cs="Times New Roman"/>
                <w:sz w:val="24"/>
                <w:szCs w:val="24"/>
              </w:rPr>
              <w:t>абочие и родильные кровати</w:t>
            </w:r>
            <w:r w:rsidRPr="00123724">
              <w:rPr>
                <w:rFonts w:ascii="Times New Roman" w:hAnsi="Times New Roman" w:cs="Times New Roman"/>
                <w:sz w:val="24"/>
                <w:szCs w:val="24"/>
              </w:rPr>
              <w:t>)</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A628F4" w:rsidP="000971EE">
            <w:pPr>
              <w:jc w:val="both"/>
              <w:rPr>
                <w:rFonts w:ascii="Times New Roman" w:hAnsi="Times New Roman" w:cs="Times New Roman"/>
                <w:sz w:val="24"/>
                <w:szCs w:val="24"/>
              </w:rPr>
            </w:pPr>
            <w:r w:rsidRPr="00123724">
              <w:rPr>
                <w:rFonts w:ascii="Times New Roman" w:hAnsi="Times New Roman" w:cs="Times New Roman"/>
                <w:sz w:val="24"/>
                <w:szCs w:val="24"/>
              </w:rPr>
              <w:t>Административные системы/Система отчетности учреждений здравоохранения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614019" w:rsidRPr="00123724" w:rsidRDefault="00614019" w:rsidP="00123724">
            <w:pPr>
              <w:jc w:val="both"/>
              <w:rPr>
                <w:rFonts w:ascii="Times New Roman" w:hAnsi="Times New Roman" w:cs="Times New Roman"/>
                <w:sz w:val="24"/>
                <w:szCs w:val="24"/>
              </w:rPr>
            </w:pPr>
            <w:proofErr w:type="spellStart"/>
            <w:r w:rsidRPr="00123724">
              <w:rPr>
                <w:rFonts w:ascii="Times New Roman" w:hAnsi="Times New Roman" w:cs="Times New Roman"/>
                <w:sz w:val="24"/>
                <w:szCs w:val="24"/>
              </w:rPr>
              <w:t>Страновые</w:t>
            </w:r>
            <w:proofErr w:type="spellEnd"/>
            <w:r w:rsidRPr="00123724">
              <w:rPr>
                <w:rFonts w:ascii="Times New Roman" w:hAnsi="Times New Roman" w:cs="Times New Roman"/>
                <w:sz w:val="24"/>
                <w:szCs w:val="24"/>
              </w:rPr>
              <w:t xml:space="preserve"> административные системы используются для суммарного количества больничных коек, которые делятся на общую предполагаемую численность населения и умножаются на 10 000 человек.</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Региональные отделения ВОЗ и другие группы собирают информацию о плотности национальных больничных коек, включая следующие онлайн-ресурсы:</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Региональная обсерватория ВОЗ EMRO:</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https://rho.emro.who.int/rhodata/node.main.A36</w:t>
            </w:r>
            <w:r w:rsidRPr="00123724">
              <w:rPr>
                <w:rFonts w:ascii="Times New Roman" w:hAnsi="Times New Roman" w:cs="Times New Roman"/>
                <w:sz w:val="24"/>
                <w:szCs w:val="24"/>
              </w:rPr>
              <w:cr/>
              <w:t xml:space="preserve">Региональная обсерватория ВОЗ AFRO: </w:t>
            </w:r>
            <w:hyperlink r:id="rId19" w:history="1">
              <w:r w:rsidRPr="00123724">
                <w:rPr>
                  <w:rStyle w:val="a3"/>
                  <w:rFonts w:ascii="Times New Roman" w:hAnsi="Times New Roman" w:cs="Times New Roman"/>
                  <w:sz w:val="24"/>
                  <w:szCs w:val="24"/>
                </w:rPr>
                <w:t>http://www.aho.afro.who.int/en/datastatistics/hospital-beds-10-000-population</w:t>
              </w:r>
            </w:hyperlink>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Профили стран SEARO ВОЗ: </w:t>
            </w:r>
          </w:p>
          <w:p w:rsidR="00614019" w:rsidRPr="00123724" w:rsidRDefault="009F6FCF" w:rsidP="00123724">
            <w:pPr>
              <w:jc w:val="both"/>
              <w:rPr>
                <w:rFonts w:ascii="Times New Roman" w:hAnsi="Times New Roman" w:cs="Times New Roman"/>
                <w:sz w:val="24"/>
                <w:szCs w:val="24"/>
              </w:rPr>
            </w:pPr>
            <w:hyperlink r:id="rId20" w:history="1">
              <w:r w:rsidR="00614019" w:rsidRPr="00123724">
                <w:rPr>
                  <w:rStyle w:val="a3"/>
                  <w:rFonts w:ascii="Times New Roman" w:hAnsi="Times New Roman" w:cs="Times New Roman"/>
                  <w:sz w:val="24"/>
                  <w:szCs w:val="24"/>
                  <w:lang w:val="en-US"/>
                </w:rPr>
                <w:t>http</w:t>
              </w:r>
              <w:r w:rsidR="00614019" w:rsidRPr="00123724">
                <w:rPr>
                  <w:rStyle w:val="a3"/>
                  <w:rFonts w:ascii="Times New Roman" w:hAnsi="Times New Roman" w:cs="Times New Roman"/>
                  <w:sz w:val="24"/>
                  <w:szCs w:val="24"/>
                </w:rPr>
                <w:t>://</w:t>
              </w:r>
              <w:r w:rsidR="00614019" w:rsidRPr="00123724">
                <w:rPr>
                  <w:rStyle w:val="a3"/>
                  <w:rFonts w:ascii="Times New Roman" w:hAnsi="Times New Roman" w:cs="Times New Roman"/>
                  <w:sz w:val="24"/>
                  <w:szCs w:val="24"/>
                  <w:lang w:val="en-US"/>
                </w:rPr>
                <w:t>www</w:t>
              </w:r>
              <w:r w:rsidR="00614019" w:rsidRPr="00123724">
                <w:rPr>
                  <w:rStyle w:val="a3"/>
                  <w:rFonts w:ascii="Times New Roman" w:hAnsi="Times New Roman" w:cs="Times New Roman"/>
                  <w:sz w:val="24"/>
                  <w:szCs w:val="24"/>
                </w:rPr>
                <w:t>.</w:t>
              </w:r>
              <w:proofErr w:type="spellStart"/>
              <w:r w:rsidR="00614019" w:rsidRPr="00123724">
                <w:rPr>
                  <w:rStyle w:val="a3"/>
                  <w:rFonts w:ascii="Times New Roman" w:hAnsi="Times New Roman" w:cs="Times New Roman"/>
                  <w:sz w:val="24"/>
                  <w:szCs w:val="24"/>
                  <w:lang w:val="en-US"/>
                </w:rPr>
                <w:t>searo</w:t>
              </w:r>
              <w:proofErr w:type="spellEnd"/>
              <w:r w:rsidR="00614019" w:rsidRPr="00123724">
                <w:rPr>
                  <w:rStyle w:val="a3"/>
                  <w:rFonts w:ascii="Times New Roman" w:hAnsi="Times New Roman" w:cs="Times New Roman"/>
                  <w:sz w:val="24"/>
                  <w:szCs w:val="24"/>
                </w:rPr>
                <w:t>.</w:t>
              </w:r>
              <w:r w:rsidR="00614019" w:rsidRPr="00123724">
                <w:rPr>
                  <w:rStyle w:val="a3"/>
                  <w:rFonts w:ascii="Times New Roman" w:hAnsi="Times New Roman" w:cs="Times New Roman"/>
                  <w:sz w:val="24"/>
                  <w:szCs w:val="24"/>
                  <w:lang w:val="en-US"/>
                </w:rPr>
                <w:t>who</w:t>
              </w:r>
              <w:r w:rsidR="00614019" w:rsidRPr="00123724">
                <w:rPr>
                  <w:rStyle w:val="a3"/>
                  <w:rFonts w:ascii="Times New Roman" w:hAnsi="Times New Roman" w:cs="Times New Roman"/>
                  <w:sz w:val="24"/>
                  <w:szCs w:val="24"/>
                </w:rPr>
                <w:t>.</w:t>
              </w:r>
              <w:proofErr w:type="spellStart"/>
              <w:r w:rsidR="00614019" w:rsidRPr="00123724">
                <w:rPr>
                  <w:rStyle w:val="a3"/>
                  <w:rFonts w:ascii="Times New Roman" w:hAnsi="Times New Roman" w:cs="Times New Roman"/>
                  <w:sz w:val="24"/>
                  <w:szCs w:val="24"/>
                  <w:lang w:val="en-US"/>
                </w:rPr>
                <w:t>int</w:t>
              </w:r>
              <w:proofErr w:type="spellEnd"/>
              <w:r w:rsidR="00614019" w:rsidRPr="00123724">
                <w:rPr>
                  <w:rStyle w:val="a3"/>
                  <w:rFonts w:ascii="Times New Roman" w:hAnsi="Times New Roman" w:cs="Times New Roman"/>
                  <w:sz w:val="24"/>
                  <w:szCs w:val="24"/>
                </w:rPr>
                <w:t>/</w:t>
              </w:r>
              <w:r w:rsidR="00614019" w:rsidRPr="00123724">
                <w:rPr>
                  <w:rStyle w:val="a3"/>
                  <w:rFonts w:ascii="Times New Roman" w:hAnsi="Times New Roman" w:cs="Times New Roman"/>
                  <w:sz w:val="24"/>
                  <w:szCs w:val="24"/>
                  <w:lang w:val="en-US"/>
                </w:rPr>
                <w:t>entity</w:t>
              </w:r>
              <w:r w:rsidR="00614019" w:rsidRPr="00123724">
                <w:rPr>
                  <w:rStyle w:val="a3"/>
                  <w:rFonts w:ascii="Times New Roman" w:hAnsi="Times New Roman" w:cs="Times New Roman"/>
                  <w:sz w:val="24"/>
                  <w:szCs w:val="24"/>
                </w:rPr>
                <w:t>/</w:t>
              </w:r>
              <w:r w:rsidR="00614019" w:rsidRPr="00123724">
                <w:rPr>
                  <w:rStyle w:val="a3"/>
                  <w:rFonts w:ascii="Times New Roman" w:hAnsi="Times New Roman" w:cs="Times New Roman"/>
                  <w:sz w:val="24"/>
                  <w:szCs w:val="24"/>
                  <w:lang w:val="en-US"/>
                </w:rPr>
                <w:t>health</w:t>
              </w:r>
              <w:r w:rsidR="00614019" w:rsidRPr="00123724">
                <w:rPr>
                  <w:rStyle w:val="a3"/>
                  <w:rFonts w:ascii="Times New Roman" w:hAnsi="Times New Roman" w:cs="Times New Roman"/>
                  <w:sz w:val="24"/>
                  <w:szCs w:val="24"/>
                </w:rPr>
                <w:t>_</w:t>
              </w:r>
              <w:r w:rsidR="00614019" w:rsidRPr="00123724">
                <w:rPr>
                  <w:rStyle w:val="a3"/>
                  <w:rFonts w:ascii="Times New Roman" w:hAnsi="Times New Roman" w:cs="Times New Roman"/>
                  <w:sz w:val="24"/>
                  <w:szCs w:val="24"/>
                  <w:lang w:val="en-US"/>
                </w:rPr>
                <w:t>situation</w:t>
              </w:r>
              <w:r w:rsidR="00614019" w:rsidRPr="00123724">
                <w:rPr>
                  <w:rStyle w:val="a3"/>
                  <w:rFonts w:ascii="Times New Roman" w:hAnsi="Times New Roman" w:cs="Times New Roman"/>
                  <w:sz w:val="24"/>
                  <w:szCs w:val="24"/>
                </w:rPr>
                <w:t>_</w:t>
              </w:r>
              <w:r w:rsidR="00614019" w:rsidRPr="00123724">
                <w:rPr>
                  <w:rStyle w:val="a3"/>
                  <w:rFonts w:ascii="Times New Roman" w:hAnsi="Times New Roman" w:cs="Times New Roman"/>
                  <w:sz w:val="24"/>
                  <w:szCs w:val="24"/>
                  <w:lang w:val="en-US"/>
                </w:rPr>
                <w:t>trends</w:t>
              </w:r>
              <w:r w:rsidR="00614019" w:rsidRPr="00123724">
                <w:rPr>
                  <w:rStyle w:val="a3"/>
                  <w:rFonts w:ascii="Times New Roman" w:hAnsi="Times New Roman" w:cs="Times New Roman"/>
                  <w:sz w:val="24"/>
                  <w:szCs w:val="24"/>
                </w:rPr>
                <w:t>/</w:t>
              </w:r>
              <w:r w:rsidR="00614019" w:rsidRPr="00123724">
                <w:rPr>
                  <w:rStyle w:val="a3"/>
                  <w:rFonts w:ascii="Times New Roman" w:hAnsi="Times New Roman" w:cs="Times New Roman"/>
                  <w:sz w:val="24"/>
                  <w:szCs w:val="24"/>
                  <w:lang w:val="en-US"/>
                </w:rPr>
                <w:t>data</w:t>
              </w:r>
              <w:r w:rsidR="00614019" w:rsidRPr="00123724">
                <w:rPr>
                  <w:rStyle w:val="a3"/>
                  <w:rFonts w:ascii="Times New Roman" w:hAnsi="Times New Roman" w:cs="Times New Roman"/>
                  <w:sz w:val="24"/>
                  <w:szCs w:val="24"/>
                </w:rPr>
                <w:t>/</w:t>
              </w:r>
              <w:proofErr w:type="spellStart"/>
              <w:r w:rsidR="00614019" w:rsidRPr="00123724">
                <w:rPr>
                  <w:rStyle w:val="a3"/>
                  <w:rFonts w:ascii="Times New Roman" w:hAnsi="Times New Roman" w:cs="Times New Roman"/>
                  <w:sz w:val="24"/>
                  <w:szCs w:val="24"/>
                  <w:lang w:val="en-US"/>
                </w:rPr>
                <w:t>hsp</w:t>
              </w:r>
              <w:proofErr w:type="spellEnd"/>
              <w:r w:rsidR="00614019" w:rsidRPr="00123724">
                <w:rPr>
                  <w:rStyle w:val="a3"/>
                  <w:rFonts w:ascii="Times New Roman" w:hAnsi="Times New Roman" w:cs="Times New Roman"/>
                  <w:sz w:val="24"/>
                  <w:szCs w:val="24"/>
                </w:rPr>
                <w:t>/</w:t>
              </w:r>
              <w:proofErr w:type="spellStart"/>
              <w:r w:rsidR="00614019" w:rsidRPr="00123724">
                <w:rPr>
                  <w:rStyle w:val="a3"/>
                  <w:rFonts w:ascii="Times New Roman" w:hAnsi="Times New Roman" w:cs="Times New Roman"/>
                  <w:sz w:val="24"/>
                  <w:szCs w:val="24"/>
                  <w:lang w:val="en-US"/>
                </w:rPr>
                <w:t>hsp</w:t>
              </w:r>
              <w:proofErr w:type="spellEnd"/>
              <w:r w:rsidR="00614019" w:rsidRPr="00123724">
                <w:rPr>
                  <w:rStyle w:val="a3"/>
                  <w:rFonts w:ascii="Times New Roman" w:hAnsi="Times New Roman" w:cs="Times New Roman"/>
                  <w:sz w:val="24"/>
                  <w:szCs w:val="24"/>
                </w:rPr>
                <w:t>_2014/</w:t>
              </w:r>
              <w:r w:rsidR="00614019" w:rsidRPr="00123724">
                <w:rPr>
                  <w:rStyle w:val="a3"/>
                  <w:rFonts w:ascii="Times New Roman" w:hAnsi="Times New Roman" w:cs="Times New Roman"/>
                  <w:sz w:val="24"/>
                  <w:szCs w:val="24"/>
                  <w:lang w:val="en-US"/>
                </w:rPr>
                <w:t>en</w:t>
              </w:r>
            </w:hyperlink>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Европейский медицинский портал ВОЗ ЕВРО: </w:t>
            </w:r>
          </w:p>
          <w:p w:rsidR="00614019" w:rsidRPr="00123724" w:rsidRDefault="009F6FCF" w:rsidP="00123724">
            <w:pPr>
              <w:jc w:val="both"/>
              <w:rPr>
                <w:rFonts w:ascii="Times New Roman" w:hAnsi="Times New Roman" w:cs="Times New Roman"/>
                <w:sz w:val="24"/>
                <w:szCs w:val="24"/>
              </w:rPr>
            </w:pPr>
            <w:hyperlink r:id="rId21" w:history="1">
              <w:r w:rsidR="00614019" w:rsidRPr="00123724">
                <w:rPr>
                  <w:rStyle w:val="a3"/>
                  <w:rFonts w:ascii="Times New Roman" w:hAnsi="Times New Roman" w:cs="Times New Roman"/>
                  <w:sz w:val="24"/>
                  <w:szCs w:val="24"/>
                </w:rPr>
                <w:t>http://gateway.euro.who.int/en/data-sources/european-database-onhuman-and-technical-resources-for-health/</w:t>
              </w:r>
            </w:hyperlink>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ОЭСР: </w:t>
            </w:r>
            <w:hyperlink r:id="rId22" w:history="1">
              <w:r w:rsidRPr="00123724">
                <w:rPr>
                  <w:rStyle w:val="a3"/>
                  <w:rFonts w:ascii="Times New Roman" w:hAnsi="Times New Roman" w:cs="Times New Roman"/>
                  <w:sz w:val="24"/>
                  <w:szCs w:val="24"/>
                </w:rPr>
                <w:t>http://www.oecd-ilibrary.org/social-issues-migration-health/healthat-a-glance-asia-pacific-2014_health_glance_ap-2014-en</w:t>
              </w:r>
            </w:hyperlink>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Используя имеющиеся данные, показатель вычисляется относительно порогового значения в 18 больничных коек на 10 000 населения. Этот порог ниже наблюдаемого минимума страны с высоким уровнем дохода ОЭСР (с 2000 года) 20 на 10 000 человек и, как правило, соответствует ставке госпитализации в стационаре около 5 на 100 в год. Этот показатель призван обеспечить низкий уровень больничной способности; максимальный порог используется, потому что очень высокая плотность больничных коек не является необходимым для эффективного использования ресурсов. Индикатор рассчитывается следующим образом, используя данные страны о плотности больничного койко-места (x), что приводит к значениям от 0 до 100:</w:t>
            </w:r>
          </w:p>
          <w:p w:rsidR="00614019" w:rsidRPr="00123724" w:rsidRDefault="00614019"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Страна с плотностью больничной койки х &lt;18 на 10000 в год,индикатор = x / 18 * 100.</w:t>
            </w:r>
          </w:p>
          <w:p w:rsidR="00614019" w:rsidRPr="00123724" w:rsidRDefault="00614019"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Страна с плотностью больничной койки x&gt; = 18 на 10 000 в год,индикатор = 100.</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614019"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Альтернативным показателем может быть </w:t>
            </w:r>
            <w:r w:rsidR="000971EE">
              <w:rPr>
                <w:rFonts w:ascii="Times New Roman" w:hAnsi="Times New Roman" w:cs="Times New Roman"/>
                <w:sz w:val="24"/>
                <w:szCs w:val="24"/>
              </w:rPr>
              <w:t xml:space="preserve">уровень госпитализации в </w:t>
            </w:r>
            <w:r w:rsidRPr="00123724">
              <w:rPr>
                <w:rFonts w:ascii="Times New Roman" w:hAnsi="Times New Roman" w:cs="Times New Roman"/>
                <w:sz w:val="24"/>
                <w:szCs w:val="24"/>
              </w:rPr>
              <w:t>стационар</w:t>
            </w:r>
            <w:r w:rsidR="000971EE">
              <w:rPr>
                <w:rFonts w:ascii="Times New Roman" w:hAnsi="Times New Roman" w:cs="Times New Roman"/>
                <w:sz w:val="24"/>
                <w:szCs w:val="24"/>
              </w:rPr>
              <w:t>е</w:t>
            </w:r>
            <w:r w:rsidRPr="00123724">
              <w:rPr>
                <w:rFonts w:ascii="Times New Roman" w:hAnsi="Times New Roman" w:cs="Times New Roman"/>
                <w:sz w:val="24"/>
                <w:szCs w:val="24"/>
              </w:rPr>
              <w:t>, относительно максимального порога. Однако этот показатель в настоящее время не сообщается широко в разных регионах, в частности в Африканском регионе. В странах, где имеются больничные койки на душу населения и тарифы на госпитализацию, они сильно коррелированы.</w:t>
            </w:r>
          </w:p>
        </w:tc>
      </w:tr>
    </w:tbl>
    <w:p w:rsidR="00D9034D" w:rsidRPr="00123724" w:rsidRDefault="00D9034D"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Кадровые ресурсы здравоохранения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Специалисты здравоохранения (врачи, психиатры и хирурги) на душу населения, по отношению к максимальным пороговым значениям для каждого кадрового</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врачей, психиатров и хирургов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Национальная база данных или реестр работников здравоохранения, в идеале в сочетании с регулярной оценкой полноты, использующей данные переписи, реестров профессиональных ассоциаций или переписей объектов.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0971EE">
            <w:pPr>
              <w:jc w:val="both"/>
              <w:rPr>
                <w:rFonts w:ascii="Times New Roman" w:hAnsi="Times New Roman" w:cs="Times New Roman"/>
                <w:sz w:val="24"/>
                <w:szCs w:val="24"/>
              </w:rPr>
            </w:pPr>
            <w:r w:rsidRPr="00123724">
              <w:rPr>
                <w:rFonts w:ascii="Times New Roman" w:hAnsi="Times New Roman" w:cs="Times New Roman"/>
                <w:sz w:val="24"/>
                <w:szCs w:val="24"/>
              </w:rPr>
              <w:t>Классификация работников здравоохранения основывается на критериях профессионального образования и обучения, регулировании профессий здоровья, а также на мероприятиях и задачах рабочих мест, т.</w:t>
            </w:r>
            <w:r w:rsidR="000971EE">
              <w:rPr>
                <w:rFonts w:ascii="Times New Roman" w:hAnsi="Times New Roman" w:cs="Times New Roman"/>
                <w:sz w:val="24"/>
                <w:szCs w:val="24"/>
              </w:rPr>
              <w:t>е</w:t>
            </w:r>
            <w:r w:rsidRPr="00123724">
              <w:rPr>
                <w:rFonts w:ascii="Times New Roman" w:hAnsi="Times New Roman" w:cs="Times New Roman"/>
                <w:sz w:val="24"/>
                <w:szCs w:val="24"/>
              </w:rPr>
              <w:t xml:space="preserve">. </w:t>
            </w:r>
            <w:r w:rsidR="000971EE">
              <w:rPr>
                <w:rFonts w:ascii="Times New Roman" w:hAnsi="Times New Roman" w:cs="Times New Roman"/>
                <w:sz w:val="24"/>
                <w:szCs w:val="24"/>
              </w:rPr>
              <w:t>н</w:t>
            </w:r>
            <w:r w:rsidRPr="00123724">
              <w:rPr>
                <w:rFonts w:ascii="Times New Roman" w:hAnsi="Times New Roman" w:cs="Times New Roman"/>
                <w:sz w:val="24"/>
                <w:szCs w:val="24"/>
              </w:rPr>
              <w:t>а основе классификации ключевых переменных рабочей силы в соответствии с общими характеристиками. Структура ВОЗ в значительной степени опирается на последние изменения в международно стандартизованные системы классификации Международной организации труда (Международная стандартная классификация профессий), Организация Объединенных Наций по вопросам образования, науки и культуры (Международная стандартная классификация образования) и Статистический отдел Организации Объединенных Наций (Международная стандартная отраслевая классификация всех видов экономической деятельности). Методические подробности и данные можно найти здесь: http://www.who.int/hrh/statistics/hwfstats/en/</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proofErr w:type="gramStart"/>
            <w:r w:rsidRPr="00123724">
              <w:rPr>
                <w:rFonts w:ascii="Times New Roman" w:hAnsi="Times New Roman" w:cs="Times New Roman"/>
                <w:sz w:val="24"/>
                <w:szCs w:val="24"/>
              </w:rPr>
              <w:t>Используя имеющиеся данные, показатель рассчитывается путем первого масштабирования, отдельно, коэффициентов плотности работников здравоохранения для каждого из трех кадров (врачей, психиатров и хирургов) по сравнению с минимальными наблюдаемыми значениями в странах ОЭСР с 2000 года, которые следующие: врачи = 0,9 на 1000, психиатров = 1 на 100 000, а хирургов = 14 на 100 000 человек.</w:t>
            </w:r>
            <w:proofErr w:type="gramEnd"/>
            <w:r w:rsidRPr="00123724">
              <w:rPr>
                <w:rFonts w:ascii="Times New Roman" w:hAnsi="Times New Roman" w:cs="Times New Roman"/>
                <w:sz w:val="24"/>
                <w:szCs w:val="24"/>
              </w:rPr>
              <w:t xml:space="preserve"> Это масштабирование выполняется так же, как и для индикатора плотности больничной койки, описанного выше, в результате чего значения индикаторов варьируются от 0 до 100 для каждого из трех кадров. Например, используя данные по странам для врачей на 1000 человек населения (x), кадровый показатель будет рассчитываться как: </w:t>
            </w:r>
          </w:p>
          <w:p w:rsidR="0018621B" w:rsidRPr="00123724" w:rsidRDefault="0018621B" w:rsidP="00123724">
            <w:pPr>
              <w:pStyle w:val="a4"/>
              <w:numPr>
                <w:ilvl w:val="0"/>
                <w:numId w:val="6"/>
              </w:numPr>
              <w:jc w:val="both"/>
              <w:rPr>
                <w:rFonts w:ascii="Times New Roman" w:hAnsi="Times New Roman" w:cs="Times New Roman"/>
                <w:sz w:val="24"/>
                <w:szCs w:val="24"/>
              </w:rPr>
            </w:pPr>
            <w:r w:rsidRPr="00123724">
              <w:rPr>
                <w:rFonts w:ascii="Times New Roman" w:hAnsi="Times New Roman" w:cs="Times New Roman"/>
                <w:sz w:val="24"/>
                <w:szCs w:val="24"/>
              </w:rPr>
              <w:t xml:space="preserve">Страна с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 xml:space="preserve">&lt;0,9 на 1000 в год, кадровый показатель =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 xml:space="preserve"> / 0,9 * 100.</w:t>
            </w:r>
          </w:p>
          <w:p w:rsidR="0018621B" w:rsidRPr="00123724" w:rsidRDefault="0018621B" w:rsidP="00123724">
            <w:pPr>
              <w:pStyle w:val="a4"/>
              <w:numPr>
                <w:ilvl w:val="0"/>
                <w:numId w:val="6"/>
              </w:numPr>
              <w:jc w:val="both"/>
              <w:rPr>
                <w:rFonts w:ascii="Times New Roman" w:hAnsi="Times New Roman" w:cs="Times New Roman"/>
                <w:sz w:val="24"/>
                <w:szCs w:val="24"/>
              </w:rPr>
            </w:pPr>
            <w:r w:rsidRPr="00123724">
              <w:rPr>
                <w:rFonts w:ascii="Times New Roman" w:hAnsi="Times New Roman" w:cs="Times New Roman"/>
                <w:sz w:val="24"/>
                <w:szCs w:val="24"/>
              </w:rPr>
              <w:t xml:space="preserve">Страна с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&gt; = 0,9 на 1000 в год, кадровый показатель = 100.</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 качестве последнего шага вычисляется среднее геометрическое трех значений показателя кадровой специфичности, чтобы получить окончательный показатель плотности рабочей силы здравоохранения.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18621B"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Категорию «врачей» в идеале можно было бы расширить, включив в нее всех «основных специалистов в области здравоохранения», таких как медсестры и акушерки. Однако нет международной сопоставимой базы данных, в которой используются согласованные определения профессионалов в области здравоохранения, не связанных с врачом, для обеспечения полноты сопоставлений в разных странах. Работа по измерению </w:t>
            </w:r>
            <w:r w:rsidR="000971EE">
              <w:rPr>
                <w:rFonts w:ascii="Times New Roman" w:hAnsi="Times New Roman" w:cs="Times New Roman"/>
                <w:sz w:val="24"/>
                <w:szCs w:val="24"/>
              </w:rPr>
              <w:t>показателя ЦУР</w:t>
            </w:r>
            <w:r w:rsidRPr="00123724">
              <w:rPr>
                <w:rFonts w:ascii="Times New Roman" w:hAnsi="Times New Roman" w:cs="Times New Roman"/>
                <w:sz w:val="24"/>
                <w:szCs w:val="24"/>
              </w:rPr>
              <w:t xml:space="preserve"> 3.c.1 может решить эту проблему и обеспечить более полный показатель.</w:t>
            </w:r>
          </w:p>
        </w:tc>
      </w:tr>
    </w:tbl>
    <w:p w:rsidR="00C4254E" w:rsidRPr="00123724" w:rsidRDefault="00C4254E"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563"/>
        <w:gridCol w:w="8323"/>
      </w:tblGrid>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Здравоохранение</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Международный индекс основных показателей здоровья (ММСП), который представляет собой средний процент атрибутов из 13 основных мощностей, которые были достигнуты в определенный момент времени.</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13 основных возможностей: (1) национальное законодательство, политика и финансирование; (2) координация и координация национальных координационных центров; (3) надзор; (4) Ответ; (5) готовность; (6) Сообщение о риске; (7) людские ресурсы; (8) Лаборатория; (9) Пункты входа; (10) зоонозные события; (11) безопасность пищевых продуктов; (12) Химические события; (13) </w:t>
            </w:r>
            <w:proofErr w:type="spellStart"/>
            <w:r w:rsidRPr="00123724">
              <w:rPr>
                <w:rFonts w:ascii="Times New Roman" w:hAnsi="Times New Roman" w:cs="Times New Roman"/>
                <w:sz w:val="24"/>
                <w:szCs w:val="24"/>
              </w:rPr>
              <w:t>Радиоядерные</w:t>
            </w:r>
            <w:proofErr w:type="spellEnd"/>
            <w:r w:rsidRPr="00123724">
              <w:rPr>
                <w:rFonts w:ascii="Times New Roman" w:hAnsi="Times New Roman" w:cs="Times New Roman"/>
                <w:sz w:val="24"/>
                <w:szCs w:val="24"/>
              </w:rPr>
              <w:t xml:space="preserve"> чрезвычайные ситуации.</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достигнутых атрибутов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атрибутов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Обзор ключевых информантов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Ключевые докладчики сообщают о достижении набора атрибутов для каждого из 13 основных мощностей с использованием стандартного инструмента ВОЗ, как описано здесь: </w:t>
            </w:r>
            <w:hyperlink r:id="rId23" w:history="1">
              <w:r w:rsidRPr="00123724">
                <w:rPr>
                  <w:rStyle w:val="a3"/>
                  <w:rFonts w:ascii="Times New Roman" w:hAnsi="Times New Roman" w:cs="Times New Roman"/>
                  <w:sz w:val="24"/>
                  <w:szCs w:val="24"/>
                </w:rPr>
                <w:t>http://apps.who.int/iris/bitstream/10665/84933/1/WHO_HSE_GCR_2013.2_eng.pdf</w:t>
              </w:r>
            </w:hyperlink>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Значения индикаторов уровня мощности можно найти здесь:</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http://www.who.int/gho/ihr/monitoring/legislation/en/index1.html</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Индикатор рассчитывается путем усреднения по 13 основным возможностям процентного соотношения атрибутов для каждой достигнутой мощности.</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p>
        </w:tc>
      </w:tr>
    </w:tbl>
    <w:p w:rsidR="00C4254E" w:rsidRPr="00123724" w:rsidRDefault="00C4254E"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p w:rsidR="0018621B" w:rsidRPr="00123724" w:rsidRDefault="0018621B" w:rsidP="00123724">
      <w:pPr>
        <w:jc w:val="both"/>
        <w:rPr>
          <w:rFonts w:ascii="Times New Roman" w:hAnsi="Times New Roman" w:cs="Times New Roman"/>
          <w:b/>
          <w:sz w:val="24"/>
          <w:szCs w:val="24"/>
        </w:rPr>
      </w:pPr>
      <w:r w:rsidRPr="00123724">
        <w:rPr>
          <w:rFonts w:ascii="Times New Roman" w:hAnsi="Times New Roman" w:cs="Times New Roman"/>
          <w:b/>
          <w:sz w:val="24"/>
          <w:szCs w:val="24"/>
        </w:rPr>
        <w:lastRenderedPageBreak/>
        <w:t>Приложение 2: Метаданные для индикаторов индикатора, которые могут быть включены после получения данных</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Будущее включение этих индикаторов индикатора будет предметом консультаций с государствами-членами и утверждения со стороны МЭГ-ЦУР.</w:t>
      </w:r>
    </w:p>
    <w:tbl>
      <w:tblPr>
        <w:tblStyle w:val="a7"/>
        <w:tblW w:w="9571" w:type="dxa"/>
        <w:tblLook w:val="04A0"/>
      </w:tblPr>
      <w:tblGrid>
        <w:gridCol w:w="1668"/>
        <w:gridCol w:w="7903"/>
      </w:tblGrid>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Область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Обнаружение и лечение рака</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женщин в возрасте 30-49 лет, которые сообщают, что когда-либо подвергались скринингу на рак шейки матки</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женщин в возрасте 30-49 лет, которые сообщают о проведении </w:t>
            </w:r>
            <w:proofErr w:type="spellStart"/>
            <w:r w:rsidRPr="00123724">
              <w:rPr>
                <w:rFonts w:ascii="Times New Roman" w:hAnsi="Times New Roman" w:cs="Times New Roman"/>
                <w:sz w:val="24"/>
                <w:szCs w:val="24"/>
              </w:rPr>
              <w:t>скринингового</w:t>
            </w:r>
            <w:proofErr w:type="spellEnd"/>
            <w:r w:rsidRPr="00123724">
              <w:rPr>
                <w:rFonts w:ascii="Times New Roman" w:hAnsi="Times New Roman" w:cs="Times New Roman"/>
                <w:sz w:val="24"/>
                <w:szCs w:val="24"/>
              </w:rPr>
              <w:t xml:space="preserve"> теста на рак шейки матки, используя любой из этих методов: VIA, мазок папы и тест на ВПЧ.</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Все женщины в возрасте 30-49 лет</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населения</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Собственные данные об истории скрининга рака шейки матки собраны с помощью опросов.</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 настоящее время нет сопоставимых оценок охвата скринингом рака шейки матки.</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 настоящее время мало стран с последними данными по этому показателю, и поэтому они исключены из расчета индекса охвата услуг UHC. </w:t>
            </w:r>
            <w:proofErr w:type="gramStart"/>
            <w:r w:rsidRPr="00123724">
              <w:rPr>
                <w:rFonts w:ascii="Times New Roman" w:hAnsi="Times New Roman" w:cs="Times New Roman"/>
                <w:sz w:val="24"/>
                <w:szCs w:val="24"/>
              </w:rPr>
              <w:t>Дополнительной проблемой для международной сопоставимости является то, что источники данных могут использовать разные периоды времени (когда-либо проверенные или прошедшие скрининг за последние 5 лет) и разные возрастные группы.</w:t>
            </w:r>
            <w:proofErr w:type="gramEnd"/>
          </w:p>
        </w:tc>
      </w:tr>
    </w:tbl>
    <w:p w:rsidR="00D9034D" w:rsidRPr="00123724" w:rsidRDefault="00D9034D" w:rsidP="00123724">
      <w:pPr>
        <w:jc w:val="both"/>
        <w:rPr>
          <w:rFonts w:ascii="Times New Roman" w:hAnsi="Times New Roman" w:cs="Times New Roman"/>
          <w:sz w:val="24"/>
          <w:szCs w:val="24"/>
        </w:rPr>
      </w:pPr>
    </w:p>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tblPr>
      <w:tblGrid>
        <w:gridCol w:w="1668"/>
        <w:gridCol w:w="7903"/>
      </w:tblGrid>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Доступ к основным лекарственным средствам</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медицинских учреждений с основными лекарственными средствами</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объектов с основными лекарственными средствами на складе</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медицинских учреждений</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Специальные обследования объектов или, возможно, обычные информационные системы объекта</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Данные о наличии конкретного списка лекарств собираются из обследования выборки объектов. Доступность сообщается как процент медикаментов, в которых определенное лекарство было обнаружено в день обследования. Если регулярное представление отчетности о запасах является точным и полным, возможно, также будет возможно использовать данные из обычной системы. Требуется регулярная независимая проверка.</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Этот показатель все еще находится в стадии разработки, как с точки зрения основного списка контролируемых медикаментов, так и стратегий сбора данных. Обследования доступности и готовности к доступности (SARA) собрали данные для ограниченного числа стран, см. здесь: http://www.who.int/healthinfo/systems/sara_methods/en/.</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123724" w:rsidRPr="00123724" w:rsidRDefault="00123724"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В настоящее время насчитывается около 30 стран с последними данными о доступе к основным лекарственным средствам, и поэтому они исключены из расчета индекса охвата услуг UHC. Важно отметить, что </w:t>
            </w:r>
            <w:r w:rsidR="000971EE">
              <w:rPr>
                <w:rFonts w:ascii="Times New Roman" w:hAnsi="Times New Roman" w:cs="Times New Roman"/>
                <w:sz w:val="24"/>
                <w:szCs w:val="24"/>
              </w:rPr>
              <w:t>МЭГ-ЦУР</w:t>
            </w:r>
            <w:bookmarkStart w:id="0" w:name="_GoBack"/>
            <w:bookmarkEnd w:id="0"/>
            <w:r w:rsidRPr="00123724">
              <w:rPr>
                <w:rFonts w:ascii="Times New Roman" w:hAnsi="Times New Roman" w:cs="Times New Roman"/>
                <w:sz w:val="24"/>
                <w:szCs w:val="24"/>
              </w:rPr>
              <w:t xml:space="preserve"> недавно рекомендовала, чтобы в рамках задачи 3.b были отдельные показатели для вакцин и доступ к основным лекарственным средствам. Если он будет принят Статистической комиссией ООН в марте 2017 года, будет завершено определение и метаданные для индикатора ЦУР по доступу к основным лекарственным средствам. Как только начнется отчет по этому показателю, его можно использовать в индексе UHC.</w:t>
            </w:r>
          </w:p>
        </w:tc>
      </w:tr>
    </w:tbl>
    <w:p w:rsidR="00D9034D" w:rsidRPr="00123724" w:rsidRDefault="00D9034D" w:rsidP="00123724">
      <w:pPr>
        <w:jc w:val="both"/>
        <w:rPr>
          <w:rFonts w:ascii="Times New Roman" w:hAnsi="Times New Roman" w:cs="Times New Roman"/>
          <w:sz w:val="24"/>
          <w:szCs w:val="24"/>
        </w:rPr>
      </w:pPr>
    </w:p>
    <w:sectPr w:rsidR="00D9034D" w:rsidRPr="00123724" w:rsidSect="00E42DF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EB4"/>
    <w:multiLevelType w:val="hybridMultilevel"/>
    <w:tmpl w:val="0B8C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E1D37"/>
    <w:multiLevelType w:val="hybridMultilevel"/>
    <w:tmpl w:val="B340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321A0"/>
    <w:multiLevelType w:val="hybridMultilevel"/>
    <w:tmpl w:val="C324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B56AD"/>
    <w:multiLevelType w:val="hybridMultilevel"/>
    <w:tmpl w:val="0902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FE1F7F"/>
    <w:multiLevelType w:val="hybridMultilevel"/>
    <w:tmpl w:val="E1147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D75A4"/>
    <w:multiLevelType w:val="hybridMultilevel"/>
    <w:tmpl w:val="DDA8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FF2"/>
    <w:rsid w:val="000104F9"/>
    <w:rsid w:val="00053189"/>
    <w:rsid w:val="000971EE"/>
    <w:rsid w:val="000B4273"/>
    <w:rsid w:val="000D79A8"/>
    <w:rsid w:val="00103776"/>
    <w:rsid w:val="00123724"/>
    <w:rsid w:val="00182745"/>
    <w:rsid w:val="0018621B"/>
    <w:rsid w:val="001921F6"/>
    <w:rsid w:val="0020378A"/>
    <w:rsid w:val="00397587"/>
    <w:rsid w:val="00401A9C"/>
    <w:rsid w:val="00440740"/>
    <w:rsid w:val="0046686E"/>
    <w:rsid w:val="004B6BA5"/>
    <w:rsid w:val="005E16C1"/>
    <w:rsid w:val="00601E40"/>
    <w:rsid w:val="00614019"/>
    <w:rsid w:val="006907E3"/>
    <w:rsid w:val="006C3B20"/>
    <w:rsid w:val="00717FF2"/>
    <w:rsid w:val="00751BE9"/>
    <w:rsid w:val="007B19FD"/>
    <w:rsid w:val="008572DD"/>
    <w:rsid w:val="00861272"/>
    <w:rsid w:val="00900488"/>
    <w:rsid w:val="009B62E7"/>
    <w:rsid w:val="009F6FCF"/>
    <w:rsid w:val="00A07A79"/>
    <w:rsid w:val="00A34C85"/>
    <w:rsid w:val="00A628F4"/>
    <w:rsid w:val="00AB1C14"/>
    <w:rsid w:val="00C4254E"/>
    <w:rsid w:val="00C44EC1"/>
    <w:rsid w:val="00CA218D"/>
    <w:rsid w:val="00D9034D"/>
    <w:rsid w:val="00DE0BC3"/>
    <w:rsid w:val="00DF359B"/>
    <w:rsid w:val="00E04B54"/>
    <w:rsid w:val="00E42DF2"/>
    <w:rsid w:val="00E80F7B"/>
    <w:rsid w:val="00E94695"/>
    <w:rsid w:val="00EC34BC"/>
    <w:rsid w:val="00EE4401"/>
    <w:rsid w:val="00F20646"/>
    <w:rsid w:val="00FD6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1F6"/>
    <w:rPr>
      <w:color w:val="0000FF" w:themeColor="hyperlink"/>
      <w:u w:val="single"/>
    </w:rPr>
  </w:style>
  <w:style w:type="paragraph" w:styleId="a4">
    <w:name w:val="List Paragraph"/>
    <w:basedOn w:val="a"/>
    <w:uiPriority w:val="34"/>
    <w:qFormat/>
    <w:rsid w:val="00EE4401"/>
    <w:pPr>
      <w:ind w:left="720"/>
      <w:contextualSpacing/>
    </w:pPr>
  </w:style>
  <w:style w:type="paragraph" w:styleId="a5">
    <w:name w:val="Balloon Text"/>
    <w:basedOn w:val="a"/>
    <w:link w:val="a6"/>
    <w:uiPriority w:val="99"/>
    <w:semiHidden/>
    <w:unhideWhenUsed/>
    <w:rsid w:val="00010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4F9"/>
    <w:rPr>
      <w:rFonts w:ascii="Tahoma" w:hAnsi="Tahoma" w:cs="Tahoma"/>
      <w:sz w:val="16"/>
      <w:szCs w:val="16"/>
    </w:rPr>
  </w:style>
  <w:style w:type="table" w:styleId="a7">
    <w:name w:val="Table Grid"/>
    <w:basedOn w:val="a1"/>
    <w:uiPriority w:val="59"/>
    <w:rsid w:val="000B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1F6"/>
    <w:rPr>
      <w:color w:val="0000FF" w:themeColor="hyperlink"/>
      <w:u w:val="single"/>
    </w:rPr>
  </w:style>
  <w:style w:type="paragraph" w:styleId="a4">
    <w:name w:val="List Paragraph"/>
    <w:basedOn w:val="a"/>
    <w:uiPriority w:val="34"/>
    <w:qFormat/>
    <w:rsid w:val="00EE4401"/>
    <w:pPr>
      <w:ind w:left="720"/>
      <w:contextualSpacing/>
    </w:pPr>
  </w:style>
  <w:style w:type="paragraph" w:styleId="a5">
    <w:name w:val="Balloon Text"/>
    <w:basedOn w:val="a"/>
    <w:link w:val="a6"/>
    <w:uiPriority w:val="99"/>
    <w:semiHidden/>
    <w:unhideWhenUsed/>
    <w:rsid w:val="00010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4F9"/>
    <w:rPr>
      <w:rFonts w:ascii="Tahoma" w:hAnsi="Tahoma" w:cs="Tahoma"/>
      <w:sz w:val="16"/>
      <w:szCs w:val="16"/>
    </w:rPr>
  </w:style>
  <w:style w:type="table" w:styleId="a7">
    <w:name w:val="Table Grid"/>
    <w:basedOn w:val="a1"/>
    <w:uiPriority w:val="59"/>
    <w:rsid w:val="000B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metadata/files/Metadata-03-0a-01.pdf" TargetMode="External"/><Relationship Id="rId13" Type="http://schemas.openxmlformats.org/officeDocument/2006/relationships/hyperlink" Target="http://www.who.int/healthinfo/universal_health_coverage/UHC_Tracer_Indicators_Metadata.pdf" TargetMode="External"/><Relationship Id="rId18" Type="http://schemas.openxmlformats.org/officeDocument/2006/relationships/hyperlink" Target="http://apps.who.int/gho/data/node.main.A875STANDARD?lang=e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ateway.euro.who.int/en/data-sources/european-database-onhuman-and-technical-resources-for-health/" TargetMode="External"/><Relationship Id="rId7" Type="http://schemas.openxmlformats.org/officeDocument/2006/relationships/hyperlink" Target="https://unstats.un.org/sdgs/metadata/files/Metadata-03-07-01.pdf" TargetMode="External"/><Relationship Id="rId12" Type="http://schemas.openxmlformats.org/officeDocument/2006/relationships/image" Target="media/image1.png"/><Relationship Id="rId17" Type="http://schemas.openxmlformats.org/officeDocument/2006/relationships/hyperlink" Target="http://www.thelancet.com/journals/lancet/article/PIIS0140-6736(16)31919-5/full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hc_stats@who.int" TargetMode="External"/><Relationship Id="rId20" Type="http://schemas.openxmlformats.org/officeDocument/2006/relationships/hyperlink" Target="http://www.searo.who.int/entity/health_situation_trends/data/hsp/hsp_2014/en" TargetMode="External"/><Relationship Id="rId1" Type="http://schemas.openxmlformats.org/officeDocument/2006/relationships/customXml" Target="../customXml/item1.xml"/><Relationship Id="rId6" Type="http://schemas.openxmlformats.org/officeDocument/2006/relationships/hyperlink" Target="http://www.who.int/healthinfo/universal_health_coverage/UHC_Tracer_Indicators_Metadata.pdf" TargetMode="External"/><Relationship Id="rId11" Type="http://schemas.openxmlformats.org/officeDocument/2006/relationships/hyperlink" Target="http://www.who.int/healthinfo/universal_health_coverage/report/2017/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int/healthinfo/universal_health_coverage/UHC_Tracer_Indicators_Metadata.pdf" TargetMode="External"/><Relationship Id="rId23" Type="http://schemas.openxmlformats.org/officeDocument/2006/relationships/hyperlink" Target="http://apps.who.int/iris/bitstream/10665/84933/1/WHO_HSE_GCR_2013.2_eng.pdf" TargetMode="External"/><Relationship Id="rId10" Type="http://schemas.openxmlformats.org/officeDocument/2006/relationships/hyperlink" Target="https://unstats.un.org/sdgs/metadata/files/Metadata-03-0D-01.pdf" TargetMode="External"/><Relationship Id="rId19" Type="http://schemas.openxmlformats.org/officeDocument/2006/relationships/hyperlink" Target="http://www.aho.afro.who.int/en/datastatistics/hospital-beds-10-000-population" TargetMode="External"/><Relationship Id="rId4" Type="http://schemas.openxmlformats.org/officeDocument/2006/relationships/settings" Target="settings.xml"/><Relationship Id="rId9" Type="http://schemas.openxmlformats.org/officeDocument/2006/relationships/hyperlink" Target="https://unstats.un.org/sdgs/metadata/files/Metadata-03-0C-01.pdf" TargetMode="External"/><Relationship Id="rId14" Type="http://schemas.openxmlformats.org/officeDocument/2006/relationships/hyperlink" Target="http://www.who.int/healthinfo/universal_health_coverage/UHC_Tracer_Indicators_Metadata.pdf" TargetMode="External"/><Relationship Id="rId22" Type="http://schemas.openxmlformats.org/officeDocument/2006/relationships/hyperlink" Target="http://www.oecd-ilibrary.org/social-issues-migration-health/healthat-a-glance-asia-pacific-2014_health_glance_ap-201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8D3F-E5FD-4B7C-8822-A845570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26</Pages>
  <Words>8167</Words>
  <Characters>46556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sh.iskakova</cp:lastModifiedBy>
  <cp:revision>6</cp:revision>
  <cp:lastPrinted>2018-10-12T09:39:00Z</cp:lastPrinted>
  <dcterms:created xsi:type="dcterms:W3CDTF">2018-05-11T12:18:00Z</dcterms:created>
  <dcterms:modified xsi:type="dcterms:W3CDTF">2018-10-12T09:43:00Z</dcterms:modified>
</cp:coreProperties>
</file>