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49" w:rsidRPr="00065049" w:rsidRDefault="00065049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Цель 3. Обеспечение здорового образа жизни и содействие благополучию для всех в любом возрасте</w:t>
      </w:r>
    </w:p>
    <w:p w:rsidR="00065049" w:rsidRPr="00065049" w:rsidRDefault="00065049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3.a Активизировать, при необходимости осуществление Рамочной конвенции Всемирной организации здравоохранения по борьбе против табака во всех странах</w:t>
      </w:r>
    </w:p>
    <w:p w:rsidR="00065049" w:rsidRDefault="00065049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3.a.1 Стандартизированная по возрасту распространенность употребления табака лицами в возрасте от 15 лет</w:t>
      </w:r>
    </w:p>
    <w:p w:rsidR="00065049" w:rsidRPr="00065049" w:rsidRDefault="00065049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065049" w:rsidRDefault="00065049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065049" w:rsidRPr="00065049" w:rsidRDefault="00065049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Всемирная организация здоровья</w:t>
      </w:r>
      <w:r>
        <w:rPr>
          <w:rFonts w:ascii="Times New Roman" w:hAnsi="Times New Roman" w:cs="Times New Roman"/>
          <w:sz w:val="24"/>
          <w:szCs w:val="24"/>
        </w:rPr>
        <w:t xml:space="preserve"> (ВОЗ)</w:t>
      </w:r>
      <w:r w:rsidRPr="00065049">
        <w:rPr>
          <w:rFonts w:ascii="Times New Roman" w:hAnsi="Times New Roman" w:cs="Times New Roman"/>
          <w:sz w:val="24"/>
          <w:szCs w:val="24"/>
        </w:rPr>
        <w:t>;</w:t>
      </w:r>
    </w:p>
    <w:p w:rsidR="00065049" w:rsidRDefault="00065049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Секретариат Рамочной конвенции ВОЗ по борьбе против табака</w:t>
      </w:r>
      <w:r w:rsidR="003F1B08">
        <w:rPr>
          <w:rFonts w:ascii="Times New Roman" w:hAnsi="Times New Roman" w:cs="Times New Roman"/>
          <w:sz w:val="24"/>
          <w:szCs w:val="24"/>
        </w:rPr>
        <w:t xml:space="preserve"> </w:t>
      </w:r>
      <w:r w:rsidR="003F1B08" w:rsidRPr="00065049">
        <w:rPr>
          <w:rFonts w:ascii="Times New Roman" w:hAnsi="Times New Roman" w:cs="Times New Roman"/>
          <w:sz w:val="24"/>
          <w:szCs w:val="24"/>
        </w:rPr>
        <w:t>(РКБТ ВОЗ)</w:t>
      </w:r>
    </w:p>
    <w:p w:rsidR="00065049" w:rsidRPr="00065049" w:rsidRDefault="00065049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049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065049" w:rsidRDefault="00065049" w:rsidP="00065049">
      <w:pPr>
        <w:jc w:val="both"/>
      </w:pPr>
      <w:r w:rsidRPr="00065049">
        <w:rPr>
          <w:rFonts w:ascii="Times New Roman" w:hAnsi="Times New Roman" w:cs="Times New Roman"/>
          <w:sz w:val="24"/>
          <w:szCs w:val="24"/>
        </w:rPr>
        <w:t>Определение:</w:t>
      </w:r>
      <w:r w:rsidRPr="00065049">
        <w:t xml:space="preserve"> </w:t>
      </w:r>
    </w:p>
    <w:p w:rsidR="00065049" w:rsidRDefault="00065049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Показатель определяется как процент населения в возрасте 15 лет и старше, который в настоящее время использует любой табачный продукт (кури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Pr="00065049">
        <w:rPr>
          <w:rFonts w:ascii="Times New Roman" w:hAnsi="Times New Roman" w:cs="Times New Roman"/>
          <w:sz w:val="24"/>
          <w:szCs w:val="24"/>
        </w:rPr>
        <w:t xml:space="preserve">ный и/или </w:t>
      </w:r>
      <w:r w:rsidR="003F1B08">
        <w:rPr>
          <w:rFonts w:ascii="Times New Roman" w:hAnsi="Times New Roman" w:cs="Times New Roman"/>
          <w:sz w:val="24"/>
          <w:szCs w:val="24"/>
        </w:rPr>
        <w:t>некурительный</w:t>
      </w:r>
      <w:r w:rsidRPr="00065049">
        <w:rPr>
          <w:rFonts w:ascii="Times New Roman" w:hAnsi="Times New Roman" w:cs="Times New Roman"/>
          <w:sz w:val="24"/>
          <w:szCs w:val="24"/>
        </w:rPr>
        <w:t xml:space="preserve"> табак) ежедневно или не ежедневно.</w:t>
      </w:r>
    </w:p>
    <w:p w:rsidR="00065049" w:rsidRDefault="00065049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065049" w:rsidRPr="003F1B08" w:rsidRDefault="00065049" w:rsidP="003F1B08">
      <w:pPr>
        <w:jc w:val="both"/>
        <w:rPr>
          <w:rFonts w:ascii="Times New Roman" w:hAnsi="Times New Roman" w:cs="Times New Roman"/>
          <w:sz w:val="24"/>
          <w:szCs w:val="24"/>
        </w:rPr>
      </w:pPr>
      <w:r w:rsidRPr="00065049">
        <w:rPr>
          <w:rFonts w:ascii="Times New Roman" w:hAnsi="Times New Roman" w:cs="Times New Roman"/>
          <w:sz w:val="24"/>
          <w:szCs w:val="24"/>
        </w:rPr>
        <w:t xml:space="preserve">Использование табака является одним из основных факторов, способствующих болезни и смерти от неинфекционных заболеваний (НИЗ). Нет доказанного безопасного уровня употребления табака или побочного воздействия </w:t>
      </w:r>
      <w:r>
        <w:rPr>
          <w:rFonts w:ascii="Times New Roman" w:hAnsi="Times New Roman" w:cs="Times New Roman"/>
          <w:sz w:val="24"/>
          <w:szCs w:val="24"/>
        </w:rPr>
        <w:t>табачного дыма</w:t>
      </w:r>
      <w:r w:rsidRPr="00065049">
        <w:rPr>
          <w:rFonts w:ascii="Times New Roman" w:hAnsi="Times New Roman" w:cs="Times New Roman"/>
          <w:sz w:val="24"/>
          <w:szCs w:val="24"/>
        </w:rPr>
        <w:t>. Все ежедневные и не ежедневные пользователи табака подвержены риску множества плохих результатов в отношении здоровья на протяжении всего жизненного цикла, включая НИЗ. Сокращение распространенности нынешнего употребления табака внесет большой вклад в снижение преждевременной смертности от НИЗ (</w:t>
      </w:r>
      <w:r>
        <w:rPr>
          <w:rFonts w:ascii="Times New Roman" w:hAnsi="Times New Roman" w:cs="Times New Roman"/>
          <w:sz w:val="24"/>
          <w:szCs w:val="24"/>
        </w:rPr>
        <w:t>задача</w:t>
      </w:r>
      <w:r w:rsidRPr="00065049">
        <w:rPr>
          <w:rFonts w:ascii="Times New Roman" w:hAnsi="Times New Roman" w:cs="Times New Roman"/>
          <w:sz w:val="24"/>
          <w:szCs w:val="24"/>
        </w:rPr>
        <w:t xml:space="preserve"> 3.4). </w:t>
      </w:r>
      <w:r w:rsidR="003F1B08">
        <w:rPr>
          <w:rFonts w:ascii="Times New Roman" w:hAnsi="Times New Roman" w:cs="Times New Roman"/>
          <w:sz w:val="24"/>
          <w:szCs w:val="24"/>
        </w:rPr>
        <w:t>Текущий</w:t>
      </w:r>
      <w:r w:rsidRPr="00065049">
        <w:rPr>
          <w:rFonts w:ascii="Times New Roman" w:hAnsi="Times New Roman" w:cs="Times New Roman"/>
          <w:sz w:val="24"/>
          <w:szCs w:val="24"/>
        </w:rPr>
        <w:t xml:space="preserve"> и регулярный мониторинг этого показателя необходим для точного мониторинга и оценки воздействия реализации Рамочной конвенции ВОЗ по борьбе против табака (РКБТ ВОЗ) или политики борьбы против табака в странах, которые еще не являются Сторонами РКБТ ВОЗ, со временем.</w:t>
      </w:r>
      <w:r w:rsidR="003F1B08">
        <w:rPr>
          <w:rFonts w:ascii="Times New Roman" w:hAnsi="Times New Roman" w:cs="Times New Roman"/>
          <w:sz w:val="24"/>
          <w:szCs w:val="24"/>
        </w:rPr>
        <w:t xml:space="preserve"> </w:t>
      </w:r>
      <w:r w:rsidR="003F1B08" w:rsidRPr="003F1B08">
        <w:rPr>
          <w:rFonts w:ascii="Times New Roman" w:hAnsi="Times New Roman" w:cs="Times New Roman"/>
          <w:sz w:val="24"/>
          <w:szCs w:val="24"/>
        </w:rPr>
        <w:t xml:space="preserve">Уровни распространенности употребления табака являются </w:t>
      </w:r>
      <w:r w:rsidR="003F1B08">
        <w:rPr>
          <w:rFonts w:ascii="Times New Roman" w:hAnsi="Times New Roman" w:cs="Times New Roman"/>
          <w:sz w:val="24"/>
          <w:szCs w:val="24"/>
        </w:rPr>
        <w:t>надлежащим</w:t>
      </w:r>
      <w:r w:rsidR="003F1B08" w:rsidRPr="003F1B08">
        <w:rPr>
          <w:rFonts w:ascii="Times New Roman" w:hAnsi="Times New Roman" w:cs="Times New Roman"/>
          <w:sz w:val="24"/>
          <w:szCs w:val="24"/>
        </w:rPr>
        <w:t xml:space="preserve"> показателем</w:t>
      </w:r>
      <w:r w:rsidR="003F1B08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3F1B08" w:rsidRPr="003F1B08">
        <w:rPr>
          <w:rFonts w:ascii="Times New Roman" w:hAnsi="Times New Roman" w:cs="Times New Roman"/>
          <w:sz w:val="24"/>
          <w:szCs w:val="24"/>
        </w:rPr>
        <w:t>ЦУР задачи 3.a «Активизировать, при необходимости осуществление Рамочной конвенции Всемирной организации здравоохранения по борьбе против табака во всех странах».</w:t>
      </w:r>
    </w:p>
    <w:p w:rsidR="00065049" w:rsidRDefault="003F1B08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3F1B08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3F1B08" w:rsidRDefault="003F1B08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3F1B08">
        <w:rPr>
          <w:rFonts w:ascii="Times New Roman" w:hAnsi="Times New Roman" w:cs="Times New Roman"/>
          <w:sz w:val="24"/>
          <w:szCs w:val="24"/>
        </w:rPr>
        <w:t xml:space="preserve">Использование табака означает использование </w:t>
      </w:r>
      <w:r w:rsidRPr="00065049">
        <w:rPr>
          <w:rFonts w:ascii="Times New Roman" w:hAnsi="Times New Roman" w:cs="Times New Roman"/>
          <w:sz w:val="24"/>
          <w:szCs w:val="24"/>
        </w:rPr>
        <w:t>кури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Pr="00065049">
        <w:rPr>
          <w:rFonts w:ascii="Times New Roman" w:hAnsi="Times New Roman" w:cs="Times New Roman"/>
          <w:sz w:val="24"/>
          <w:szCs w:val="24"/>
        </w:rPr>
        <w:t>н</w:t>
      </w:r>
      <w:r w:rsidR="0081049D">
        <w:rPr>
          <w:rFonts w:ascii="Times New Roman" w:hAnsi="Times New Roman" w:cs="Times New Roman"/>
          <w:sz w:val="24"/>
          <w:szCs w:val="24"/>
        </w:rPr>
        <w:t>ых</w:t>
      </w:r>
      <w:r w:rsidRPr="00065049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некурительн</w:t>
      </w:r>
      <w:r w:rsidR="0081049D">
        <w:rPr>
          <w:rFonts w:ascii="Times New Roman" w:hAnsi="Times New Roman" w:cs="Times New Roman"/>
          <w:sz w:val="24"/>
          <w:szCs w:val="24"/>
        </w:rPr>
        <w:t>ых табачных</w:t>
      </w:r>
      <w:r w:rsidRPr="003F1B08">
        <w:rPr>
          <w:rFonts w:ascii="Times New Roman" w:hAnsi="Times New Roman" w:cs="Times New Roman"/>
          <w:sz w:val="24"/>
          <w:szCs w:val="24"/>
        </w:rPr>
        <w:t xml:space="preserve"> изделий. «Текущее использование» означает использование в течение предыдущих 30 дней на момент опроса, будь то ежедневное или не ежедневное использование.</w:t>
      </w:r>
    </w:p>
    <w:p w:rsidR="0081049D" w:rsidRPr="0081049D" w:rsidRDefault="0081049D" w:rsidP="0081049D">
      <w:pPr>
        <w:jc w:val="both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 xml:space="preserve">Табачные изделия </w:t>
      </w:r>
      <w:r>
        <w:rPr>
          <w:rFonts w:ascii="Times New Roman" w:hAnsi="Times New Roman" w:cs="Times New Roman"/>
          <w:sz w:val="24"/>
          <w:szCs w:val="24"/>
        </w:rPr>
        <w:t>- это</w:t>
      </w:r>
      <w:r w:rsidRPr="0081049D">
        <w:rPr>
          <w:rFonts w:ascii="Times New Roman" w:hAnsi="Times New Roman" w:cs="Times New Roman"/>
          <w:sz w:val="24"/>
          <w:szCs w:val="24"/>
        </w:rPr>
        <w:t xml:space="preserve"> продукты, полностью или частично изготовленные из листового табака в качестве сырья, предназначенного для потребления человеком, путем </w:t>
      </w:r>
      <w:r>
        <w:rPr>
          <w:rFonts w:ascii="Times New Roman" w:hAnsi="Times New Roman" w:cs="Times New Roman"/>
          <w:sz w:val="24"/>
          <w:szCs w:val="24"/>
        </w:rPr>
        <w:t>курения, сосания, жевания или втягивания носом</w:t>
      </w:r>
      <w:r w:rsidRPr="0081049D">
        <w:rPr>
          <w:rFonts w:ascii="Times New Roman" w:hAnsi="Times New Roman" w:cs="Times New Roman"/>
          <w:sz w:val="24"/>
          <w:szCs w:val="24"/>
        </w:rPr>
        <w:t>.</w:t>
      </w:r>
    </w:p>
    <w:p w:rsidR="0081049D" w:rsidRPr="003F1B08" w:rsidRDefault="0081049D" w:rsidP="0081049D">
      <w:pPr>
        <w:jc w:val="both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Курительные</w:t>
      </w:r>
      <w:r w:rsidRPr="0081049D">
        <w:rPr>
          <w:rFonts w:ascii="Times New Roman" w:hAnsi="Times New Roman" w:cs="Times New Roman"/>
          <w:sz w:val="24"/>
          <w:szCs w:val="24"/>
        </w:rPr>
        <w:t xml:space="preserve"> табачные изделия» включают сигареты, сигариллы, сигары, </w:t>
      </w:r>
      <w:r>
        <w:rPr>
          <w:rFonts w:ascii="Times New Roman" w:hAnsi="Times New Roman" w:cs="Times New Roman"/>
          <w:sz w:val="24"/>
          <w:szCs w:val="24"/>
        </w:rPr>
        <w:t xml:space="preserve">манильские </w:t>
      </w:r>
      <w:r w:rsidRPr="0081049D">
        <w:rPr>
          <w:rFonts w:ascii="Times New Roman" w:hAnsi="Times New Roman" w:cs="Times New Roman"/>
          <w:sz w:val="24"/>
          <w:szCs w:val="24"/>
        </w:rPr>
        <w:t>сигары с обрезанными концами, биди, труб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1049D">
        <w:rPr>
          <w:rFonts w:ascii="Times New Roman" w:hAnsi="Times New Roman" w:cs="Times New Roman"/>
          <w:sz w:val="24"/>
          <w:szCs w:val="24"/>
        </w:rPr>
        <w:t>, кальяны, собственн</w:t>
      </w:r>
      <w:r>
        <w:rPr>
          <w:rFonts w:ascii="Times New Roman" w:hAnsi="Times New Roman" w:cs="Times New Roman"/>
          <w:sz w:val="24"/>
          <w:szCs w:val="24"/>
        </w:rPr>
        <w:t xml:space="preserve">оручно скрученный </w:t>
      </w:r>
      <w:r w:rsidRPr="0081049D">
        <w:rPr>
          <w:rFonts w:ascii="Times New Roman" w:hAnsi="Times New Roman" w:cs="Times New Roman"/>
          <w:sz w:val="24"/>
          <w:szCs w:val="24"/>
        </w:rPr>
        <w:t>табак, кретек и любую другую форму табака, потребляемую</w:t>
      </w:r>
      <w:r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81049D">
        <w:rPr>
          <w:rFonts w:ascii="Times New Roman" w:hAnsi="Times New Roman" w:cs="Times New Roman"/>
          <w:sz w:val="24"/>
          <w:szCs w:val="24"/>
        </w:rPr>
        <w:t xml:space="preserve"> курени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049D">
        <w:rPr>
          <w:rFonts w:ascii="Times New Roman" w:hAnsi="Times New Roman" w:cs="Times New Roman"/>
          <w:sz w:val="24"/>
          <w:szCs w:val="24"/>
        </w:rPr>
        <w:t>.</w:t>
      </w:r>
    </w:p>
    <w:p w:rsidR="00065049" w:rsidRPr="003F1B08" w:rsidRDefault="0081049D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8104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Некурительное табачное изделие</w:t>
      </w:r>
      <w:r w:rsidRPr="0081049D">
        <w:rPr>
          <w:rFonts w:ascii="Times New Roman" w:hAnsi="Times New Roman" w:cs="Times New Roman"/>
          <w:sz w:val="24"/>
          <w:szCs w:val="24"/>
        </w:rPr>
        <w:t xml:space="preserve">» включает в себя влажный табак, сливочный табак, сухой табак, </w:t>
      </w:r>
      <w:r w:rsidR="0035794B">
        <w:rPr>
          <w:rFonts w:ascii="Times New Roman" w:hAnsi="Times New Roman" w:cs="Times New Roman"/>
          <w:sz w:val="24"/>
          <w:szCs w:val="24"/>
        </w:rPr>
        <w:t>жевательный табак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35794B">
        <w:rPr>
          <w:rFonts w:ascii="Times New Roman" w:hAnsi="Times New Roman" w:cs="Times New Roman"/>
          <w:sz w:val="24"/>
          <w:szCs w:val="24"/>
        </w:rPr>
        <w:t>рассасываемый табак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35794B">
        <w:rPr>
          <w:rFonts w:ascii="Times New Roman" w:hAnsi="Times New Roman" w:cs="Times New Roman"/>
          <w:sz w:val="24"/>
          <w:szCs w:val="24"/>
        </w:rPr>
        <w:t>порошковый табак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35794B">
        <w:rPr>
          <w:rFonts w:ascii="Times New Roman" w:hAnsi="Times New Roman" w:cs="Times New Roman"/>
          <w:sz w:val="24"/>
          <w:szCs w:val="24"/>
        </w:rPr>
        <w:t>листья табака</w:t>
      </w:r>
      <w:r w:rsidRPr="0081049D">
        <w:rPr>
          <w:rFonts w:ascii="Times New Roman" w:hAnsi="Times New Roman" w:cs="Times New Roman"/>
          <w:sz w:val="24"/>
          <w:szCs w:val="24"/>
        </w:rPr>
        <w:t xml:space="preserve">, красный зубной порошок, снус, химо, гутха, хайни, гудаху, зарду, кувум, дохра, туйбур, </w:t>
      </w:r>
      <w:r w:rsidR="0035794B">
        <w:rPr>
          <w:rFonts w:ascii="Times New Roman" w:hAnsi="Times New Roman" w:cs="Times New Roman"/>
          <w:sz w:val="24"/>
          <w:szCs w:val="24"/>
        </w:rPr>
        <w:t>насвай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35794B">
        <w:rPr>
          <w:rFonts w:ascii="Times New Roman" w:hAnsi="Times New Roman" w:cs="Times New Roman"/>
          <w:sz w:val="24"/>
          <w:szCs w:val="24"/>
        </w:rPr>
        <w:t>шамма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6B494C">
        <w:rPr>
          <w:rFonts w:ascii="Times New Roman" w:hAnsi="Times New Roman" w:cs="Times New Roman"/>
          <w:sz w:val="24"/>
          <w:szCs w:val="24"/>
        </w:rPr>
        <w:t>томбак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6B494C">
        <w:rPr>
          <w:rFonts w:ascii="Times New Roman" w:hAnsi="Times New Roman" w:cs="Times New Roman"/>
          <w:sz w:val="24"/>
          <w:szCs w:val="24"/>
        </w:rPr>
        <w:t>паан</w:t>
      </w:r>
      <w:r w:rsidRPr="0081049D">
        <w:rPr>
          <w:rFonts w:ascii="Times New Roman" w:hAnsi="Times New Roman" w:cs="Times New Roman"/>
          <w:sz w:val="24"/>
          <w:szCs w:val="24"/>
        </w:rPr>
        <w:t xml:space="preserve"> (бетель с табаком), iq'mik, </w:t>
      </w:r>
      <w:r w:rsidR="006B494C">
        <w:rPr>
          <w:rFonts w:ascii="Times New Roman" w:hAnsi="Times New Roman" w:cs="Times New Roman"/>
          <w:sz w:val="24"/>
          <w:szCs w:val="24"/>
        </w:rPr>
        <w:t>мишри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6B494C">
        <w:rPr>
          <w:rFonts w:ascii="Times New Roman" w:hAnsi="Times New Roman" w:cs="Times New Roman"/>
          <w:sz w:val="24"/>
          <w:szCs w:val="24"/>
        </w:rPr>
        <w:t>тапкир</w:t>
      </w:r>
      <w:r w:rsidRPr="0081049D">
        <w:rPr>
          <w:rFonts w:ascii="Times New Roman" w:hAnsi="Times New Roman" w:cs="Times New Roman"/>
          <w:sz w:val="24"/>
          <w:szCs w:val="24"/>
        </w:rPr>
        <w:t xml:space="preserve">, </w:t>
      </w:r>
      <w:r w:rsidR="006B494C">
        <w:rPr>
          <w:rFonts w:ascii="Times New Roman" w:hAnsi="Times New Roman" w:cs="Times New Roman"/>
          <w:sz w:val="24"/>
          <w:szCs w:val="24"/>
        </w:rPr>
        <w:t>томбол</w:t>
      </w:r>
      <w:r w:rsidRPr="0081049D">
        <w:rPr>
          <w:rFonts w:ascii="Times New Roman" w:hAnsi="Times New Roman" w:cs="Times New Roman"/>
          <w:sz w:val="24"/>
          <w:szCs w:val="24"/>
        </w:rPr>
        <w:t xml:space="preserve"> и любой другой табачный</w:t>
      </w:r>
      <w:r w:rsidR="006B494C">
        <w:rPr>
          <w:rFonts w:ascii="Times New Roman" w:hAnsi="Times New Roman" w:cs="Times New Roman"/>
          <w:sz w:val="24"/>
          <w:szCs w:val="24"/>
        </w:rPr>
        <w:t xml:space="preserve"> продукт, который потребляется вдыхая,</w:t>
      </w:r>
      <w:r w:rsidRPr="0081049D">
        <w:rPr>
          <w:rFonts w:ascii="Times New Roman" w:hAnsi="Times New Roman" w:cs="Times New Roman"/>
          <w:sz w:val="24"/>
          <w:szCs w:val="24"/>
        </w:rPr>
        <w:t xml:space="preserve"> держа в рот</w:t>
      </w:r>
      <w:r w:rsidR="006B494C">
        <w:rPr>
          <w:rFonts w:ascii="Times New Roman" w:hAnsi="Times New Roman" w:cs="Times New Roman"/>
          <w:sz w:val="24"/>
          <w:szCs w:val="24"/>
        </w:rPr>
        <w:t>у</w:t>
      </w:r>
      <w:r w:rsidRPr="0081049D">
        <w:rPr>
          <w:rFonts w:ascii="Times New Roman" w:hAnsi="Times New Roman" w:cs="Times New Roman"/>
          <w:sz w:val="24"/>
          <w:szCs w:val="24"/>
        </w:rPr>
        <w:t xml:space="preserve"> или жевание</w:t>
      </w:r>
      <w:r w:rsidR="006B494C">
        <w:rPr>
          <w:rFonts w:ascii="Times New Roman" w:hAnsi="Times New Roman" w:cs="Times New Roman"/>
          <w:sz w:val="24"/>
          <w:szCs w:val="24"/>
        </w:rPr>
        <w:t>м</w:t>
      </w:r>
      <w:r w:rsidRPr="0081049D">
        <w:rPr>
          <w:rFonts w:ascii="Times New Roman" w:hAnsi="Times New Roman" w:cs="Times New Roman"/>
          <w:sz w:val="24"/>
          <w:szCs w:val="24"/>
        </w:rPr>
        <w:t>.</w:t>
      </w:r>
    </w:p>
    <w:p w:rsidR="00065049" w:rsidRPr="00065049" w:rsidRDefault="006B494C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6B494C">
        <w:rPr>
          <w:rFonts w:ascii="Times New Roman" w:hAnsi="Times New Roman" w:cs="Times New Roman"/>
          <w:sz w:val="24"/>
          <w:szCs w:val="24"/>
        </w:rPr>
        <w:t xml:space="preserve">Оценки распространенности были «стандартизированы по возрасту», чтобы сделать их сопоставимыми по всем странам независимо от демографического профиля страны. Это делается путем применения показателей удельной распространенности по странам и возрасту каждой страны к Стандартному населению ВОЗ. Результирующие </w:t>
      </w:r>
      <w:r w:rsidR="004D13FF">
        <w:rPr>
          <w:rFonts w:ascii="Times New Roman" w:hAnsi="Times New Roman" w:cs="Times New Roman"/>
          <w:sz w:val="24"/>
          <w:szCs w:val="24"/>
        </w:rPr>
        <w:t>показатели</w:t>
      </w:r>
      <w:r w:rsidRPr="006B494C">
        <w:rPr>
          <w:rFonts w:ascii="Times New Roman" w:hAnsi="Times New Roman" w:cs="Times New Roman"/>
          <w:sz w:val="24"/>
          <w:szCs w:val="24"/>
        </w:rPr>
        <w:t xml:space="preserve"> представляют собой гипотетические цифры, которые имеют смысл только при сравнении </w:t>
      </w:r>
      <w:r w:rsidR="004D13FF">
        <w:rPr>
          <w:rFonts w:ascii="Times New Roman" w:hAnsi="Times New Roman" w:cs="Times New Roman"/>
          <w:sz w:val="24"/>
          <w:szCs w:val="24"/>
        </w:rPr>
        <w:t>показателей</w:t>
      </w:r>
      <w:r w:rsidRPr="006B494C">
        <w:rPr>
          <w:rFonts w:ascii="Times New Roman" w:hAnsi="Times New Roman" w:cs="Times New Roman"/>
          <w:sz w:val="24"/>
          <w:szCs w:val="24"/>
        </w:rPr>
        <w:t>, полученных для одной страны, с данными, полученными для другой страны.</w:t>
      </w:r>
    </w:p>
    <w:p w:rsidR="00065049" w:rsidRPr="00A921D0" w:rsidRDefault="00A921D0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1D0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065049" w:rsidRDefault="00A921D0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A921D0">
        <w:rPr>
          <w:rFonts w:ascii="Times New Roman" w:hAnsi="Times New Roman" w:cs="Times New Roman"/>
          <w:sz w:val="24"/>
          <w:szCs w:val="24"/>
        </w:rPr>
        <w:t>Для расчета сопоставимых оценок по этому показателю используются необработанные данные, собранные в рамках национальных репрезентативных обследований населения в странах. Информация из субнациональных обзоров не используется.</w:t>
      </w:r>
    </w:p>
    <w:p w:rsidR="00A921D0" w:rsidRDefault="00A921D0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A921D0">
        <w:rPr>
          <w:rFonts w:ascii="Times New Roman" w:hAnsi="Times New Roman" w:cs="Times New Roman"/>
          <w:sz w:val="24"/>
          <w:szCs w:val="24"/>
        </w:rPr>
        <w:t>Хотя в настоящее время менее 1 из 5 стран сообщают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A921D0">
        <w:rPr>
          <w:rFonts w:ascii="Times New Roman" w:hAnsi="Times New Roman" w:cs="Times New Roman"/>
          <w:sz w:val="24"/>
          <w:szCs w:val="24"/>
        </w:rPr>
        <w:t xml:space="preserve"> всех видах потребления табака, три четверти стран имеют надежные данные о курении табака. Пока большинство стран не сообщит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A921D0">
        <w:rPr>
          <w:rFonts w:ascii="Times New Roman" w:hAnsi="Times New Roman" w:cs="Times New Roman"/>
          <w:sz w:val="24"/>
          <w:szCs w:val="24"/>
        </w:rPr>
        <w:t xml:space="preserve"> всех</w:t>
      </w:r>
      <w:r w:rsidR="00512736">
        <w:rPr>
          <w:rFonts w:ascii="Times New Roman" w:hAnsi="Times New Roman" w:cs="Times New Roman"/>
          <w:sz w:val="24"/>
          <w:szCs w:val="24"/>
        </w:rPr>
        <w:t xml:space="preserve"> видах употребления табака (кури</w:t>
      </w:r>
      <w:r w:rsidRPr="00A921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ельного</w:t>
      </w:r>
      <w:r w:rsidRPr="00A921D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некурительного</w:t>
      </w:r>
      <w:r w:rsidRPr="00A921D0">
        <w:rPr>
          <w:rFonts w:ascii="Times New Roman" w:hAnsi="Times New Roman" w:cs="Times New Roman"/>
          <w:sz w:val="24"/>
          <w:szCs w:val="24"/>
        </w:rPr>
        <w:t xml:space="preserve">), этот показатель будет </w:t>
      </w:r>
      <w:r>
        <w:rPr>
          <w:rFonts w:ascii="Times New Roman" w:hAnsi="Times New Roman" w:cs="Times New Roman"/>
          <w:sz w:val="24"/>
          <w:szCs w:val="24"/>
        </w:rPr>
        <w:t xml:space="preserve">заполняться </w:t>
      </w:r>
      <w:r w:rsidR="00512736">
        <w:rPr>
          <w:rFonts w:ascii="Times New Roman" w:hAnsi="Times New Roman" w:cs="Times New Roman"/>
          <w:sz w:val="24"/>
          <w:szCs w:val="24"/>
        </w:rPr>
        <w:t xml:space="preserve">вычисляемыми </w:t>
      </w:r>
      <w:r w:rsidR="004D13FF">
        <w:rPr>
          <w:rFonts w:ascii="Times New Roman" w:hAnsi="Times New Roman" w:cs="Times New Roman"/>
          <w:sz w:val="24"/>
          <w:szCs w:val="24"/>
        </w:rPr>
        <w:t>показателями</w:t>
      </w:r>
      <w:r w:rsidR="00512736">
        <w:rPr>
          <w:rFonts w:ascii="Times New Roman" w:hAnsi="Times New Roman" w:cs="Times New Roman"/>
          <w:sz w:val="24"/>
          <w:szCs w:val="24"/>
        </w:rPr>
        <w:t xml:space="preserve"> </w:t>
      </w:r>
      <w:r w:rsidRPr="00A921D0">
        <w:rPr>
          <w:rFonts w:ascii="Times New Roman" w:hAnsi="Times New Roman" w:cs="Times New Roman"/>
          <w:sz w:val="24"/>
          <w:szCs w:val="24"/>
        </w:rPr>
        <w:t>курения табака. В некоторых странах все употребление табака и курение табака могут быть эквивалентными, но для многих стран уровень курения в некоторой степени будет ниже, чем уровень употребления табака.</w:t>
      </w:r>
    </w:p>
    <w:p w:rsidR="00512736" w:rsidRPr="00065049" w:rsidRDefault="00512736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512736">
        <w:rPr>
          <w:rFonts w:ascii="Times New Roman" w:hAnsi="Times New Roman" w:cs="Times New Roman"/>
          <w:sz w:val="24"/>
          <w:szCs w:val="24"/>
        </w:rPr>
        <w:t xml:space="preserve">Сопоставимость, качество и частота обследований домашних хозяйств влияют на точность и качество оценок. Невозможность сопоставления данных может возникнуть в результате использования различных инструментов обследования, методов отбора проб и анализа и определений </w:t>
      </w:r>
      <w:r w:rsidR="00E17746">
        <w:rPr>
          <w:rFonts w:ascii="Times New Roman" w:hAnsi="Times New Roman" w:cs="Times New Roman"/>
          <w:sz w:val="24"/>
          <w:szCs w:val="24"/>
        </w:rPr>
        <w:t>показателей</w:t>
      </w:r>
      <w:r w:rsidRPr="00512736">
        <w:rPr>
          <w:rFonts w:ascii="Times New Roman" w:hAnsi="Times New Roman" w:cs="Times New Roman"/>
          <w:sz w:val="24"/>
          <w:szCs w:val="24"/>
        </w:rPr>
        <w:t xml:space="preserve"> в государствах-членах. Опросы могут охватывать различные возрастные диапазоны (не всегда 15+) и повторяться с нерегулярными интервалами. Опросы могут включать различные </w:t>
      </w:r>
      <w:r w:rsidR="00E17746">
        <w:rPr>
          <w:rFonts w:ascii="Times New Roman" w:hAnsi="Times New Roman" w:cs="Times New Roman"/>
          <w:sz w:val="24"/>
          <w:szCs w:val="24"/>
        </w:rPr>
        <w:t>виды табачных</w:t>
      </w:r>
      <w:r w:rsidRPr="00512736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E17746">
        <w:rPr>
          <w:rFonts w:ascii="Times New Roman" w:hAnsi="Times New Roman" w:cs="Times New Roman"/>
          <w:sz w:val="24"/>
          <w:szCs w:val="24"/>
        </w:rPr>
        <w:t>й</w:t>
      </w:r>
      <w:r w:rsidRPr="00512736">
        <w:rPr>
          <w:rFonts w:ascii="Times New Roman" w:hAnsi="Times New Roman" w:cs="Times New Roman"/>
          <w:sz w:val="24"/>
          <w:szCs w:val="24"/>
        </w:rPr>
        <w:t xml:space="preserve">, а иногда только один продукт, такой как сигареты, в зависимости от восприятия страной того, какие продукты важны для мониторинга. </w:t>
      </w:r>
      <w:r w:rsidR="00E17746">
        <w:rPr>
          <w:rFonts w:ascii="Times New Roman" w:hAnsi="Times New Roman" w:cs="Times New Roman"/>
          <w:sz w:val="24"/>
          <w:szCs w:val="24"/>
        </w:rPr>
        <w:t>До тех пор пока</w:t>
      </w:r>
      <w:r w:rsidRPr="00512736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E17746">
        <w:rPr>
          <w:rFonts w:ascii="Times New Roman" w:hAnsi="Times New Roman" w:cs="Times New Roman"/>
          <w:sz w:val="24"/>
          <w:szCs w:val="24"/>
        </w:rPr>
        <w:t xml:space="preserve"> не будут</w:t>
      </w:r>
      <w:r w:rsidRPr="00512736">
        <w:rPr>
          <w:rFonts w:ascii="Times New Roman" w:hAnsi="Times New Roman" w:cs="Times New Roman"/>
          <w:sz w:val="24"/>
          <w:szCs w:val="24"/>
        </w:rPr>
        <w:t xml:space="preserve"> контролир</w:t>
      </w:r>
      <w:r w:rsidR="00E17746">
        <w:rPr>
          <w:rFonts w:ascii="Times New Roman" w:hAnsi="Times New Roman" w:cs="Times New Roman"/>
          <w:sz w:val="24"/>
          <w:szCs w:val="24"/>
        </w:rPr>
        <w:t xml:space="preserve">оваться </w:t>
      </w:r>
      <w:r w:rsidRPr="00512736">
        <w:rPr>
          <w:rFonts w:ascii="Times New Roman" w:hAnsi="Times New Roman" w:cs="Times New Roman"/>
          <w:sz w:val="24"/>
          <w:szCs w:val="24"/>
        </w:rPr>
        <w:t xml:space="preserve">как </w:t>
      </w:r>
      <w:r w:rsidR="00E17746">
        <w:rPr>
          <w:rFonts w:ascii="Times New Roman" w:hAnsi="Times New Roman" w:cs="Times New Roman"/>
          <w:sz w:val="24"/>
          <w:szCs w:val="24"/>
        </w:rPr>
        <w:t xml:space="preserve">курительные, так и некурительные табачные изделия, </w:t>
      </w:r>
      <w:r w:rsidRPr="00512736">
        <w:rPr>
          <w:rFonts w:ascii="Times New Roman" w:hAnsi="Times New Roman" w:cs="Times New Roman"/>
          <w:sz w:val="24"/>
          <w:szCs w:val="24"/>
        </w:rPr>
        <w:t>распространенность употребления табака будет занижена. Страны начали отслеживать использование электронных сигарет и других продуктов, которые могут смешивать определения употребления табака в странах. Определение текущего использования не всегда может быть ограничено за 30 дней до проведения опроса. Кроме того, опросы просят людей самостоятельно сообщать о своем употреблении табака, что может привести к недооценке потребления табака.</w:t>
      </w:r>
    </w:p>
    <w:p w:rsidR="00065049" w:rsidRDefault="00E17746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E17746">
        <w:rPr>
          <w:rFonts w:ascii="Times New Roman" w:hAnsi="Times New Roman" w:cs="Times New Roman"/>
          <w:sz w:val="24"/>
          <w:szCs w:val="24"/>
        </w:rPr>
        <w:t>В государствах-членах нет стандартного протокола, чтобы спрашивать людей об употреблении табака. Вопросы ВОЗ в отношении табака для опросов (TQS) были приняты во многих опросах, что помогает улучшить сопоставимость показателей по странам.</w:t>
      </w:r>
    </w:p>
    <w:p w:rsidR="00E17746" w:rsidRPr="00E17746" w:rsidRDefault="00E17746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746">
        <w:rPr>
          <w:rFonts w:ascii="Times New Roman" w:hAnsi="Times New Roman" w:cs="Times New Roman"/>
          <w:b/>
          <w:sz w:val="24"/>
          <w:szCs w:val="24"/>
        </w:rPr>
        <w:lastRenderedPageBreak/>
        <w:t>Методология:</w:t>
      </w:r>
    </w:p>
    <w:p w:rsidR="00065049" w:rsidRDefault="00E17746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E17746" w:rsidRDefault="00E17746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E17746">
        <w:rPr>
          <w:rFonts w:ascii="Times New Roman" w:hAnsi="Times New Roman" w:cs="Times New Roman"/>
          <w:sz w:val="24"/>
          <w:szCs w:val="24"/>
        </w:rPr>
        <w:t xml:space="preserve">Статистическая модель, основанная на байесовской отрицательной биномиальной метарегрессии, используется для моделирования распространенности текущего курения табака для каждой страны отдельно для мужчин и женщин. Полное описание метода доступно в виде обзорной статьи </w:t>
      </w:r>
      <w:r w:rsidR="001004BD">
        <w:rPr>
          <w:rFonts w:ascii="Times New Roman" w:hAnsi="Times New Roman" w:cs="Times New Roman"/>
          <w:sz w:val="24"/>
          <w:szCs w:val="24"/>
        </w:rPr>
        <w:t xml:space="preserve">в The Lancet, том 385, № 9972, стр. </w:t>
      </w:r>
      <w:r w:rsidRPr="00E17746">
        <w:rPr>
          <w:rFonts w:ascii="Times New Roman" w:hAnsi="Times New Roman" w:cs="Times New Roman"/>
          <w:sz w:val="24"/>
          <w:szCs w:val="24"/>
        </w:rPr>
        <w:t xml:space="preserve">966-976 (2015). После того, как </w:t>
      </w:r>
      <w:r w:rsidR="001004BD" w:rsidRPr="001004BD">
        <w:rPr>
          <w:rFonts w:ascii="Times New Roman" w:hAnsi="Times New Roman" w:cs="Times New Roman"/>
          <w:sz w:val="24"/>
          <w:szCs w:val="24"/>
        </w:rPr>
        <w:t xml:space="preserve">возрастные и половые показатели распространенности </w:t>
      </w:r>
      <w:r w:rsidRPr="00E17746">
        <w:rPr>
          <w:rFonts w:ascii="Times New Roman" w:hAnsi="Times New Roman" w:cs="Times New Roman"/>
          <w:sz w:val="24"/>
          <w:szCs w:val="24"/>
        </w:rPr>
        <w:t>из национальных обследований были скомпилированы в набор данных, эта модель пригодна для расчета оценок тенденций с 2000 по 2030 год. Модель имеет два основных компонента: (a) корректировка недостающих показателей и (b) формирование оценки тенденций с течением времени, а также 95% достоверного интервала вокруг оценки. В зависимости от полноты/</w:t>
      </w:r>
      <w:r w:rsidR="001004BD">
        <w:rPr>
          <w:rFonts w:ascii="Times New Roman" w:hAnsi="Times New Roman" w:cs="Times New Roman"/>
          <w:sz w:val="24"/>
          <w:szCs w:val="24"/>
        </w:rPr>
        <w:t>комплексность</w:t>
      </w:r>
      <w:r w:rsidRPr="00E17746">
        <w:rPr>
          <w:rFonts w:ascii="Times New Roman" w:hAnsi="Times New Roman" w:cs="Times New Roman"/>
          <w:sz w:val="24"/>
          <w:szCs w:val="24"/>
        </w:rPr>
        <w:t xml:space="preserve"> данных обследований из конкретной страны модель иногда использует данные из других стран для заполнения информационных пробелов. Чтобы заполнить пробелы в данных, информация «заимствована» из стран одного и того же субрегиона ООН. Полученные трендовые линии используются для получения оценок за один год, чтобы можно было сообщить число, даже если страна не проводила опрос в этом году. Чтобы сопоставить результаты между странами, показатели распространенности стандартизированы по возрасту для Стандартного населения ВОЗ.</w:t>
      </w:r>
    </w:p>
    <w:p w:rsidR="00FF54E3" w:rsidRDefault="00FF54E3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Оценки для стран с нерегулярными обследованиями или многих пробелов в данных будут иметь большие диапазоны неопределенности, и такие результаты следует интерпретировать с осторожностью.</w:t>
      </w:r>
    </w:p>
    <w:p w:rsidR="00FF54E3" w:rsidRDefault="00FF54E3" w:rsidP="000650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4E3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FF54E3" w:rsidRDefault="00FF54E3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По полу.</w:t>
      </w:r>
    </w:p>
    <w:p w:rsidR="00FF54E3" w:rsidRDefault="00FF54E3" w:rsidP="00065049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FF54E3" w:rsidRDefault="00FF54E3" w:rsidP="00FF54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FF54E3" w:rsidRDefault="00FF54E3" w:rsidP="00FF54E3">
      <w:pPr>
        <w:jc w:val="both"/>
        <w:rPr>
          <w:rFonts w:ascii="Times New Roman" w:hAnsi="Times New Roman" w:cs="Times New Roman"/>
          <w:sz w:val="24"/>
          <w:szCs w:val="24"/>
        </w:rPr>
      </w:pPr>
      <w:r w:rsidRPr="00FF54E3">
        <w:rPr>
          <w:rFonts w:ascii="Times New Roman" w:hAnsi="Times New Roman" w:cs="Times New Roman"/>
          <w:sz w:val="24"/>
          <w:szCs w:val="24"/>
        </w:rPr>
        <w:t>Для стран с менее чем двумя обследованиями, завершенными в разные годы с 1990 года, никакая оценка не рассчитывается, поскольку ни одна тенденция не может быть определена. Для стран с данными из двух или более обследований заполняются пробелы данных, если таковые имеются, как описано в методе вычисления.</w:t>
      </w:r>
    </w:p>
    <w:p w:rsidR="00AD112F" w:rsidRDefault="00AD112F" w:rsidP="00AD1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AD112F" w:rsidRDefault="00AD112F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 xml:space="preserve">Страны, в которых никакая оценка не может быть рассчитана, включены в региональные и глобальные средние значения, исходя из того, что их коэффициент распространенности среди мужчин и женщин равен средним показателям для мужчин и женщин, </w:t>
      </w:r>
      <w:r>
        <w:rPr>
          <w:rFonts w:ascii="Times New Roman" w:hAnsi="Times New Roman" w:cs="Times New Roman"/>
          <w:sz w:val="24"/>
          <w:szCs w:val="24"/>
        </w:rPr>
        <w:t>наблюдаемых в субрегионе ООН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AD112F">
        <w:rPr>
          <w:rFonts w:ascii="Times New Roman" w:hAnsi="Times New Roman" w:cs="Times New Roman"/>
          <w:sz w:val="24"/>
          <w:szCs w:val="24"/>
        </w:rPr>
        <w:t xml:space="preserve">, в котором они находятся. Когда было опрошено менее 50% населения </w:t>
      </w:r>
      <w:r w:rsidRPr="00AD112F">
        <w:rPr>
          <w:rFonts w:ascii="Times New Roman" w:hAnsi="Times New Roman" w:cs="Times New Roman"/>
          <w:sz w:val="24"/>
          <w:szCs w:val="24"/>
        </w:rPr>
        <w:lastRenderedPageBreak/>
        <w:t xml:space="preserve">субрегиона ООН, субрегионы ООН сгруппированы с соседними субрегионами, пока по меньшей мере 50% группированного населения не предоставит данные по средним </w:t>
      </w:r>
      <w:r w:rsidR="004D13FF">
        <w:rPr>
          <w:rFonts w:ascii="Times New Roman" w:hAnsi="Times New Roman" w:cs="Times New Roman"/>
          <w:sz w:val="24"/>
          <w:szCs w:val="24"/>
        </w:rPr>
        <w:t>показателями</w:t>
      </w:r>
      <w:r w:rsidRPr="00AD112F"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:rsidR="00AD112F" w:rsidRDefault="00AD112F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показатели:</w:t>
      </w:r>
    </w:p>
    <w:p w:rsidR="00AD112F" w:rsidRDefault="00AD112F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 w:rsidRPr="00AD112F">
        <w:rPr>
          <w:rFonts w:ascii="Times New Roman" w:hAnsi="Times New Roman" w:cs="Times New Roman"/>
          <w:sz w:val="24"/>
          <w:szCs w:val="24"/>
        </w:rPr>
        <w:t xml:space="preserve">Средние показатели распространенности по регионам рассчитываются по популяциям, </w:t>
      </w:r>
      <w:r w:rsidR="008B0524" w:rsidRPr="008B0524">
        <w:rPr>
          <w:rFonts w:ascii="Times New Roman" w:hAnsi="Times New Roman" w:cs="Times New Roman"/>
          <w:sz w:val="24"/>
          <w:szCs w:val="24"/>
        </w:rPr>
        <w:t>возрастные показатели распространенности в странах, а затем возрастная стандартизация средних по возрасту средних показателей региона.</w:t>
      </w:r>
    </w:p>
    <w:p w:rsidR="008B0524" w:rsidRDefault="008B0524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расхождений:</w:t>
      </w:r>
    </w:p>
    <w:p w:rsidR="008B0524" w:rsidRPr="008B0524" w:rsidRDefault="008B0524" w:rsidP="008B0524">
      <w:p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>Оценки ВОЗ отличаются от национальных оценок тем, что они</w:t>
      </w:r>
    </w:p>
    <w:p w:rsidR="008B0524" w:rsidRDefault="008B0524" w:rsidP="008B05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 xml:space="preserve">стандартизированы по возрасту для улучшения международной сопоставимости и </w:t>
      </w:r>
    </w:p>
    <w:p w:rsidR="008B0524" w:rsidRPr="008B0524" w:rsidRDefault="008B0524" w:rsidP="008B05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>рассчитаны с использованием различных методов. Нечастые обследования или недоступность недавних опросов приводят к большей зависимости от моделирования.</w:t>
      </w:r>
    </w:p>
    <w:p w:rsidR="008B0524" w:rsidRDefault="008B0524" w:rsidP="008B0524">
      <w:pPr>
        <w:jc w:val="both"/>
        <w:rPr>
          <w:rFonts w:ascii="Times New Roman" w:hAnsi="Times New Roman" w:cs="Times New Roman"/>
          <w:sz w:val="24"/>
          <w:szCs w:val="24"/>
        </w:rPr>
      </w:pPr>
      <w:r w:rsidRPr="008B0524">
        <w:rPr>
          <w:rFonts w:ascii="Times New Roman" w:hAnsi="Times New Roman" w:cs="Times New Roman"/>
          <w:sz w:val="24"/>
          <w:szCs w:val="24"/>
        </w:rPr>
        <w:t>Поскольку данные, установленные для каждой страны, со временем улучшаются с добавлением новых обследований, недавние оценки могут показаться несовместимыми с более ранними оценками. Оценки ВОЗ проходят страновые консультации до выпуска.</w:t>
      </w:r>
    </w:p>
    <w:p w:rsidR="00AD112F" w:rsidRDefault="004D13FF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 w:rsidRPr="004D13FF">
        <w:rPr>
          <w:rFonts w:ascii="Times New Roman" w:hAnsi="Times New Roman" w:cs="Times New Roman"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4D13FF" w:rsidRDefault="004D13FF" w:rsidP="004D1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не доступна</w:t>
      </w:r>
    </w:p>
    <w:p w:rsidR="004D13FF" w:rsidRDefault="004D13FF" w:rsidP="004D1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качества:</w:t>
      </w:r>
    </w:p>
    <w:p w:rsidR="004D13FF" w:rsidRDefault="004D13FF" w:rsidP="004D1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не доступна</w:t>
      </w:r>
    </w:p>
    <w:p w:rsidR="004D13FF" w:rsidRPr="004D13FF" w:rsidRDefault="004D13FF" w:rsidP="004D1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FF">
        <w:rPr>
          <w:rFonts w:ascii="Times New Roman" w:hAnsi="Times New Roman" w:cs="Times New Roman"/>
          <w:b/>
          <w:sz w:val="24"/>
          <w:szCs w:val="24"/>
        </w:rPr>
        <w:t>Источник данных:</w:t>
      </w:r>
    </w:p>
    <w:p w:rsidR="00AD112F" w:rsidRDefault="004D13FF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4D13FF" w:rsidRDefault="004D13FF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 w:rsidRPr="004D13FF">
        <w:rPr>
          <w:rFonts w:ascii="Times New Roman" w:hAnsi="Times New Roman" w:cs="Times New Roman"/>
          <w:sz w:val="24"/>
          <w:szCs w:val="24"/>
        </w:rPr>
        <w:t>Показатели распространенности по возрасту по результатам опросов национальных представителей, проведенных с 1990 года:</w:t>
      </w:r>
    </w:p>
    <w:p w:rsidR="004D13FF" w:rsidRDefault="004D13FF" w:rsidP="004D1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 признаны</w:t>
      </w:r>
      <w:r w:rsidRPr="004D13FF">
        <w:rPr>
          <w:rFonts w:ascii="Times New Roman" w:hAnsi="Times New Roman" w:cs="Times New Roman"/>
          <w:sz w:val="24"/>
          <w:szCs w:val="24"/>
        </w:rPr>
        <w:t xml:space="preserve"> национальным органом здравоохранения;</w:t>
      </w:r>
    </w:p>
    <w:p w:rsidR="004D13FF" w:rsidRDefault="004D13FF" w:rsidP="004D13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3FF">
        <w:rPr>
          <w:rFonts w:ascii="Times New Roman" w:hAnsi="Times New Roman" w:cs="Times New Roman"/>
          <w:sz w:val="24"/>
          <w:szCs w:val="24"/>
        </w:rPr>
        <w:t xml:space="preserve">случайно выбранных участников, представляющих население в целом; </w:t>
      </w:r>
    </w:p>
    <w:p w:rsidR="006B3EB9" w:rsidRDefault="006B3EB9" w:rsidP="006B3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 </w:t>
      </w:r>
      <w:r w:rsidRPr="006B3EB9">
        <w:rPr>
          <w:rFonts w:ascii="Times New Roman" w:hAnsi="Times New Roman" w:cs="Times New Roman"/>
          <w:sz w:val="24"/>
          <w:szCs w:val="24"/>
        </w:rPr>
        <w:t>по крайней мере, один показатель, измеряющий потребление табака, ежедневное употребление табака, текущее курение табака, ежедневное курение табака, текущее курение сигарет или ежедневное курение сигарет.</w:t>
      </w:r>
    </w:p>
    <w:p w:rsidR="006B3EB9" w:rsidRDefault="006B3EB9" w:rsidP="006B3EB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Официальные отчеты обследований собираются из государств-членов одним или несколькими из следующих способо</w:t>
      </w:r>
      <w:r>
        <w:rPr>
          <w:rFonts w:ascii="Times New Roman" w:hAnsi="Times New Roman" w:cs="Times New Roman"/>
          <w:sz w:val="24"/>
          <w:szCs w:val="24"/>
        </w:rPr>
        <w:t>в:</w:t>
      </w:r>
    </w:p>
    <w:p w:rsidR="006B3EB9" w:rsidRDefault="006B3EB9" w:rsidP="006B3E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система отчетности РКБТ ВОЗ;</w:t>
      </w:r>
    </w:p>
    <w:p w:rsidR="006B3EB9" w:rsidRDefault="006B3EB9" w:rsidP="006B3E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обзор обследований, проводимых под эгидой Глобальной системы эпиднадзора за табаком;</w:t>
      </w:r>
    </w:p>
    <w:p w:rsidR="006B3EB9" w:rsidRDefault="006B3EB9" w:rsidP="006B3E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обзор других обследований, проведенных в сотрудничестве с ВОЗ, таких как STEPwise опросы и Всемирные обследования здоровья;</w:t>
      </w:r>
    </w:p>
    <w:p w:rsidR="006B3EB9" w:rsidRDefault="006B3EB9" w:rsidP="006B3E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lastRenderedPageBreak/>
        <w:t>сканирование баз данных международного надзора, таких как демографическое и медицинское обследование (DHS), кластерное обследование с несколькими показателями (MICS) и Обследование уровня жизни Всемирного банка (LSMS); а также</w:t>
      </w:r>
    </w:p>
    <w:p w:rsidR="006B3EB9" w:rsidRDefault="006B3EB9" w:rsidP="006B3E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выявление и обзор обследований по конкретным странам, которые не являются частью международных систем эпиднадзора.</w:t>
      </w:r>
    </w:p>
    <w:p w:rsidR="006B3EB9" w:rsidRDefault="006B3EB9" w:rsidP="006B3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6B3EB9" w:rsidRDefault="006B3EB9" w:rsidP="006B3EB9">
      <w:pPr>
        <w:jc w:val="both"/>
        <w:rPr>
          <w:rFonts w:ascii="Times New Roman" w:hAnsi="Times New Roman" w:cs="Times New Roman"/>
          <w:sz w:val="24"/>
          <w:szCs w:val="24"/>
        </w:rPr>
      </w:pPr>
      <w:r w:rsidRPr="006B3EB9">
        <w:rPr>
          <w:rFonts w:ascii="Times New Roman" w:hAnsi="Times New Roman" w:cs="Times New Roman"/>
          <w:sz w:val="24"/>
          <w:szCs w:val="24"/>
        </w:rPr>
        <w:t>Отчеты загружаются с веб-сайтов или отправляются по электронной почте национальными партнерами. ВОЗ делится и обнародует методологии своих оценок в рамках глобального доклада ВОЗ о тенденциях в области курения табаком в период 2000-2025 годов и в докладе ВОЗ о глобальной табачной эпидемии. Оценки ВОЗ проходят страновые консультации до публикации.</w:t>
      </w:r>
    </w:p>
    <w:p w:rsidR="00727FBE" w:rsidRPr="00727FBE" w:rsidRDefault="00727FBE" w:rsidP="006B3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Доступность данных:</w:t>
      </w:r>
    </w:p>
    <w:p w:rsidR="00727FBE" w:rsidRDefault="00727FBE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  <w:r w:rsidR="00371603">
        <w:rPr>
          <w:rFonts w:ascii="Times New Roman" w:hAnsi="Times New Roman" w:cs="Times New Roman"/>
          <w:sz w:val="24"/>
          <w:szCs w:val="24"/>
        </w:rPr>
        <w:t xml:space="preserve"> </w:t>
      </w:r>
      <w:r w:rsidRPr="00727FBE">
        <w:rPr>
          <w:rFonts w:ascii="Times New Roman" w:hAnsi="Times New Roman" w:cs="Times New Roman"/>
          <w:sz w:val="24"/>
          <w:szCs w:val="24"/>
        </w:rPr>
        <w:t>Показатель доступен для всех стран с 2000 года по текущий год, в зависимости от наличия эмпирических данных для каждой страны.</w:t>
      </w:r>
    </w:p>
    <w:p w:rsidR="00727FBE" w:rsidRDefault="00727FBE" w:rsidP="00AD1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Календарь:</w:t>
      </w:r>
    </w:p>
    <w:p w:rsidR="00727FBE" w:rsidRDefault="00727FBE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t>Сбор данных:</w:t>
      </w:r>
    </w:p>
    <w:p w:rsidR="00727FBE" w:rsidRDefault="00727FBE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t>Постоянный сбор данных.</w:t>
      </w:r>
    </w:p>
    <w:p w:rsidR="00727FBE" w:rsidRDefault="00727FBE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  <w:r w:rsidR="00371603">
        <w:rPr>
          <w:rFonts w:ascii="Times New Roman" w:hAnsi="Times New Roman" w:cs="Times New Roman"/>
          <w:sz w:val="24"/>
          <w:szCs w:val="24"/>
        </w:rPr>
        <w:t xml:space="preserve"> </w:t>
      </w:r>
      <w:r w:rsidRPr="00727FBE">
        <w:rPr>
          <w:rFonts w:ascii="Times New Roman" w:hAnsi="Times New Roman" w:cs="Times New Roman"/>
          <w:sz w:val="24"/>
          <w:szCs w:val="24"/>
        </w:rPr>
        <w:t>Двухгодичный выпуск через Глобальный доклад ВОЗ о тенденциях в области курения табаком 2000-2025 гг., Глобальную обсерваторию здравоохранения ВОЗ и базу данных реализации РКБТ ВОЗ.</w:t>
      </w:r>
    </w:p>
    <w:p w:rsidR="00727FBE" w:rsidRPr="00727FBE" w:rsidRDefault="00727FBE" w:rsidP="00AD1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:rsidR="00727FBE" w:rsidRDefault="00727FBE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</w:t>
      </w:r>
      <w:r w:rsidRPr="00727FBE">
        <w:rPr>
          <w:rFonts w:ascii="Times New Roman" w:hAnsi="Times New Roman" w:cs="Times New Roman"/>
          <w:sz w:val="24"/>
          <w:szCs w:val="24"/>
        </w:rPr>
        <w:t>-член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27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ВОЗ, Стороны</w:t>
      </w:r>
      <w:r w:rsidRPr="00727FBE">
        <w:rPr>
          <w:rFonts w:ascii="Times New Roman" w:hAnsi="Times New Roman" w:cs="Times New Roman"/>
          <w:sz w:val="24"/>
          <w:szCs w:val="24"/>
        </w:rPr>
        <w:t xml:space="preserve"> РКБТ ВОЗ.</w:t>
      </w:r>
    </w:p>
    <w:p w:rsidR="00727FBE" w:rsidRDefault="00727FBE" w:rsidP="00AD1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BE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:rsidR="00727FBE" w:rsidRDefault="00727FBE" w:rsidP="00AD112F">
      <w:pPr>
        <w:jc w:val="both"/>
        <w:rPr>
          <w:rFonts w:ascii="Times New Roman" w:hAnsi="Times New Roman" w:cs="Times New Roman"/>
          <w:sz w:val="24"/>
          <w:szCs w:val="24"/>
        </w:rPr>
      </w:pPr>
      <w:r w:rsidRPr="00727FBE">
        <w:rPr>
          <w:rFonts w:ascii="Times New Roman" w:hAnsi="Times New Roman" w:cs="Times New Roman"/>
          <w:sz w:val="24"/>
          <w:szCs w:val="24"/>
        </w:rPr>
        <w:t>Департамент ВОЗ по предотвращению неинфекционных заболеваний; Секретариат Рамочной конвенции ВОЗ по борьбе против табака.</w:t>
      </w:r>
    </w:p>
    <w:p w:rsidR="00C5148D" w:rsidRDefault="00C5148D" w:rsidP="00AD1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8D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C5148D" w:rsidRPr="00C5148D" w:rsidRDefault="00C5148D" w:rsidP="00C51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5148D">
        <w:rPr>
          <w:rFonts w:ascii="Times New Roman" w:hAnsi="Times New Roman" w:cs="Times New Roman"/>
          <w:sz w:val="24"/>
          <w:szCs w:val="24"/>
        </w:rPr>
        <w:t>:</w:t>
      </w:r>
    </w:p>
    <w:p w:rsidR="00C5148D" w:rsidRPr="00C5148D" w:rsidRDefault="00720944" w:rsidP="00C514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tobacco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surveillance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tqs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C51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8D" w:rsidRPr="00C5148D" w:rsidRDefault="00720944" w:rsidP="00C514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gho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C51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48D" w:rsidRDefault="00720944" w:rsidP="00C5148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148D" w:rsidRPr="00C5148D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apps</w:t>
        </w:r>
        <w:r w:rsidR="00C5148D" w:rsidRPr="00C514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who</w:t>
        </w:r>
        <w:r w:rsidR="00C5148D" w:rsidRPr="00C514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int</w:t>
        </w:r>
        <w:r w:rsidR="00C5148D" w:rsidRPr="00C514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fctc</w:t>
        </w:r>
        <w:r w:rsidR="00C5148D" w:rsidRPr="00C514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implementation</w:t>
        </w:r>
        <w:r w:rsidR="00C5148D" w:rsidRPr="00C514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C5148D" w:rsidRPr="0047031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database</w:t>
        </w:r>
        <w:r w:rsidR="00C5148D" w:rsidRPr="00C5148D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C5148D" w:rsidRPr="00C5148D" w:rsidRDefault="00C5148D" w:rsidP="00C51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48D">
        <w:rPr>
          <w:rFonts w:ascii="Times New Roman" w:hAnsi="Times New Roman" w:cs="Times New Roman"/>
          <w:b/>
          <w:sz w:val="24"/>
          <w:szCs w:val="24"/>
        </w:rPr>
        <w:t>Связанные показатели:</w:t>
      </w:r>
    </w:p>
    <w:p w:rsidR="00C5148D" w:rsidRPr="00C5148D" w:rsidRDefault="00C5148D" w:rsidP="00AD1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bookmarkStart w:id="0" w:name="_GoBack"/>
      <w:bookmarkEnd w:id="0"/>
      <w:r w:rsidRPr="00C5148D">
        <w:rPr>
          <w:rFonts w:ascii="Times New Roman" w:hAnsi="Times New Roman" w:cs="Times New Roman"/>
          <w:sz w:val="24"/>
          <w:szCs w:val="24"/>
        </w:rPr>
        <w:t>3.4.1 Смертность от сердечно-сосудистых заболеваний, рака, диабета, хронических респираторных заболеваний</w:t>
      </w:r>
    </w:p>
    <w:sectPr w:rsidR="00C5148D" w:rsidRPr="00C5148D" w:rsidSect="0037160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D5" w:rsidRDefault="00420BD5" w:rsidP="00AD112F">
      <w:pPr>
        <w:spacing w:after="0" w:line="240" w:lineRule="auto"/>
      </w:pPr>
      <w:r>
        <w:separator/>
      </w:r>
    </w:p>
  </w:endnote>
  <w:endnote w:type="continuationSeparator" w:id="1">
    <w:p w:rsidR="00420BD5" w:rsidRDefault="00420BD5" w:rsidP="00AD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D5" w:rsidRDefault="00420BD5" w:rsidP="00AD112F">
      <w:pPr>
        <w:spacing w:after="0" w:line="240" w:lineRule="auto"/>
      </w:pPr>
      <w:r>
        <w:separator/>
      </w:r>
    </w:p>
  </w:footnote>
  <w:footnote w:type="continuationSeparator" w:id="1">
    <w:p w:rsidR="00420BD5" w:rsidRDefault="00420BD5" w:rsidP="00AD112F">
      <w:pPr>
        <w:spacing w:after="0" w:line="240" w:lineRule="auto"/>
      </w:pPr>
      <w:r>
        <w:continuationSeparator/>
      </w:r>
    </w:p>
  </w:footnote>
  <w:footnote w:id="2">
    <w:p w:rsidR="00727FBE" w:rsidRPr="00AD112F" w:rsidRDefault="00727FBE">
      <w:pPr>
        <w:pStyle w:val="a4"/>
        <w:rPr>
          <w:rFonts w:ascii="Times New Roman" w:hAnsi="Times New Roman" w:cs="Times New Roman"/>
        </w:rPr>
      </w:pPr>
      <w:r w:rsidRPr="00AD112F">
        <w:rPr>
          <w:rStyle w:val="a6"/>
          <w:rFonts w:ascii="Times New Roman" w:hAnsi="Times New Roman" w:cs="Times New Roman"/>
        </w:rPr>
        <w:footnoteRef/>
      </w:r>
      <w:r w:rsidRPr="00AD112F">
        <w:rPr>
          <w:rFonts w:ascii="Times New Roman" w:hAnsi="Times New Roman" w:cs="Times New Roman"/>
        </w:rPr>
        <w:t xml:space="preserve"> Список стран региона ООН см. На страницах ix к xiii «Перспективы мирового народонаселения: пересмотр 2015 года», опубликованный Департаментом по экономическим и социальным вопросам ООН в 2015 году по адресу https://esa.un.org/unpd/ wpp / Публикации / Файлы / WPP2015_Volume-I_Comprehensive-Tables.pdf (доступно 25 мая 2017 года). В целях анализа курения были внесены следующие корректировки: (i) субрегион Восточной Африки был разделен на два региона: острова Восточной Африки и остатки Восточной Африки; (ii) Армения, Азербайджан, Эстония, Грузия, Казахстан, Кыргызстан, Латвия, Литва, Таджикистан, Узбекистан и Туркменистан были отнесены к Восточной Европе, (iii); Кипр, Израиль и Турция были отнесены к Южной Европе, и (iv) субрегионы Меланезии, Микронезии и Полинезии были объединены в один субрегион.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777"/>
    <w:multiLevelType w:val="hybridMultilevel"/>
    <w:tmpl w:val="1E58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54D95"/>
    <w:multiLevelType w:val="hybridMultilevel"/>
    <w:tmpl w:val="0EA6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D1A62"/>
    <w:multiLevelType w:val="hybridMultilevel"/>
    <w:tmpl w:val="235CFAC6"/>
    <w:lvl w:ilvl="0" w:tplc="80CC8A24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33569E"/>
    <w:multiLevelType w:val="hybridMultilevel"/>
    <w:tmpl w:val="6D40C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FDC"/>
    <w:rsid w:val="00065049"/>
    <w:rsid w:val="001004BD"/>
    <w:rsid w:val="0035794B"/>
    <w:rsid w:val="00371603"/>
    <w:rsid w:val="003F1B08"/>
    <w:rsid w:val="00420BD5"/>
    <w:rsid w:val="004D13FF"/>
    <w:rsid w:val="00512736"/>
    <w:rsid w:val="005E16C1"/>
    <w:rsid w:val="006B3EB9"/>
    <w:rsid w:val="006B494C"/>
    <w:rsid w:val="00720944"/>
    <w:rsid w:val="00727FBE"/>
    <w:rsid w:val="00776843"/>
    <w:rsid w:val="007A11F8"/>
    <w:rsid w:val="0081049D"/>
    <w:rsid w:val="0087210B"/>
    <w:rsid w:val="008B0524"/>
    <w:rsid w:val="00A34C85"/>
    <w:rsid w:val="00A921D0"/>
    <w:rsid w:val="00AD112F"/>
    <w:rsid w:val="00BA0FDC"/>
    <w:rsid w:val="00C5148D"/>
    <w:rsid w:val="00E17746"/>
    <w:rsid w:val="00F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E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D11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1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12F"/>
    <w:rPr>
      <w:vertAlign w:val="superscript"/>
    </w:rPr>
  </w:style>
  <w:style w:type="character" w:styleId="a7">
    <w:name w:val="Hyperlink"/>
    <w:basedOn w:val="a0"/>
    <w:uiPriority w:val="99"/>
    <w:unhideWhenUsed/>
    <w:rsid w:val="00C51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E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D11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1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12F"/>
    <w:rPr>
      <w:vertAlign w:val="superscript"/>
    </w:rPr>
  </w:style>
  <w:style w:type="character" w:styleId="a7">
    <w:name w:val="Hyperlink"/>
    <w:basedOn w:val="a0"/>
    <w:uiPriority w:val="99"/>
    <w:unhideWhenUsed/>
    <w:rsid w:val="00C51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7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491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4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91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737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tobacco/surveillance/tqs/en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pps.who.int/fctc/implementation/databa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.int/gho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6DED-6F35-4B5F-9FCF-8998563C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sh.iskakova</cp:lastModifiedBy>
  <cp:revision>3</cp:revision>
  <cp:lastPrinted>2018-10-12T07:44:00Z</cp:lastPrinted>
  <dcterms:created xsi:type="dcterms:W3CDTF">2018-05-08T12:44:00Z</dcterms:created>
  <dcterms:modified xsi:type="dcterms:W3CDTF">2018-10-12T07:44:00Z</dcterms:modified>
</cp:coreProperties>
</file>