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BC" w:rsidRPr="00BD29EC" w:rsidRDefault="003143BC" w:rsidP="00853C09">
      <w:pPr>
        <w:pBdr>
          <w:top w:val="nil"/>
          <w:left w:val="nil"/>
          <w:bottom w:val="nil"/>
          <w:right w:val="nil"/>
          <w:between w:val="nil"/>
          <w:bar w:val="nil"/>
        </w:pBdr>
        <w:spacing w:after="0"/>
        <w:jc w:val="center"/>
        <w:rPr>
          <w:rFonts w:eastAsia="Arial Unicode MS"/>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b/>
          <w:szCs w:val="24"/>
          <w:bdr w:val="nil"/>
          <w:lang w:eastAsia="ru-RU"/>
        </w:rPr>
      </w:pPr>
      <w:r w:rsidRPr="00BD29EC">
        <w:rPr>
          <w:rFonts w:eastAsia="Arial Unicode MS"/>
          <w:b/>
          <w:szCs w:val="24"/>
          <w:bdr w:val="nil"/>
          <w:lang w:eastAsia="ru-RU"/>
        </w:rPr>
        <w:t>(Гармонизированный шаблон метаданных - версия формата 1.0)</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b/>
          <w:szCs w:val="24"/>
          <w:bdr w:val="nil"/>
          <w:lang w:eastAsia="ru-RU"/>
        </w:rPr>
      </w:pPr>
      <w:r w:rsidRPr="00BD29EC">
        <w:rPr>
          <w:rFonts w:eastAsia="Arial Unicode MS"/>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a</w:t>
      </w:r>
      <w:r w:rsidRPr="00BD29EC">
        <w:rPr>
          <w:rFonts w:eastAsia="Arial Unicode MS"/>
          <w:b/>
          <w:szCs w:val="24"/>
          <w:bdr w:val="nil"/>
          <w:lang w:eastAsia="ru-RU"/>
        </w:rPr>
        <w:t>. Цель</w:t>
      </w:r>
    </w:p>
    <w:p w:rsidR="00780F08" w:rsidRPr="004344AC" w:rsidRDefault="003859BD" w:rsidP="00853C09">
      <w:pPr>
        <w:pBdr>
          <w:top w:val="nil"/>
          <w:left w:val="nil"/>
          <w:bottom w:val="nil"/>
          <w:right w:val="nil"/>
          <w:between w:val="nil"/>
          <w:bar w:val="nil"/>
        </w:pBdr>
        <w:spacing w:after="0"/>
      </w:pPr>
      <w:r>
        <w:rPr>
          <w:rFonts w:eastAsia="Arial Unicode MS"/>
          <w:szCs w:val="24"/>
          <w:bdr w:val="nil"/>
          <w:lang w:eastAsia="ru-RU"/>
        </w:rPr>
        <w:t xml:space="preserve">Цель </w:t>
      </w:r>
      <w:r w:rsidR="004D2413">
        <w:rPr>
          <w:rFonts w:eastAsia="Arial Unicode MS"/>
          <w:szCs w:val="24"/>
          <w:bdr w:val="nil"/>
          <w:lang w:eastAsia="ru-RU"/>
        </w:rPr>
        <w:t>1</w:t>
      </w:r>
      <w:r w:rsidR="003D7A38">
        <w:rPr>
          <w:rFonts w:eastAsia="Arial Unicode MS"/>
          <w:szCs w:val="24"/>
          <w:bdr w:val="nil"/>
          <w:lang w:eastAsia="ru-RU"/>
        </w:rPr>
        <w:t>4</w:t>
      </w:r>
      <w:r w:rsidR="00780F08" w:rsidRPr="00BD29EC">
        <w:rPr>
          <w:rFonts w:eastAsia="Arial Unicode MS"/>
          <w:szCs w:val="24"/>
          <w:bdr w:val="nil"/>
          <w:lang w:eastAsia="ru-RU"/>
        </w:rPr>
        <w:t xml:space="preserve">: </w:t>
      </w:r>
      <w:r w:rsidR="003D7A38">
        <w:t>Сохранение и рациональное использование океанов, морей и морских ресурсов в интересах устойчивого развития.</w:t>
      </w:r>
    </w:p>
    <w:p w:rsidR="003143BC" w:rsidRPr="00BD29E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b</w:t>
      </w:r>
      <w:r w:rsidRPr="00BD29EC">
        <w:rPr>
          <w:rFonts w:eastAsia="Arial Unicode MS"/>
          <w:b/>
          <w:szCs w:val="24"/>
          <w:bdr w:val="nil"/>
          <w:lang w:eastAsia="ru-RU"/>
        </w:rPr>
        <w:t>. Задача</w:t>
      </w:r>
    </w:p>
    <w:p w:rsidR="00781DE7" w:rsidRDefault="00E559F9" w:rsidP="00781DE7">
      <w:pPr>
        <w:pBdr>
          <w:top w:val="nil"/>
          <w:left w:val="nil"/>
          <w:bottom w:val="nil"/>
          <w:right w:val="nil"/>
          <w:between w:val="nil"/>
          <w:bar w:val="nil"/>
        </w:pBdr>
        <w:spacing w:after="0"/>
        <w:rPr>
          <w:szCs w:val="24"/>
        </w:rPr>
      </w:pPr>
      <w:r>
        <w:rPr>
          <w:szCs w:val="24"/>
        </w:rPr>
        <w:t>1</w:t>
      </w:r>
      <w:r w:rsidR="003D7A38">
        <w:rPr>
          <w:szCs w:val="24"/>
        </w:rPr>
        <w:t>4</w:t>
      </w:r>
      <w:r w:rsidR="00780F08" w:rsidRPr="00BD29EC">
        <w:rPr>
          <w:szCs w:val="24"/>
        </w:rPr>
        <w:t>.</w:t>
      </w:r>
      <w:r w:rsidR="00B518DC">
        <w:rPr>
          <w:szCs w:val="24"/>
        </w:rPr>
        <w:t>2</w:t>
      </w:r>
      <w:r w:rsidR="00780F08" w:rsidRPr="00BD29EC">
        <w:rPr>
          <w:szCs w:val="24"/>
        </w:rPr>
        <w:t xml:space="preserve">.  </w:t>
      </w:r>
      <w:r w:rsidR="00274011">
        <w:t>К 2020 году обеспечить рациональное использование и защиту морских и прибрежных экосистем с целью предотвратить значительное отрицательное воздействие, в том числе путем повышения стойкости этих экосистем, и принять меры по их восстановлению для обеспечения хорошего экологического состояния и продуктивности океанов.</w:t>
      </w:r>
    </w:p>
    <w:p w:rsidR="003143BC" w:rsidRPr="00BD29EC" w:rsidRDefault="003143BC" w:rsidP="00781DE7">
      <w:pPr>
        <w:pBdr>
          <w:top w:val="nil"/>
          <w:left w:val="nil"/>
          <w:bottom w:val="nil"/>
          <w:right w:val="nil"/>
          <w:between w:val="nil"/>
          <w:bar w:val="nil"/>
        </w:pBdr>
        <w:spacing w:after="0"/>
        <w:rPr>
          <w:rFonts w:eastAsia="Arial Unicode MS"/>
          <w:b/>
          <w:szCs w:val="24"/>
          <w:bdr w:val="nil"/>
          <w:lang w:eastAsia="ru-RU"/>
        </w:rPr>
      </w:pPr>
      <w:r w:rsidRPr="00BD29EC">
        <w:rPr>
          <w:rFonts w:eastAsia="Arial Unicode MS"/>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szCs w:val="24"/>
        </w:rPr>
      </w:pPr>
      <w:r w:rsidRPr="00BD29EC">
        <w:rPr>
          <w:szCs w:val="24"/>
        </w:rPr>
        <w:t xml:space="preserve">Показатель </w:t>
      </w:r>
      <w:r w:rsidR="00741A39">
        <w:rPr>
          <w:szCs w:val="24"/>
        </w:rPr>
        <w:t>1</w:t>
      </w:r>
      <w:r w:rsidR="003D7A38">
        <w:rPr>
          <w:szCs w:val="24"/>
        </w:rPr>
        <w:t>4</w:t>
      </w:r>
      <w:r w:rsidR="00780F08" w:rsidRPr="00BD29EC">
        <w:rPr>
          <w:szCs w:val="24"/>
        </w:rPr>
        <w:t>.</w:t>
      </w:r>
      <w:r w:rsidR="00B518DC">
        <w:rPr>
          <w:szCs w:val="24"/>
        </w:rPr>
        <w:t>2</w:t>
      </w:r>
      <w:r w:rsidR="002064C4">
        <w:rPr>
          <w:szCs w:val="24"/>
        </w:rPr>
        <w:t>.</w:t>
      </w:r>
      <w:r w:rsidR="00B518DC">
        <w:rPr>
          <w:szCs w:val="24"/>
        </w:rPr>
        <w:t>1</w:t>
      </w:r>
      <w:r w:rsidR="00C95AB2">
        <w:rPr>
          <w:szCs w:val="24"/>
        </w:rPr>
        <w:t>.</w:t>
      </w:r>
      <w:r w:rsidR="00274011" w:rsidRPr="00274011">
        <w:t>Число стран, применяющих экосистемные подходы к управлению морскими районами</w:t>
      </w:r>
    </w:p>
    <w:p w:rsidR="003143BC" w:rsidRDefault="003143BC"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d</w:t>
      </w:r>
      <w:r w:rsidRPr="00BD29EC">
        <w:rPr>
          <w:rFonts w:eastAsia="Arial Unicode MS"/>
          <w:b/>
          <w:szCs w:val="24"/>
          <w:bdr w:val="nil"/>
          <w:lang w:eastAsia="ru-RU"/>
        </w:rPr>
        <w:t xml:space="preserve">. </w:t>
      </w:r>
      <w:r w:rsidR="00291FA0">
        <w:rPr>
          <w:rFonts w:eastAsia="Arial Unicode MS"/>
          <w:b/>
          <w:szCs w:val="24"/>
          <w:bdr w:val="nil"/>
          <w:lang w:eastAsia="ru-RU"/>
        </w:rPr>
        <w:t>Ряд</w:t>
      </w:r>
    </w:p>
    <w:p w:rsidR="003A325C" w:rsidRDefault="003A325C" w:rsidP="00004BE3">
      <w:pPr>
        <w:pBdr>
          <w:top w:val="nil"/>
          <w:left w:val="nil"/>
          <w:bottom w:val="nil"/>
          <w:right w:val="nil"/>
          <w:between w:val="nil"/>
          <w:bar w:val="nil"/>
        </w:pBdr>
        <w:tabs>
          <w:tab w:val="left" w:pos="284"/>
        </w:tabs>
        <w:spacing w:after="0"/>
      </w:pPr>
    </w:p>
    <w:p w:rsidR="00004BE3" w:rsidRPr="00004BE3" w:rsidRDefault="00C8596F" w:rsidP="00004BE3">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e</w:t>
      </w:r>
      <w:r w:rsidRPr="00BD29EC">
        <w:rPr>
          <w:rFonts w:eastAsia="Arial Unicode MS"/>
          <w:b/>
          <w:szCs w:val="24"/>
          <w:bdr w:val="nil"/>
          <w:lang w:eastAsia="ru-RU"/>
        </w:rPr>
        <w:t xml:space="preserve">. Обновление данных </w:t>
      </w:r>
    </w:p>
    <w:p w:rsidR="00C81743" w:rsidRDefault="00C81743" w:rsidP="00C81743">
      <w:r w:rsidRPr="00C81743">
        <w:t>2021-02-08</w:t>
      </w:r>
    </w:p>
    <w:p w:rsidR="00C8596F" w:rsidRDefault="00C8596F" w:rsidP="00853C09">
      <w:pPr>
        <w:pBdr>
          <w:top w:val="nil"/>
          <w:left w:val="nil"/>
          <w:bottom w:val="nil"/>
          <w:right w:val="nil"/>
          <w:between w:val="nil"/>
          <w:bar w:val="nil"/>
        </w:pBdr>
        <w:tabs>
          <w:tab w:val="left" w:pos="284"/>
        </w:tabs>
        <w:spacing w:after="0"/>
        <w:rPr>
          <w:rFonts w:eastAsia="Arial Unicode MS"/>
          <w:b/>
          <w:szCs w:val="24"/>
          <w:bdr w:val="nil"/>
          <w:lang w:eastAsia="ru-RU"/>
        </w:rPr>
      </w:pPr>
      <w:r w:rsidRPr="00DA19D7">
        <w:rPr>
          <w:rFonts w:eastAsia="Arial Unicode MS"/>
          <w:b/>
          <w:szCs w:val="24"/>
          <w:bdr w:val="nil"/>
          <w:lang w:eastAsia="ru-RU"/>
        </w:rPr>
        <w:t>0.</w:t>
      </w:r>
      <w:r w:rsidRPr="00BD29EC">
        <w:rPr>
          <w:rFonts w:eastAsia="Arial Unicode MS"/>
          <w:b/>
          <w:szCs w:val="24"/>
          <w:bdr w:val="nil"/>
          <w:lang w:val="en-US" w:eastAsia="ru-RU"/>
        </w:rPr>
        <w:t>f</w:t>
      </w:r>
      <w:r w:rsidRPr="00DA19D7">
        <w:rPr>
          <w:rFonts w:eastAsia="Arial Unicode MS"/>
          <w:b/>
          <w:szCs w:val="24"/>
          <w:bdr w:val="nil"/>
          <w:lang w:eastAsia="ru-RU"/>
        </w:rPr>
        <w:t xml:space="preserve">. </w:t>
      </w:r>
      <w:r w:rsidRPr="00BD29EC">
        <w:rPr>
          <w:rFonts w:eastAsia="Arial Unicode MS"/>
          <w:b/>
          <w:szCs w:val="24"/>
          <w:bdr w:val="nil"/>
          <w:lang w:eastAsia="ru-RU"/>
        </w:rPr>
        <w:t>Связанныепоказатели</w:t>
      </w:r>
    </w:p>
    <w:p w:rsidR="00C81743" w:rsidRDefault="00C81743" w:rsidP="00C81743">
      <w:r>
        <w:t>Не применимо.</w:t>
      </w:r>
    </w:p>
    <w:p w:rsidR="00A91FDE" w:rsidRDefault="00E33CA8" w:rsidP="0075371E">
      <w:pPr>
        <w:pBdr>
          <w:top w:val="nil"/>
          <w:left w:val="nil"/>
          <w:bottom w:val="nil"/>
          <w:right w:val="nil"/>
          <w:between w:val="nil"/>
          <w:bar w:val="nil"/>
        </w:pBdr>
        <w:tabs>
          <w:tab w:val="left" w:pos="284"/>
        </w:tabs>
        <w:spacing w:after="0"/>
        <w:rPr>
          <w:rFonts w:eastAsia="Arial Unicode MS"/>
          <w:b/>
          <w:szCs w:val="24"/>
          <w:bdr w:val="nil"/>
          <w:lang w:eastAsia="ru-RU"/>
        </w:rPr>
      </w:pPr>
      <w:r w:rsidRPr="00BD29EC">
        <w:rPr>
          <w:rFonts w:eastAsia="Arial Unicode MS"/>
          <w:b/>
          <w:szCs w:val="24"/>
          <w:bdr w:val="nil"/>
          <w:lang w:eastAsia="ru-RU"/>
        </w:rPr>
        <w:t>0.</w:t>
      </w:r>
      <w:r w:rsidRPr="00BD29EC">
        <w:rPr>
          <w:rFonts w:eastAsia="Arial Unicode MS"/>
          <w:b/>
          <w:szCs w:val="24"/>
          <w:bdr w:val="nil"/>
          <w:lang w:val="en-US" w:eastAsia="ru-RU"/>
        </w:rPr>
        <w:t>g</w:t>
      </w:r>
      <w:r w:rsidRPr="00BD29EC">
        <w:rPr>
          <w:rFonts w:eastAsia="Arial Unicode MS"/>
          <w:b/>
          <w:szCs w:val="24"/>
          <w:bdr w:val="nil"/>
          <w:lang w:eastAsia="ru-RU"/>
        </w:rPr>
        <w:t>. Международные организации, ответственные за глобальный мониторинг</w:t>
      </w:r>
    </w:p>
    <w:p w:rsidR="00C81743" w:rsidRDefault="00C81743" w:rsidP="00C81743">
      <w:pPr>
        <w:rPr>
          <w:bdr w:val="nil"/>
          <w:lang w:eastAsia="ru-RU"/>
        </w:rPr>
      </w:pPr>
      <w:bookmarkStart w:id="0" w:name="_Toc37932744"/>
      <w:bookmarkStart w:id="1" w:name="_Toc36813072"/>
      <w:bookmarkStart w:id="2" w:name="_Toc36812685"/>
      <w:bookmarkStart w:id="3" w:name="_Toc36812572"/>
      <w:bookmarkStart w:id="4" w:name="_Toc36655609"/>
      <w:r w:rsidRPr="00C81743">
        <w:rPr>
          <w:bdr w:val="nil"/>
          <w:lang w:eastAsia="ru-RU"/>
        </w:rPr>
        <w:t>Программа Организации Объединенных Наций по окружающей среде (ЮНЕП)</w:t>
      </w:r>
    </w:p>
    <w:p w:rsidR="00957A62" w:rsidRPr="00BD29EC" w:rsidRDefault="00957A62" w:rsidP="0075371E">
      <w:pPr>
        <w:pStyle w:val="MHeader"/>
        <w:rPr>
          <w:b/>
          <w:color w:val="auto"/>
          <w:sz w:val="24"/>
          <w:szCs w:val="24"/>
          <w:lang w:val="ru-RU"/>
        </w:rPr>
      </w:pPr>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C81743" w:rsidRDefault="00C81743" w:rsidP="00C81743">
      <w:pPr>
        <w:rPr>
          <w:bdr w:val="nil"/>
        </w:rPr>
      </w:pPr>
      <w:r w:rsidRPr="00C81743">
        <w:rPr>
          <w:bdr w:val="nil"/>
        </w:rPr>
        <w:t>Программа Организации Объединенных Наций по окружающей среде (ЮНЕП)</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Default="00DA19D7" w:rsidP="00DA19D7">
      <w:pPr>
        <w:pStyle w:val="MText"/>
        <w:rPr>
          <w:color w:val="000000"/>
          <w:sz w:val="24"/>
          <w:szCs w:val="24"/>
          <w:lang w:val="ru-RU"/>
        </w:rPr>
      </w:pPr>
      <w:r>
        <w:rPr>
          <w:color w:val="000000"/>
          <w:sz w:val="24"/>
          <w:szCs w:val="24"/>
          <w:lang w:val="ru-RU"/>
        </w:rPr>
        <w:t>Определение:</w:t>
      </w:r>
    </w:p>
    <w:p w:rsidR="00C81743" w:rsidRDefault="00C81743" w:rsidP="00C81743">
      <w:r w:rsidRPr="008A4BCB">
        <w:t xml:space="preserve">В качестве скоординированного показателя по региональным морям предлагается использовать </w:t>
      </w:r>
      <w:r>
        <w:t>показатель</w:t>
      </w:r>
      <w:r w:rsidRPr="008A4BCB">
        <w:t xml:space="preserve"> комплексного управления прибрежными зонами </w:t>
      </w:r>
      <w:r w:rsidRPr="00CC0B29">
        <w:t xml:space="preserve">(КУПЗ). Для стран с морским / судоходным территориальным планированием (МТП) </w:t>
      </w:r>
      <w:r w:rsidRPr="008A4BCB">
        <w:t>эти мероприятия могут быть полезны для оценки КУПЗ. Для других стран важно определить способы измерения существующих планов и создать потенциал для комплексного планирования. Все данные для этого показателя будут основаны на материалах предоставленных государствами в  Программу по региональным морям.</w:t>
      </w:r>
    </w:p>
    <w:p w:rsidR="00C81743" w:rsidRPr="008A4BCB" w:rsidRDefault="00C81743" w:rsidP="00C81743">
      <w:r w:rsidRPr="008A4BCB">
        <w:t xml:space="preserve">В целях содействия использованию региональных морей в рамках последующей деятельности и механизма обзора для региональных морей ЮНЕП подготовил доклад о </w:t>
      </w:r>
      <w:r w:rsidRPr="008A4BCB">
        <w:lastRenderedPageBreak/>
        <w:t>том, как данные по региональным морям могут  напрямую быть использованы для достижения ЦУР  (</w:t>
      </w:r>
      <w:r>
        <w:t xml:space="preserve">подробнее по адресу </w:t>
      </w:r>
      <w:hyperlink r:id="rId8" w:history="1">
        <w:r w:rsidRPr="008A4BCB">
          <w:t>https://wedocs.unep.org/bitstream/handle/20.500.11822/27295/ocean_SDG.pdf?sequence=1&amp;isAllowed=y</w:t>
        </w:r>
      </w:hyperlink>
      <w:r w:rsidRPr="008A4BCB">
        <w:t>).</w:t>
      </w:r>
    </w:p>
    <w:p w:rsidR="00C81743" w:rsidRPr="00C81743" w:rsidRDefault="00C81743" w:rsidP="00C81743">
      <w:r w:rsidRPr="008A4BCB">
        <w:t>Полная методология для этого показателя представлена в документе, озаглавленном «Глобальное руководство по статистике Мирового океана  для измерения ЦУР 14.1.1, 14.2.1 и 14.5.1».</w:t>
      </w:r>
    </w:p>
    <w:p w:rsidR="00DA19D7" w:rsidRDefault="003859BD" w:rsidP="00DA19D7">
      <w:pPr>
        <w:pStyle w:val="MText"/>
        <w:rPr>
          <w:color w:val="000000"/>
          <w:sz w:val="24"/>
          <w:szCs w:val="24"/>
          <w:lang w:val="ru-RU"/>
        </w:rPr>
      </w:pPr>
      <w:r>
        <w:rPr>
          <w:color w:val="000000"/>
          <w:sz w:val="24"/>
          <w:szCs w:val="24"/>
          <w:lang w:val="ru-RU"/>
        </w:rPr>
        <w:t>Основные понятия</w:t>
      </w:r>
    </w:p>
    <w:p w:rsidR="00C81743" w:rsidRPr="008A4BCB" w:rsidRDefault="00C81743" w:rsidP="00C81743">
      <w:r w:rsidRPr="008A4BCB">
        <w:t>КУПЗ - План комплексного управления прибрежной зоной (ICZM) охватывает всю прибрежную зону. Управление морскими и наземными районами ведется совместно. Программы  разрабатываются путем координации между различными  учреждениями и агентствами соответствующего профиля.</w:t>
      </w:r>
    </w:p>
    <w:p w:rsidR="00C81743" w:rsidRDefault="00C81743" w:rsidP="00C81743">
      <w:r w:rsidRPr="008A4BCB">
        <w:t xml:space="preserve">Морское территориальное планирование (MSP) </w:t>
      </w:r>
      <w:r>
        <w:t>–</w:t>
      </w:r>
      <w:r w:rsidRPr="008A4BCB">
        <w:t xml:space="preserve"> морское территориальное планирование</w:t>
      </w:r>
      <w:r>
        <w:t xml:space="preserve">, </w:t>
      </w:r>
      <w:r w:rsidRPr="008A4BCB">
        <w:t>ориентированное на ИЭЗ. Понятие объединяет потребности и позиции разнообразных морских секторов в единую согласованную структуру планирования.</w:t>
      </w:r>
    </w:p>
    <w:p w:rsidR="00C81743" w:rsidRPr="00C81743" w:rsidRDefault="00C81743" w:rsidP="00C81743">
      <w:r w:rsidRPr="008A4BCB">
        <w:t>ИЭЗ - национальная исключительная экономическая зона (EEZ</w:t>
      </w:r>
      <w:r>
        <w:t xml:space="preserve">), которая в </w:t>
      </w:r>
      <w:r w:rsidRPr="008A4BCB">
        <w:t xml:space="preserve">соответствии с Конвенцией Организации Объединенных Наций по морскому праву должна быть расположена в 200 морских милях от побережья. </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C81743" w:rsidP="00C81743">
      <w:r>
        <w:t>Число</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BD29EC" w:rsidRDefault="000A229E" w:rsidP="0075371E">
      <w:pPr>
        <w:pStyle w:val="MText"/>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C81743" w:rsidRPr="00BD29EC" w:rsidRDefault="00C81743" w:rsidP="0075371E">
      <w:pPr>
        <w:pStyle w:val="MHeader2"/>
        <w:rPr>
          <w:color w:val="auto"/>
          <w:sz w:val="24"/>
          <w:szCs w:val="24"/>
          <w:lang w:val="ru-RU"/>
        </w:rPr>
      </w:pPr>
      <w:r w:rsidRPr="00C81743">
        <w:rPr>
          <w:color w:val="auto"/>
          <w:sz w:val="24"/>
          <w:szCs w:val="24"/>
          <w:lang w:val="ru-RU"/>
        </w:rPr>
        <w:t>Данные предоставл</w:t>
      </w:r>
      <w:r>
        <w:rPr>
          <w:color w:val="auto"/>
          <w:sz w:val="24"/>
          <w:szCs w:val="24"/>
          <w:lang w:val="ru-RU"/>
        </w:rPr>
        <w:t>яются</w:t>
      </w:r>
      <w:r w:rsidRPr="00C81743">
        <w:rPr>
          <w:color w:val="auto"/>
          <w:sz w:val="24"/>
          <w:szCs w:val="24"/>
          <w:lang w:val="ru-RU"/>
        </w:rPr>
        <w:t xml:space="preserve"> национальными правительствами</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C81743" w:rsidRPr="00BD29EC" w:rsidRDefault="00C81743" w:rsidP="00C81743">
      <w:r w:rsidRPr="00C81743">
        <w:t>Учреждения-</w:t>
      </w:r>
      <w:r>
        <w:t>кураторы</w:t>
      </w:r>
      <w:r w:rsidRPr="00C81743">
        <w:t xml:space="preserve"> предлагают собирать национальные данные в рамках программ по региональным морям, чтобы уменьшить бремя отчетности для стран. Со странами, не включенными в Программу по региональным морям, ЮНЕП свяжется напрямую.</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7E5FE7" w:rsidRPr="00BD29EC" w:rsidRDefault="007E5FE7" w:rsidP="007E5FE7">
      <w:r w:rsidRPr="007E5FE7">
        <w:t xml:space="preserve">1. Первый сбор данных: </w:t>
      </w:r>
      <w:r>
        <w:t>Программа региональных морей</w:t>
      </w:r>
      <w:r w:rsidRPr="007E5FE7">
        <w:t xml:space="preserve"> уже собира</w:t>
      </w:r>
      <w:r>
        <w:t>е</w:t>
      </w:r>
      <w:r w:rsidRPr="007E5FE7">
        <w:t>т данные.</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7E5FE7" w:rsidRPr="00BD29EC" w:rsidRDefault="007E5FE7" w:rsidP="007E5FE7">
      <w:r w:rsidRPr="007E5FE7">
        <w:t>1. Первый цикл отчетности: 2021 г.</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7E5FE7" w:rsidRPr="007E5FE7" w:rsidRDefault="007E5FE7" w:rsidP="007E5FE7">
      <w:r w:rsidRPr="00E45DB7">
        <w:lastRenderedPageBreak/>
        <w:t xml:space="preserve">Национальные статистические системы по региональным морям. Программы по региональным морям включают CPPS: Постоянная комиссия для южной части Тихого океана (юго-восточная часть Тихого океана); MSFD ЕС: Рамочная директива по морской стратегии Европейского Союза; ВРД ЕС: Водная Рамочная Директива Европейского Союза; GEF-TWAP: Программа оценки трансграничных вод Глобального экологического фонда; ХЕЛКОМ: Хельсинкская комиссия (Балтийское море); Найробийская конвенция (Западная часть Индийского океана); NOAA: Национальное управление океанических и атмосферных исследований; NOWPAP: План действий по северо-западной части Тихого океана (северо-западная часть Тихого океана); ОСПАР: Осло-Парижская конвенция (Северо-Восточная Атлантика); ROMPE: Региональная организация по защите морской среды (морской район ROMPE); UNEP-MAP: Средиземноморский план действий ООН по окружающей среде (Средиземное море). Для получения дополнительной информации о региональных морях см .: </w:t>
      </w:r>
      <w:hyperlink r:id="rId9" w:history="1">
        <w:r w:rsidRPr="00E45DB7">
          <w:t>https</w:t>
        </w:r>
        <w:r w:rsidRPr="005875E0">
          <w:t>://</w:t>
        </w:r>
        <w:r w:rsidRPr="00E45DB7">
          <w:t>www</w:t>
        </w:r>
        <w:r w:rsidRPr="005875E0">
          <w:t>.</w:t>
        </w:r>
        <w:r w:rsidRPr="00E45DB7">
          <w:t>unenvironment</w:t>
        </w:r>
        <w:r w:rsidRPr="005875E0">
          <w:t>.</w:t>
        </w:r>
        <w:r w:rsidRPr="00E45DB7">
          <w:t>org</w:t>
        </w:r>
        <w:r w:rsidRPr="005875E0">
          <w:t>/</w:t>
        </w:r>
        <w:r w:rsidRPr="00E45DB7">
          <w:t>explore</w:t>
        </w:r>
        <w:r w:rsidRPr="005875E0">
          <w:t>-</w:t>
        </w:r>
        <w:r w:rsidRPr="00E45DB7">
          <w:t>topics</w:t>
        </w:r>
        <w:r w:rsidRPr="005875E0">
          <w:t>/</w:t>
        </w:r>
        <w:r w:rsidRPr="00E45DB7">
          <w:t>oceans</w:t>
        </w:r>
        <w:r w:rsidRPr="005875E0">
          <w:t>-</w:t>
        </w:r>
        <w:r w:rsidRPr="00E45DB7">
          <w:t>seas</w:t>
        </w:r>
        <w:r w:rsidRPr="005875E0">
          <w:t>/</w:t>
        </w:r>
        <w:r w:rsidRPr="00E45DB7">
          <w:t>what</w:t>
        </w:r>
        <w:r w:rsidRPr="005875E0">
          <w:t>-</w:t>
        </w:r>
        <w:r w:rsidRPr="00E45DB7">
          <w:t>we</w:t>
        </w:r>
        <w:r w:rsidRPr="005875E0">
          <w:t>-</w:t>
        </w:r>
        <w:r w:rsidRPr="00E45DB7">
          <w:t>do</w:t>
        </w:r>
        <w:r w:rsidRPr="005875E0">
          <w:t>/</w:t>
        </w:r>
        <w:r w:rsidRPr="00E45DB7">
          <w:t>working</w:t>
        </w:r>
        <w:r w:rsidRPr="005875E0">
          <w:t>-</w:t>
        </w:r>
        <w:r w:rsidRPr="00E45DB7">
          <w:t>regional</w:t>
        </w:r>
        <w:r w:rsidRPr="005875E0">
          <w:t>-</w:t>
        </w:r>
        <w:r w:rsidRPr="00E45DB7">
          <w:t>seas</w:t>
        </w:r>
      </w:hyperlink>
      <w:r w:rsidRPr="00E45DB7">
        <w:t>.</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7E5FE7" w:rsidRPr="00BD29EC" w:rsidRDefault="007E5FE7" w:rsidP="007E5FE7">
      <w:r w:rsidRPr="007E5FE7">
        <w:t xml:space="preserve">1. </w:t>
      </w:r>
      <w:r>
        <w:t>ООН-Окружающая среда</w:t>
      </w:r>
      <w:r w:rsidRPr="007E5FE7">
        <w:t xml:space="preserve"> (Программа Организации Объединенных Наций по окружающей среде) в сотрудничестве с партнерами, упомянутыми в других разделах этих метаданных.</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BD29EC" w:rsidRDefault="00980F79" w:rsidP="0075371E">
      <w:pPr>
        <w:pBdr>
          <w:top w:val="nil"/>
          <w:left w:val="nil"/>
          <w:bottom w:val="nil"/>
          <w:right w:val="nil"/>
          <w:between w:val="nil"/>
          <w:bar w:val="nil"/>
        </w:pBdr>
        <w:spacing w:after="0"/>
        <w:rPr>
          <w:b/>
          <w:szCs w:val="24"/>
        </w:rPr>
      </w:pP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7E5FE7" w:rsidRDefault="007E5FE7" w:rsidP="007E5FE7">
      <w:r w:rsidRPr="008A4BCB">
        <w:t>С экологической точки зрения экосистемные подходы учитывают связи между живыми организмами, местами обитания, физическими и химическими условиями в экосистеме, уделяя особое внимание важности экологической целостности, биоразнообразия и общего состояния экосистемы. С точки зрения управления, экосистемные подходы относятся к комплексным стратегиям рационального использования социально-экологически</w:t>
      </w:r>
      <w:r>
        <w:t>х</w:t>
      </w:r>
      <w:r w:rsidRPr="008A4BCB">
        <w:t xml:space="preserve"> системам, которые учитывают экологические, социальные и экономические факторы на основе принципов устойчивого развития.</w:t>
      </w:r>
    </w:p>
    <w:p w:rsidR="002E15F9" w:rsidRPr="007E5FE7" w:rsidRDefault="007E5FE7" w:rsidP="007E5FE7">
      <w:r w:rsidRPr="008A4BCB">
        <w:t xml:space="preserve">Рациональное пользование морскими или прибрежными районами  способствует лучшему управлению исключительными экономическими зонами (ИЕЗ). В качестве подхода для обеспечения надлежащего управления на основе экосистем, включая межсекторальные и более широкие вопросы, </w:t>
      </w:r>
      <w:r>
        <w:t>м</w:t>
      </w:r>
      <w:r w:rsidRPr="008A4BCB">
        <w:t>ногие страны используют Морское территориальное планирование (МТП) и Интегрированное управление прибрежными зонами (КУПЗ).</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7E5FE7" w:rsidRPr="007E5FE7" w:rsidRDefault="007E5FE7" w:rsidP="007E5FE7">
      <w:r w:rsidRPr="008A4BCB">
        <w:t>Данный показатель определяет исключительно разработку стратегии, но не ее реализацию.</w:t>
      </w:r>
    </w:p>
    <w:p w:rsidR="002E15F9"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p>
    <w:p w:rsidR="00331739" w:rsidRPr="008A4BCB" w:rsidRDefault="00331739" w:rsidP="00331739">
      <w:r w:rsidRPr="008A4BCB">
        <w:lastRenderedPageBreak/>
        <w:t>Полная методология для этого показателя представлена в документе, озаглавленном «Глобальное руководство по статистике Мирового океана  для измерения ЦУР 14.1.1, 14.2.1 и 14.5.1».</w:t>
      </w:r>
    </w:p>
    <w:p w:rsidR="00331739" w:rsidRPr="008A4BCB" w:rsidRDefault="00331739" w:rsidP="00331739">
      <w:r w:rsidRPr="008A4BCB">
        <w:t xml:space="preserve">В качестве скоординированного показателя по региональным морям предлагается использовать </w:t>
      </w:r>
      <w:r>
        <w:t>показатель</w:t>
      </w:r>
      <w:r w:rsidRPr="008A4BCB">
        <w:t xml:space="preserve"> комплексного управления прибрежными зонами (КУПЗ). Для стран с морским / судоходным территориальным планированием (МТП) эти мероприятия могут быть полезны для оценки КУПЗ. Для других стран важно определить способы измерения существующих планов и создать потенциал для комплексного планирования. Все данные для этого показателя будут основаны на материалах предоставленных государствами в  Программу по региональным морям.</w:t>
      </w:r>
    </w:p>
    <w:p w:rsidR="00331739" w:rsidRPr="008A4BCB" w:rsidRDefault="00331739" w:rsidP="00331739">
      <w:r w:rsidRPr="008A4BCB">
        <w:t>Этот показатель будет измерять число стран, использующих экосистемные подходы для управления морскими районами (измеряется с помощью КУПЗ, морского или любого другого территориального планирования).</w:t>
      </w:r>
    </w:p>
    <w:p w:rsidR="00D853D8" w:rsidRDefault="00331739" w:rsidP="00331739">
      <w:r w:rsidRPr="008A4BCB">
        <w:t>Шаг первый</w:t>
      </w:r>
      <w:r w:rsidR="00D853D8">
        <w:t>.</w:t>
      </w:r>
    </w:p>
    <w:p w:rsidR="00331739" w:rsidRPr="008A4BCB" w:rsidRDefault="00331739" w:rsidP="00331739">
      <w:r w:rsidRPr="008A4BCB">
        <w:t>Определение национальных органов / агентств / организаций, ответственных за прибрежное и морское планирование и управление.</w:t>
      </w:r>
    </w:p>
    <w:p w:rsidR="00D853D8" w:rsidRDefault="00D853D8" w:rsidP="00331739">
      <w:r>
        <w:t>Шаг второй.</w:t>
      </w:r>
    </w:p>
    <w:p w:rsidR="00331739" w:rsidRPr="008A4BCB" w:rsidRDefault="00331739" w:rsidP="00331739">
      <w:r w:rsidRPr="008A4BCB">
        <w:t>Определение и пространственное отображение границ программ КУПЗ или других мероприятий на национальном, субнациональном и местном уровнях. Координация с национальными органами / агентствами / организациями, ответственными за планирование и управление прибрежными и  морскими ресурсами, для заполнения вопросника по программам КУПЗ (ShipmanandPetit</w:t>
      </w:r>
      <w:r>
        <w:t xml:space="preserve"> 2014)</w:t>
      </w:r>
      <w:r w:rsidRPr="008A4BCB">
        <w:t>.</w:t>
      </w:r>
    </w:p>
    <w:p w:rsidR="00D853D8" w:rsidRDefault="00331739" w:rsidP="00331739">
      <w:r w:rsidRPr="008A4BCB">
        <w:t>Шаг третий</w:t>
      </w:r>
      <w:r w:rsidR="00D853D8">
        <w:t>.</w:t>
      </w:r>
    </w:p>
    <w:p w:rsidR="00331739" w:rsidRPr="008A4BCB" w:rsidRDefault="00331739" w:rsidP="00331739">
      <w:r w:rsidRPr="008A4BCB">
        <w:t>Определение статуса выполнения каждой программы и классификация пространственной карты в соответствии с этапами реализации:</w:t>
      </w:r>
    </w:p>
    <w:p w:rsidR="00331739" w:rsidRPr="00652321" w:rsidRDefault="00331739" w:rsidP="00331739">
      <w:r w:rsidRPr="00652321">
        <w:t>Первоначальная подготовка плана</w:t>
      </w:r>
    </w:p>
    <w:p w:rsidR="00331739" w:rsidRPr="00652321" w:rsidRDefault="00331739" w:rsidP="00331739">
      <w:r w:rsidRPr="00652321">
        <w:t>План разработки</w:t>
      </w:r>
    </w:p>
    <w:p w:rsidR="00331739" w:rsidRPr="00652321" w:rsidRDefault="00331739" w:rsidP="00331739">
      <w:r w:rsidRPr="00652321">
        <w:t xml:space="preserve">План принятия / провозглашения </w:t>
      </w:r>
    </w:p>
    <w:p w:rsidR="00331739" w:rsidRPr="00652321" w:rsidRDefault="00331739" w:rsidP="00331739">
      <w:r w:rsidRPr="00652321">
        <w:t>Внедрение и адаптивное управление</w:t>
      </w:r>
    </w:p>
    <w:p w:rsidR="00331739" w:rsidRPr="00E45DB7" w:rsidRDefault="00331739" w:rsidP="00331739">
      <w:r w:rsidRPr="00E45DB7">
        <w:t xml:space="preserve">Рекомендуется также провести сбор и регистрацию ответов на вопросник. Пространственная карта, показывающая границы соответствующих программ (составленных на втором этапе), также может быть использована для расчета доли национальных вод или национальной исключительной экономической зоны, охватываемой соответствующими программами. Это может быть сделано путем наложения пространственного слоя соответствующих планов на пространственный слой </w:t>
      </w:r>
      <w:r w:rsidRPr="00E45DB7">
        <w:lastRenderedPageBreak/>
        <w:t>национальных вод или исключительной экономической зоны, для определения границ их совпадения.</w:t>
      </w:r>
    </w:p>
    <w:p w:rsidR="00331739" w:rsidRPr="00331739" w:rsidRDefault="00331739" w:rsidP="00331739">
      <w:pPr>
        <w:shd w:val="clear" w:color="auto" w:fill="FFFFFF"/>
        <w:spacing w:after="0"/>
      </w:pPr>
      <w:r w:rsidRPr="00E45DB7">
        <w:t>Все страны должны сообщить о создании программы.</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Pr="00BD29EC" w:rsidRDefault="00694160" w:rsidP="0075371E">
      <w:pPr>
        <w:pStyle w:val="MText"/>
        <w:rPr>
          <w:color w:val="auto"/>
          <w:sz w:val="24"/>
          <w:szCs w:val="24"/>
          <w:lang w:val="ru-RU"/>
        </w:rPr>
      </w:pPr>
      <w:r w:rsidRPr="00BD29EC">
        <w:rPr>
          <w:color w:val="auto"/>
          <w:sz w:val="24"/>
          <w:szCs w:val="24"/>
          <w:lang w:val="ru-RU"/>
        </w:rPr>
        <w:t>.</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D853D8" w:rsidRPr="00BD29EC" w:rsidRDefault="00D853D8" w:rsidP="00D853D8">
      <w:r>
        <w:t>Вменение не производится.</w:t>
      </w:r>
    </w:p>
    <w:p w:rsidR="002E15F9" w:rsidRPr="00BD29EC"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уровне страны</w:t>
      </w:r>
    </w:p>
    <w:p w:rsidR="002E15F9" w:rsidRPr="00BD29EC" w:rsidRDefault="002E15F9" w:rsidP="0075371E">
      <w:pPr>
        <w:pStyle w:val="MText"/>
        <w:rPr>
          <w:color w:val="auto"/>
          <w:sz w:val="24"/>
          <w:szCs w:val="24"/>
          <w:lang w:val="ru-RU"/>
        </w:rPr>
      </w:pPr>
    </w:p>
    <w:p w:rsidR="002E15F9" w:rsidRPr="00BD29EC" w:rsidRDefault="002E15F9" w:rsidP="0075371E">
      <w:pPr>
        <w:pStyle w:val="MText"/>
        <w:rPr>
          <w:color w:val="auto"/>
          <w:sz w:val="24"/>
          <w:szCs w:val="24"/>
          <w:lang w:val="ru-RU"/>
        </w:rPr>
      </w:pPr>
      <w:r w:rsidRPr="00BD29EC">
        <w:rPr>
          <w:color w:val="auto"/>
          <w:sz w:val="24"/>
          <w:szCs w:val="24"/>
          <w:lang w:val="ru-RU"/>
        </w:rPr>
        <w:t>•</w:t>
      </w:r>
      <w:r w:rsidRPr="00BD29EC">
        <w:rPr>
          <w:color w:val="auto"/>
          <w:sz w:val="24"/>
          <w:szCs w:val="24"/>
          <w:lang w:val="ru-RU"/>
        </w:rPr>
        <w:tab/>
      </w:r>
      <w:r w:rsidR="00694160" w:rsidRPr="00BD29EC">
        <w:rPr>
          <w:color w:val="auto"/>
          <w:sz w:val="24"/>
          <w:szCs w:val="24"/>
          <w:lang w:val="ru-RU"/>
        </w:rPr>
        <w:t>На региональном и глобальном уровнях</w:t>
      </w:r>
    </w:p>
    <w:p w:rsidR="00694160" w:rsidRPr="00BD29EC" w:rsidRDefault="00694160" w:rsidP="0075371E">
      <w:pPr>
        <w:pStyle w:val="MHeader2"/>
        <w:rPr>
          <w:color w:val="auto"/>
          <w:sz w:val="24"/>
          <w:szCs w:val="24"/>
          <w:lang w:val="ru-RU"/>
        </w:rPr>
      </w:pP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p>
    <w:p w:rsidR="002E15F9" w:rsidRPr="00BD29EC" w:rsidRDefault="002878C7" w:rsidP="002878C7">
      <w:r w:rsidRPr="002878C7">
        <w:t>Данные будут агрегированы на субрегиональном, региональном и глобальном уровнях путем подсчета количества стран, имеющих план для каждой группы.</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2E15F9" w:rsidRPr="00040034" w:rsidRDefault="002E15F9" w:rsidP="0075371E">
      <w:pPr>
        <w:pStyle w:val="MHeader2"/>
        <w:rPr>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003859BD">
        <w:rPr>
          <w:b/>
          <w:color w:val="auto"/>
          <w:sz w:val="24"/>
          <w:szCs w:val="24"/>
          <w:lang w:val="ru-RU"/>
        </w:rPr>
        <w:t>Гарантия</w:t>
      </w:r>
      <w:r w:rsidR="00E27922" w:rsidRPr="00A71EC6">
        <w:rPr>
          <w:b/>
          <w:color w:val="auto"/>
          <w:sz w:val="24"/>
          <w:szCs w:val="24"/>
          <w:lang w:val="ru-RU"/>
        </w:rPr>
        <w:t xml:space="preserve"> качества</w:t>
      </w:r>
    </w:p>
    <w:p w:rsidR="002E15F9" w:rsidRPr="00BD29EC"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дезагрегирование данных</w:t>
      </w:r>
    </w:p>
    <w:p w:rsidR="0075371E" w:rsidRDefault="0075371E" w:rsidP="0075371E">
      <w:pPr>
        <w:pStyle w:val="MText"/>
        <w:rPr>
          <w:color w:val="auto"/>
          <w:sz w:val="24"/>
          <w:szCs w:val="24"/>
          <w:lang w:val="ru-RU"/>
        </w:rPr>
      </w:pPr>
      <w:r w:rsidRPr="00BD29EC">
        <w:rPr>
          <w:color w:val="auto"/>
          <w:sz w:val="24"/>
          <w:szCs w:val="24"/>
          <w:lang w:val="ru-RU"/>
        </w:rPr>
        <w:t>Доступность данных:</w:t>
      </w:r>
    </w:p>
    <w:p w:rsidR="002878C7" w:rsidRPr="00BD29EC" w:rsidRDefault="002878C7" w:rsidP="002878C7">
      <w:r w:rsidRPr="002878C7">
        <w:t>Данные будут доступны для всех государств-членов.</w:t>
      </w:r>
    </w:p>
    <w:p w:rsidR="0075371E" w:rsidRDefault="0075371E" w:rsidP="0075371E">
      <w:pPr>
        <w:pStyle w:val="MText"/>
        <w:rPr>
          <w:color w:val="auto"/>
          <w:sz w:val="24"/>
          <w:szCs w:val="24"/>
          <w:lang w:val="ru-RU"/>
        </w:rPr>
      </w:pPr>
      <w:r w:rsidRPr="00BD29EC">
        <w:rPr>
          <w:color w:val="auto"/>
          <w:sz w:val="24"/>
          <w:szCs w:val="24"/>
          <w:lang w:val="ru-RU"/>
        </w:rPr>
        <w:t>Временные ряды:</w:t>
      </w:r>
    </w:p>
    <w:p w:rsidR="002878C7" w:rsidRPr="00BD29EC" w:rsidRDefault="002878C7" w:rsidP="002878C7">
      <w:r w:rsidRPr="002878C7">
        <w:t>Сбор национальных данных по региональным морям уже существует для многих региональных морей, эти данные будут собраны для отчетности по ЦУР в 2020 году. Отчетность будет представляться каждые 5 лет, поскольку разработка политики требует времени.</w:t>
      </w:r>
    </w:p>
    <w:p w:rsidR="0075371E" w:rsidRDefault="0075371E" w:rsidP="0075371E">
      <w:pPr>
        <w:pStyle w:val="MText"/>
        <w:rPr>
          <w:color w:val="auto"/>
          <w:sz w:val="24"/>
          <w:szCs w:val="24"/>
          <w:lang w:val="ru-RU"/>
        </w:rPr>
      </w:pPr>
      <w:r w:rsidRPr="00BD29EC">
        <w:rPr>
          <w:color w:val="auto"/>
          <w:sz w:val="24"/>
          <w:szCs w:val="24"/>
          <w:lang w:val="ru-RU"/>
        </w:rPr>
        <w:t>Разбивка:</w:t>
      </w:r>
    </w:p>
    <w:p w:rsidR="002878C7" w:rsidRPr="00BD29EC" w:rsidRDefault="002878C7" w:rsidP="002878C7">
      <w:r w:rsidRPr="002878C7">
        <w:t>Геопространственная карта областей, охватываемых планом, рекомендуется для принятия решений на национальном уровне.</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2E15F9" w:rsidRDefault="00F92D6F" w:rsidP="0075371E">
      <w:pPr>
        <w:pStyle w:val="MText"/>
        <w:rPr>
          <w:color w:val="auto"/>
          <w:sz w:val="24"/>
          <w:szCs w:val="24"/>
          <w:lang w:val="ru-RU"/>
        </w:rPr>
      </w:pPr>
      <w:r>
        <w:rPr>
          <w:color w:val="auto"/>
          <w:sz w:val="24"/>
          <w:szCs w:val="24"/>
          <w:lang w:val="ru-RU"/>
        </w:rPr>
        <w:t>Не применимо</w:t>
      </w:r>
      <w:r w:rsidR="0075371E" w:rsidRPr="00BD29EC">
        <w:rPr>
          <w:color w:val="auto"/>
          <w:sz w:val="24"/>
          <w:szCs w:val="24"/>
          <w:lang w:val="ru-RU"/>
        </w:rPr>
        <w:t>.</w:t>
      </w:r>
    </w:p>
    <w:p w:rsidR="00040034" w:rsidRDefault="00040034" w:rsidP="00040034">
      <w:pPr>
        <w:pBdr>
          <w:bottom w:val="single" w:sz="12" w:space="4" w:color="DDDDDD"/>
        </w:pBdr>
        <w:shd w:val="clear" w:color="auto" w:fill="FFFFFF"/>
        <w:spacing w:after="100"/>
        <w:outlineLvl w:val="2"/>
        <w:rPr>
          <w:rFonts w:eastAsia="Times New Roman"/>
          <w:b/>
          <w:szCs w:val="24"/>
          <w:lang w:eastAsia="en-GB"/>
        </w:rPr>
      </w:pPr>
      <w:r w:rsidRPr="00040034">
        <w:rPr>
          <w:rFonts w:eastAsia="Times New Roman"/>
          <w:b/>
          <w:szCs w:val="24"/>
          <w:lang w:val="en-US" w:eastAsia="en-GB"/>
        </w:rPr>
        <w:t xml:space="preserve">7. </w:t>
      </w:r>
      <w:r>
        <w:rPr>
          <w:rFonts w:eastAsia="Times New Roman"/>
          <w:b/>
          <w:szCs w:val="24"/>
          <w:lang w:eastAsia="en-GB"/>
        </w:rPr>
        <w:t>Ссылкиидокументы</w:t>
      </w:r>
    </w:p>
    <w:p w:rsidR="002878C7" w:rsidRPr="002878C7" w:rsidRDefault="002878C7" w:rsidP="002878C7">
      <w:pPr>
        <w:rPr>
          <w:lang w:eastAsia="en-GB"/>
        </w:rPr>
      </w:pPr>
      <w:r w:rsidRPr="002878C7">
        <w:rPr>
          <w:lang w:eastAsia="en-GB"/>
        </w:rPr>
        <w:t xml:space="preserve">Веб-сайт региональных морей: </w:t>
      </w:r>
      <w:r w:rsidRPr="002878C7">
        <w:rPr>
          <w:lang w:val="en-US" w:eastAsia="en-GB"/>
        </w:rPr>
        <w:t>https</w:t>
      </w:r>
      <w:r w:rsidRPr="002878C7">
        <w:rPr>
          <w:lang w:eastAsia="en-GB"/>
        </w:rPr>
        <w:t>://</w:t>
      </w:r>
      <w:r w:rsidRPr="002878C7">
        <w:rPr>
          <w:lang w:val="en-US" w:eastAsia="en-GB"/>
        </w:rPr>
        <w:t>www</w:t>
      </w:r>
      <w:r w:rsidRPr="002878C7">
        <w:rPr>
          <w:lang w:eastAsia="en-GB"/>
        </w:rPr>
        <w:t>.</w:t>
      </w:r>
      <w:r w:rsidRPr="002878C7">
        <w:rPr>
          <w:lang w:val="en-US" w:eastAsia="en-GB"/>
        </w:rPr>
        <w:t>unenvironment</w:t>
      </w:r>
      <w:r w:rsidRPr="002878C7">
        <w:rPr>
          <w:lang w:eastAsia="en-GB"/>
        </w:rPr>
        <w:t>.</w:t>
      </w:r>
      <w:r w:rsidRPr="002878C7">
        <w:rPr>
          <w:lang w:val="en-US" w:eastAsia="en-GB"/>
        </w:rPr>
        <w:t>org</w:t>
      </w:r>
      <w:r w:rsidRPr="002878C7">
        <w:rPr>
          <w:lang w:eastAsia="en-GB"/>
        </w:rPr>
        <w:t>/</w:t>
      </w:r>
      <w:r w:rsidRPr="002878C7">
        <w:rPr>
          <w:lang w:val="en-US" w:eastAsia="en-GB"/>
        </w:rPr>
        <w:t>explore</w:t>
      </w:r>
      <w:r w:rsidRPr="002878C7">
        <w:rPr>
          <w:lang w:eastAsia="en-GB"/>
        </w:rPr>
        <w:t>-</w:t>
      </w:r>
      <w:r w:rsidRPr="002878C7">
        <w:rPr>
          <w:lang w:val="en-US" w:eastAsia="en-GB"/>
        </w:rPr>
        <w:t>topics</w:t>
      </w:r>
      <w:r w:rsidRPr="002878C7">
        <w:rPr>
          <w:lang w:eastAsia="en-GB"/>
        </w:rPr>
        <w:t>/</w:t>
      </w:r>
      <w:r w:rsidRPr="002878C7">
        <w:rPr>
          <w:lang w:val="en-US" w:eastAsia="en-GB"/>
        </w:rPr>
        <w:t>oceans</w:t>
      </w:r>
      <w:r w:rsidRPr="002878C7">
        <w:rPr>
          <w:lang w:eastAsia="en-GB"/>
        </w:rPr>
        <w:t>-</w:t>
      </w:r>
      <w:r w:rsidRPr="002878C7">
        <w:rPr>
          <w:lang w:val="en-US" w:eastAsia="en-GB"/>
        </w:rPr>
        <w:t>seas</w:t>
      </w:r>
      <w:r w:rsidRPr="002878C7">
        <w:rPr>
          <w:lang w:eastAsia="en-GB"/>
        </w:rPr>
        <w:t>/</w:t>
      </w:r>
      <w:r w:rsidRPr="002878C7">
        <w:rPr>
          <w:lang w:val="en-US" w:eastAsia="en-GB"/>
        </w:rPr>
        <w:t>what</w:t>
      </w:r>
      <w:r w:rsidRPr="002878C7">
        <w:rPr>
          <w:lang w:eastAsia="en-GB"/>
        </w:rPr>
        <w:t>-</w:t>
      </w:r>
      <w:r w:rsidRPr="002878C7">
        <w:rPr>
          <w:lang w:val="en-US" w:eastAsia="en-GB"/>
        </w:rPr>
        <w:t>we</w:t>
      </w:r>
      <w:r w:rsidRPr="002878C7">
        <w:rPr>
          <w:lang w:eastAsia="en-GB"/>
        </w:rPr>
        <w:t>-</w:t>
      </w:r>
      <w:r w:rsidRPr="002878C7">
        <w:rPr>
          <w:lang w:val="en-US" w:eastAsia="en-GB"/>
        </w:rPr>
        <w:t>do</w:t>
      </w:r>
      <w:r w:rsidRPr="002878C7">
        <w:rPr>
          <w:lang w:eastAsia="en-GB"/>
        </w:rPr>
        <w:t>/</w:t>
      </w:r>
      <w:r w:rsidRPr="002878C7">
        <w:rPr>
          <w:lang w:val="en-US" w:eastAsia="en-GB"/>
        </w:rPr>
        <w:t>working</w:t>
      </w:r>
      <w:r w:rsidRPr="002878C7">
        <w:rPr>
          <w:lang w:eastAsia="en-GB"/>
        </w:rPr>
        <w:t>-</w:t>
      </w:r>
      <w:r w:rsidRPr="002878C7">
        <w:rPr>
          <w:lang w:val="en-US" w:eastAsia="en-GB"/>
        </w:rPr>
        <w:t>regional</w:t>
      </w:r>
      <w:r w:rsidRPr="002878C7">
        <w:rPr>
          <w:lang w:eastAsia="en-GB"/>
        </w:rPr>
        <w:t>-</w:t>
      </w:r>
      <w:r w:rsidRPr="002878C7">
        <w:rPr>
          <w:lang w:val="en-US" w:eastAsia="en-GB"/>
        </w:rPr>
        <w:t>seas</w:t>
      </w:r>
      <w:r w:rsidRPr="002878C7">
        <w:rPr>
          <w:lang w:eastAsia="en-GB"/>
        </w:rPr>
        <w:t>.</w:t>
      </w:r>
      <w:bookmarkStart w:id="5" w:name="_GoBack"/>
      <w:bookmarkEnd w:id="5"/>
    </w:p>
    <w:p w:rsidR="002878C7" w:rsidRPr="002878C7" w:rsidRDefault="002878C7" w:rsidP="002878C7">
      <w:pPr>
        <w:rPr>
          <w:lang w:eastAsia="en-GB"/>
        </w:rPr>
      </w:pPr>
      <w:r w:rsidRPr="002878C7">
        <w:rPr>
          <w:lang w:eastAsia="en-GB"/>
        </w:rPr>
        <w:lastRenderedPageBreak/>
        <w:t>Глобальное руководство ЮНЕП по статистике океана для измерения ЦУР 14.1</w:t>
      </w:r>
      <w:r>
        <w:rPr>
          <w:lang w:eastAsia="en-GB"/>
        </w:rPr>
        <w:t>.1, 14.2.1 и 14.5.1 (ожидается)</w:t>
      </w:r>
    </w:p>
    <w:p w:rsidR="002878C7" w:rsidRPr="002878C7" w:rsidRDefault="002878C7" w:rsidP="002878C7">
      <w:pPr>
        <w:rPr>
          <w:lang w:eastAsia="en-GB"/>
        </w:rPr>
      </w:pPr>
      <w:r w:rsidRPr="002878C7">
        <w:rPr>
          <w:lang w:val="en-US" w:eastAsia="en-GB"/>
        </w:rPr>
        <w:t>ICZM</w:t>
      </w:r>
      <w:r w:rsidRPr="002878C7">
        <w:rPr>
          <w:lang w:eastAsia="en-GB"/>
        </w:rPr>
        <w:t xml:space="preserve"> (и Морское пространственное планирование (</w:t>
      </w:r>
      <w:r w:rsidRPr="002878C7">
        <w:rPr>
          <w:lang w:val="en-US" w:eastAsia="en-GB"/>
        </w:rPr>
        <w:t>MSP</w:t>
      </w:r>
      <w:r w:rsidRPr="002878C7">
        <w:rPr>
          <w:lang w:eastAsia="en-GB"/>
        </w:rPr>
        <w:t xml:space="preserve">)) для мониторинга ЦУР 14.1.1: </w:t>
      </w:r>
      <w:r w:rsidRPr="002878C7">
        <w:rPr>
          <w:lang w:val="en-US" w:eastAsia="en-GB"/>
        </w:rPr>
        <w:t>https</w:t>
      </w:r>
      <w:r w:rsidRPr="002878C7">
        <w:rPr>
          <w:lang w:eastAsia="en-GB"/>
        </w:rPr>
        <w:t>://</w:t>
      </w:r>
      <w:r w:rsidRPr="002878C7">
        <w:rPr>
          <w:lang w:val="en-US" w:eastAsia="en-GB"/>
        </w:rPr>
        <w:t>wedocs</w:t>
      </w:r>
      <w:r w:rsidRPr="002878C7">
        <w:rPr>
          <w:lang w:eastAsia="en-GB"/>
        </w:rPr>
        <w:t>.</w:t>
      </w:r>
      <w:r w:rsidRPr="002878C7">
        <w:rPr>
          <w:lang w:val="en-US" w:eastAsia="en-GB"/>
        </w:rPr>
        <w:t>unep</w:t>
      </w:r>
      <w:r w:rsidRPr="002878C7">
        <w:rPr>
          <w:lang w:eastAsia="en-GB"/>
        </w:rPr>
        <w:t>.</w:t>
      </w:r>
      <w:r w:rsidRPr="002878C7">
        <w:rPr>
          <w:lang w:val="en-US" w:eastAsia="en-GB"/>
        </w:rPr>
        <w:t>org</w:t>
      </w:r>
      <w:r w:rsidRPr="002878C7">
        <w:rPr>
          <w:lang w:eastAsia="en-GB"/>
        </w:rPr>
        <w:t>/</w:t>
      </w:r>
      <w:r w:rsidRPr="002878C7">
        <w:rPr>
          <w:lang w:val="en-US" w:eastAsia="en-GB"/>
        </w:rPr>
        <w:t>bitstream</w:t>
      </w:r>
      <w:r w:rsidRPr="002878C7">
        <w:rPr>
          <w:lang w:eastAsia="en-GB"/>
        </w:rPr>
        <w:t>/</w:t>
      </w:r>
      <w:r w:rsidRPr="002878C7">
        <w:rPr>
          <w:lang w:val="en-US" w:eastAsia="en-GB"/>
        </w:rPr>
        <w:t>handle</w:t>
      </w:r>
      <w:r w:rsidRPr="002878C7">
        <w:rPr>
          <w:lang w:eastAsia="en-GB"/>
        </w:rPr>
        <w:t>/20.500.11822/26440/</w:t>
      </w:r>
      <w:r w:rsidRPr="002878C7">
        <w:rPr>
          <w:lang w:val="en-US" w:eastAsia="en-GB"/>
        </w:rPr>
        <w:t>MSP</w:t>
      </w:r>
      <w:r w:rsidRPr="002878C7">
        <w:rPr>
          <w:lang w:eastAsia="en-GB"/>
        </w:rPr>
        <w:t>_</w:t>
      </w:r>
      <w:r w:rsidRPr="002878C7">
        <w:rPr>
          <w:lang w:val="en-US" w:eastAsia="en-GB"/>
        </w:rPr>
        <w:t>ICZM</w:t>
      </w:r>
      <w:r w:rsidRPr="002878C7">
        <w:rPr>
          <w:lang w:eastAsia="en-GB"/>
        </w:rPr>
        <w:t>_</w:t>
      </w:r>
      <w:r w:rsidRPr="002878C7">
        <w:rPr>
          <w:lang w:val="en-US" w:eastAsia="en-GB"/>
        </w:rPr>
        <w:t>Guidelines</w:t>
      </w:r>
      <w:r w:rsidRPr="002878C7">
        <w:rPr>
          <w:lang w:eastAsia="en-GB"/>
        </w:rPr>
        <w:t>.</w:t>
      </w:r>
      <w:r w:rsidRPr="002878C7">
        <w:rPr>
          <w:lang w:val="en-US" w:eastAsia="en-GB"/>
        </w:rPr>
        <w:t>pdf</w:t>
      </w:r>
      <w:r w:rsidRPr="002878C7">
        <w:rPr>
          <w:lang w:eastAsia="en-GB"/>
        </w:rPr>
        <w:t>?</w:t>
      </w:r>
      <w:r w:rsidRPr="002878C7">
        <w:rPr>
          <w:lang w:val="en-US" w:eastAsia="en-GB"/>
        </w:rPr>
        <w:t>sequence</w:t>
      </w:r>
      <w:r w:rsidRPr="002878C7">
        <w:rPr>
          <w:lang w:eastAsia="en-GB"/>
        </w:rPr>
        <w:t>=1&amp;</w:t>
      </w:r>
      <w:r w:rsidRPr="002878C7">
        <w:rPr>
          <w:lang w:val="en-US" w:eastAsia="en-GB"/>
        </w:rPr>
        <w:t>isAllowed</w:t>
      </w:r>
      <w:r w:rsidRPr="002878C7">
        <w:rPr>
          <w:lang w:eastAsia="en-GB"/>
        </w:rPr>
        <w:t>=</w:t>
      </w:r>
      <w:r w:rsidRPr="002878C7">
        <w:rPr>
          <w:lang w:val="en-US" w:eastAsia="en-GB"/>
        </w:rPr>
        <w:t>y</w:t>
      </w:r>
    </w:p>
    <w:sectPr w:rsidR="002878C7" w:rsidRPr="002878C7" w:rsidSect="00B50584">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B81" w:rsidRDefault="00B22B81" w:rsidP="00F73DBC">
      <w:pPr>
        <w:spacing w:after="0" w:line="240" w:lineRule="auto"/>
      </w:pPr>
      <w:r>
        <w:separator/>
      </w:r>
    </w:p>
  </w:endnote>
  <w:endnote w:type="continuationSeparator" w:id="1">
    <w:p w:rsidR="00B22B81" w:rsidRDefault="00B22B81" w:rsidP="00F73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B81" w:rsidRDefault="00B22B81" w:rsidP="00F73DBC">
      <w:pPr>
        <w:spacing w:after="0" w:line="240" w:lineRule="auto"/>
      </w:pPr>
      <w:r>
        <w:separator/>
      </w:r>
    </w:p>
  </w:footnote>
  <w:footnote w:type="continuationSeparator" w:id="1">
    <w:p w:rsidR="00B22B81" w:rsidRDefault="00B22B81" w:rsidP="00F73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8D1" w:rsidRPr="00087B96" w:rsidRDefault="009508D1" w:rsidP="009508D1">
    <w:pPr>
      <w:pStyle w:val="af"/>
      <w:jc w:val="right"/>
      <w:rPr>
        <w:i/>
      </w:rPr>
    </w:pPr>
    <w:r w:rsidRPr="00087B96">
      <w:rPr>
        <w:i/>
      </w:rPr>
      <w:t xml:space="preserve">Неофициальный перевод </w:t>
    </w:r>
  </w:p>
  <w:p w:rsidR="009508D1" w:rsidRPr="00087B96" w:rsidRDefault="009508D1" w:rsidP="009508D1">
    <w:pPr>
      <w:pStyle w:val="af"/>
      <w:jc w:val="right"/>
    </w:pPr>
    <w:r w:rsidRPr="00087B96">
      <w:t xml:space="preserve">Последнее обновление: </w:t>
    </w:r>
    <w:r w:rsidR="00F85991">
      <w:t>июл</w:t>
    </w:r>
    <w:r w:rsidR="007D1FD7">
      <w:t>ь</w:t>
    </w:r>
    <w:r w:rsidR="00781DE7" w:rsidRPr="00087B96">
      <w:t xml:space="preserve"> 2022</w:t>
    </w:r>
  </w:p>
  <w:p w:rsidR="009508D1" w:rsidRDefault="009508D1">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6441"/>
    <w:multiLevelType w:val="hybridMultilevel"/>
    <w:tmpl w:val="D422B3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A618FC"/>
    <w:rsid w:val="00004BE3"/>
    <w:rsid w:val="00040034"/>
    <w:rsid w:val="000476F9"/>
    <w:rsid w:val="00053D20"/>
    <w:rsid w:val="00087B96"/>
    <w:rsid w:val="000A210D"/>
    <w:rsid w:val="000A229E"/>
    <w:rsid w:val="000C5EF5"/>
    <w:rsid w:val="000F3B83"/>
    <w:rsid w:val="00116248"/>
    <w:rsid w:val="001470A2"/>
    <w:rsid w:val="00147D8F"/>
    <w:rsid w:val="001612F6"/>
    <w:rsid w:val="00165896"/>
    <w:rsid w:val="001762D0"/>
    <w:rsid w:val="001A163A"/>
    <w:rsid w:val="001E2FC9"/>
    <w:rsid w:val="002064C4"/>
    <w:rsid w:val="002306F8"/>
    <w:rsid w:val="00274011"/>
    <w:rsid w:val="002878C7"/>
    <w:rsid w:val="00291FA0"/>
    <w:rsid w:val="002C7BF9"/>
    <w:rsid w:val="002E122C"/>
    <w:rsid w:val="002E15F9"/>
    <w:rsid w:val="002F63E5"/>
    <w:rsid w:val="00303D71"/>
    <w:rsid w:val="003143BC"/>
    <w:rsid w:val="00331739"/>
    <w:rsid w:val="003746BC"/>
    <w:rsid w:val="003859BD"/>
    <w:rsid w:val="003A325C"/>
    <w:rsid w:val="003D58DC"/>
    <w:rsid w:val="003D7A38"/>
    <w:rsid w:val="00407AF0"/>
    <w:rsid w:val="00407E4E"/>
    <w:rsid w:val="004143B4"/>
    <w:rsid w:val="00421928"/>
    <w:rsid w:val="004344AC"/>
    <w:rsid w:val="00456E71"/>
    <w:rsid w:val="004D2413"/>
    <w:rsid w:val="004E087E"/>
    <w:rsid w:val="00503B4A"/>
    <w:rsid w:val="00587D0B"/>
    <w:rsid w:val="005E47BD"/>
    <w:rsid w:val="005F2C0B"/>
    <w:rsid w:val="00602FAB"/>
    <w:rsid w:val="006704C2"/>
    <w:rsid w:val="00682107"/>
    <w:rsid w:val="00694160"/>
    <w:rsid w:val="006B260E"/>
    <w:rsid w:val="006B3939"/>
    <w:rsid w:val="006C43F8"/>
    <w:rsid w:val="006D7049"/>
    <w:rsid w:val="00702333"/>
    <w:rsid w:val="00705161"/>
    <w:rsid w:val="00741A39"/>
    <w:rsid w:val="0075371E"/>
    <w:rsid w:val="00753F18"/>
    <w:rsid w:val="00780F08"/>
    <w:rsid w:val="00781DE7"/>
    <w:rsid w:val="007B07B2"/>
    <w:rsid w:val="007B0CFD"/>
    <w:rsid w:val="007B32CE"/>
    <w:rsid w:val="007C27E0"/>
    <w:rsid w:val="007D1185"/>
    <w:rsid w:val="007D1FD7"/>
    <w:rsid w:val="007E5FE7"/>
    <w:rsid w:val="007F06DF"/>
    <w:rsid w:val="008138AD"/>
    <w:rsid w:val="00836F3E"/>
    <w:rsid w:val="00853C09"/>
    <w:rsid w:val="00864C1A"/>
    <w:rsid w:val="009508D1"/>
    <w:rsid w:val="00957A62"/>
    <w:rsid w:val="00963238"/>
    <w:rsid w:val="009655B4"/>
    <w:rsid w:val="009737AE"/>
    <w:rsid w:val="00980F79"/>
    <w:rsid w:val="00982FE8"/>
    <w:rsid w:val="009C064B"/>
    <w:rsid w:val="009F43A6"/>
    <w:rsid w:val="00A110F9"/>
    <w:rsid w:val="00A53D4B"/>
    <w:rsid w:val="00A618FC"/>
    <w:rsid w:val="00A71EC6"/>
    <w:rsid w:val="00A82CD3"/>
    <w:rsid w:val="00A91FDE"/>
    <w:rsid w:val="00AC1A97"/>
    <w:rsid w:val="00B0378B"/>
    <w:rsid w:val="00B22B81"/>
    <w:rsid w:val="00B50584"/>
    <w:rsid w:val="00B518DC"/>
    <w:rsid w:val="00B72F77"/>
    <w:rsid w:val="00BD29EC"/>
    <w:rsid w:val="00BE2C5D"/>
    <w:rsid w:val="00BE415C"/>
    <w:rsid w:val="00C47A4A"/>
    <w:rsid w:val="00C515AF"/>
    <w:rsid w:val="00C81743"/>
    <w:rsid w:val="00C8596F"/>
    <w:rsid w:val="00C90708"/>
    <w:rsid w:val="00C95AB2"/>
    <w:rsid w:val="00CA1CB1"/>
    <w:rsid w:val="00CA53CA"/>
    <w:rsid w:val="00D05466"/>
    <w:rsid w:val="00D24402"/>
    <w:rsid w:val="00D2619D"/>
    <w:rsid w:val="00D52D10"/>
    <w:rsid w:val="00D853D8"/>
    <w:rsid w:val="00DA19D7"/>
    <w:rsid w:val="00DC18AA"/>
    <w:rsid w:val="00E123F7"/>
    <w:rsid w:val="00E21B43"/>
    <w:rsid w:val="00E27922"/>
    <w:rsid w:val="00E33CA8"/>
    <w:rsid w:val="00E559F9"/>
    <w:rsid w:val="00E90BD4"/>
    <w:rsid w:val="00EA206F"/>
    <w:rsid w:val="00EB362A"/>
    <w:rsid w:val="00EB389E"/>
    <w:rsid w:val="00EE0900"/>
    <w:rsid w:val="00F374BA"/>
    <w:rsid w:val="00F53A75"/>
    <w:rsid w:val="00F5412C"/>
    <w:rsid w:val="00F6371F"/>
    <w:rsid w:val="00F73DBC"/>
    <w:rsid w:val="00F84FF1"/>
    <w:rsid w:val="00F85991"/>
    <w:rsid w:val="00F92D6F"/>
    <w:rsid w:val="00FB66D9"/>
    <w:rsid w:val="00FC5800"/>
    <w:rsid w:val="00FE3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spacing w:after="200" w:line="276" w:lineRule="auto"/>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heading 2,List Paragraph 1"/>
    <w:basedOn w:val="a"/>
    <w:link w:val="ac"/>
    <w:uiPriority w:val="34"/>
    <w:qFormat/>
    <w:rsid w:val="007B0CFD"/>
    <w:pPr>
      <w:ind w:left="720"/>
      <w:contextualSpacing/>
    </w:pPr>
    <w:rPr>
      <w:szCs w:val="20"/>
      <w:lang/>
    </w:rPr>
  </w:style>
  <w:style w:type="character" w:styleId="ad">
    <w:name w:val="Hyperlink"/>
    <w:basedOn w:val="a0"/>
    <w:uiPriority w:val="99"/>
    <w:unhideWhenUsed/>
    <w:rsid w:val="00EB389E"/>
    <w:rPr>
      <w:color w:val="0000FF"/>
      <w:u w:val="single"/>
    </w:rPr>
  </w:style>
  <w:style w:type="table" w:customStyle="1" w:styleId="ae">
    <w:name w:val="Light Shading"/>
    <w:basedOn w:val="a1"/>
    <w:uiPriority w:val="60"/>
    <w:rsid w:val="000A210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
    <w:name w:val="header"/>
    <w:basedOn w:val="a"/>
    <w:link w:val="af0"/>
    <w:uiPriority w:val="99"/>
    <w:unhideWhenUsed/>
    <w:rsid w:val="009508D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508D1"/>
  </w:style>
  <w:style w:type="paragraph" w:styleId="af1">
    <w:name w:val="footer"/>
    <w:basedOn w:val="a"/>
    <w:link w:val="af2"/>
    <w:uiPriority w:val="99"/>
    <w:unhideWhenUsed/>
    <w:rsid w:val="009508D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508D1"/>
  </w:style>
  <w:style w:type="paragraph" w:styleId="af3">
    <w:name w:val="annotation text"/>
    <w:basedOn w:val="a"/>
    <w:link w:val="af4"/>
    <w:uiPriority w:val="99"/>
    <w:unhideWhenUsed/>
    <w:rsid w:val="00A91FDE"/>
    <w:pPr>
      <w:spacing w:line="240" w:lineRule="auto"/>
    </w:pPr>
    <w:rPr>
      <w:rFonts w:eastAsia="Times New Roman"/>
      <w:sz w:val="20"/>
      <w:szCs w:val="20"/>
      <w:lang w:val="en-GB" w:eastAsia="zh-CN"/>
    </w:rPr>
  </w:style>
  <w:style w:type="character" w:customStyle="1" w:styleId="af4">
    <w:name w:val="Текст примечания Знак"/>
    <w:basedOn w:val="a0"/>
    <w:link w:val="af3"/>
    <w:uiPriority w:val="99"/>
    <w:rsid w:val="00A91FDE"/>
    <w:rPr>
      <w:rFonts w:eastAsia="Times New Roman"/>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rPr>
      <w:rFonts w:eastAsia="Times New Roman"/>
      <w:lang w:val="en-GB" w:eastAsia="zh-CN"/>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pPr>
    <w:rPr>
      <w:rFonts w:cs="Calibri"/>
      <w:color w:val="000000"/>
      <w:sz w:val="24"/>
      <w:szCs w:val="24"/>
      <w:lang w:eastAsia="en-US"/>
    </w:rPr>
  </w:style>
  <w:style w:type="character" w:customStyle="1" w:styleId="ac">
    <w:name w:val="Абзац списка Знак"/>
    <w:aliases w:val="heading 2 Знак,List Paragraph 1 Знак"/>
    <w:link w:val="ab"/>
    <w:uiPriority w:val="34"/>
    <w:rsid w:val="0033173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docs.unep.org/bitstream/handle/20.500.11822/27295/ocean_SDG.pdf?sequence=1&amp;isAllowe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environment.org/explore-topics/oceans-seas/what-we-do/working-regional-sea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26B2-025E-40FE-B93A-E074F8CD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1471</Words>
  <Characters>8389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9841</CharactersWithSpaces>
  <SharedDoc>false</SharedDoc>
  <HLinks>
    <vt:vector size="12" baseType="variant">
      <vt:variant>
        <vt:i4>1114185</vt:i4>
      </vt:variant>
      <vt:variant>
        <vt:i4>3</vt:i4>
      </vt:variant>
      <vt:variant>
        <vt:i4>0</vt:i4>
      </vt:variant>
      <vt:variant>
        <vt:i4>5</vt:i4>
      </vt:variant>
      <vt:variant>
        <vt:lpwstr>https://www.unenvironment.org/explore-topics/oceans-seas/what-we-do/working-regional-seas</vt:lpwstr>
      </vt:variant>
      <vt:variant>
        <vt:lpwstr/>
      </vt:variant>
      <vt:variant>
        <vt:i4>2752589</vt:i4>
      </vt:variant>
      <vt:variant>
        <vt:i4>0</vt:i4>
      </vt:variant>
      <vt:variant>
        <vt:i4>0</vt:i4>
      </vt:variant>
      <vt:variant>
        <vt:i4>5</vt:i4>
      </vt:variant>
      <vt:variant>
        <vt:lpwstr>https://wedocs.unep.org/bitstream/handle/20.500.11822/27295/ocean_SDG.pdf?sequence=1&amp;isAllowed=y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a.abraeva</cp:lastModifiedBy>
  <cp:revision>2</cp:revision>
  <dcterms:created xsi:type="dcterms:W3CDTF">2023-02-02T04:39:00Z</dcterms:created>
  <dcterms:modified xsi:type="dcterms:W3CDTF">2023-02-02T04:39:00Z</dcterms:modified>
</cp:coreProperties>
</file>