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02" w:rsidRPr="007D10FD" w:rsidRDefault="007D10FD" w:rsidP="000902F0">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0902F0" w:rsidRPr="007D10FD">
        <w:rPr>
          <w:rFonts w:ascii="Times New Roman" w:hAnsi="Times New Roman" w:cs="Times New Roman"/>
          <w:b/>
          <w:sz w:val="24"/>
          <w:szCs w:val="24"/>
        </w:rPr>
        <w:t>9. Создание стойкой инфраструктуры, содействие всеохватной и устойчивой индустриализации и инновациям</w:t>
      </w:r>
    </w:p>
    <w:p w:rsidR="000902F0" w:rsidRPr="007D10FD" w:rsidRDefault="000902F0"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9.</w:t>
      </w:r>
      <w:r w:rsidRPr="007D10FD">
        <w:rPr>
          <w:rFonts w:ascii="Times New Roman" w:hAnsi="Times New Roman" w:cs="Times New Roman"/>
          <w:b/>
          <w:sz w:val="24"/>
          <w:szCs w:val="24"/>
          <w:lang w:val="en-US"/>
        </w:rPr>
        <w:t>c</w:t>
      </w:r>
      <w:r w:rsidRPr="007D10FD">
        <w:rPr>
          <w:rFonts w:ascii="Times New Roman" w:hAnsi="Times New Roman" w:cs="Times New Roman"/>
          <w:b/>
          <w:sz w:val="24"/>
          <w:szCs w:val="24"/>
        </w:rPr>
        <w:t xml:space="preserve"> Существенно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w:t>
      </w:r>
    </w:p>
    <w:p w:rsidR="000902F0" w:rsidRPr="007D10FD" w:rsidRDefault="000902F0"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9.</w:t>
      </w:r>
      <w:r w:rsidRPr="007D10FD">
        <w:rPr>
          <w:rFonts w:ascii="Times New Roman" w:hAnsi="Times New Roman" w:cs="Times New Roman"/>
          <w:b/>
          <w:sz w:val="24"/>
          <w:szCs w:val="24"/>
          <w:lang w:val="en-US"/>
        </w:rPr>
        <w:t>c</w:t>
      </w:r>
      <w:r w:rsidRPr="007D10FD">
        <w:rPr>
          <w:rFonts w:ascii="Times New Roman" w:hAnsi="Times New Roman" w:cs="Times New Roman"/>
          <w:b/>
          <w:sz w:val="24"/>
          <w:szCs w:val="24"/>
        </w:rPr>
        <w:t>.1 Доля населения, охваченного мобильными сетями, в разбивке по технологиям</w:t>
      </w:r>
    </w:p>
    <w:p w:rsidR="00E77DFA" w:rsidRPr="007D10FD" w:rsidRDefault="00E77DFA"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Институциональная информация</w:t>
      </w:r>
    </w:p>
    <w:p w:rsidR="00E77DFA" w:rsidRPr="007D10FD" w:rsidRDefault="00E77DFA"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Организаци</w:t>
      </w:r>
      <w:proofErr w:type="gramStart"/>
      <w:r w:rsidRPr="007D10FD">
        <w:rPr>
          <w:rFonts w:ascii="Times New Roman" w:hAnsi="Times New Roman" w:cs="Times New Roman"/>
          <w:sz w:val="24"/>
          <w:szCs w:val="24"/>
        </w:rPr>
        <w:t>я</w:t>
      </w:r>
      <w:r w:rsidR="00C91EA9">
        <w:rPr>
          <w:rFonts w:ascii="Times New Roman" w:hAnsi="Times New Roman" w:cs="Times New Roman"/>
          <w:sz w:val="24"/>
          <w:szCs w:val="24"/>
        </w:rPr>
        <w:t>(</w:t>
      </w:r>
      <w:proofErr w:type="gramEnd"/>
      <w:r w:rsidR="00C91EA9">
        <w:rPr>
          <w:rFonts w:ascii="Times New Roman" w:hAnsi="Times New Roman" w:cs="Times New Roman"/>
          <w:sz w:val="24"/>
          <w:szCs w:val="24"/>
        </w:rPr>
        <w:t>и):</w:t>
      </w:r>
    </w:p>
    <w:p w:rsidR="00E77DFA" w:rsidRPr="007D10FD" w:rsidRDefault="00E77DFA"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Международный союз электросвязи (МСЭ)</w:t>
      </w:r>
    </w:p>
    <w:p w:rsidR="00E77DFA" w:rsidRPr="007D10FD" w:rsidRDefault="00E77DFA"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Концепции и определения</w:t>
      </w:r>
    </w:p>
    <w:p w:rsidR="00E77DFA" w:rsidRPr="007D10FD" w:rsidRDefault="00E77DFA"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Определения</w:t>
      </w:r>
    </w:p>
    <w:p w:rsidR="00E77DFA" w:rsidRPr="007D10FD" w:rsidRDefault="00E77DFA"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Доля населения, охваченного мобильной сетью, с разбивкой по технологиям, по отношению к доле жителей, проживающих в пределах диапазона мобильного сотового сигнала, независимо от того, являются ли они абонентами или пользователями мобильных телефонов. </w:t>
      </w:r>
      <w:proofErr w:type="gramStart"/>
      <w:r w:rsidRPr="007D10FD">
        <w:rPr>
          <w:rFonts w:ascii="Times New Roman" w:hAnsi="Times New Roman" w:cs="Times New Roman"/>
          <w:sz w:val="24"/>
          <w:szCs w:val="24"/>
        </w:rPr>
        <w:t xml:space="preserve">Показатель рассчитывается путем деления числа жителей в пределах диапазона мобильного сотового сигнала на общую численность населения и </w:t>
      </w:r>
      <w:r w:rsidR="00A73596" w:rsidRPr="007D10FD">
        <w:rPr>
          <w:rFonts w:ascii="Times New Roman" w:hAnsi="Times New Roman" w:cs="Times New Roman"/>
          <w:sz w:val="24"/>
          <w:szCs w:val="24"/>
        </w:rPr>
        <w:t>умноженная</w:t>
      </w:r>
      <w:r w:rsidRPr="007D10FD">
        <w:rPr>
          <w:rFonts w:ascii="Times New Roman" w:hAnsi="Times New Roman" w:cs="Times New Roman"/>
          <w:sz w:val="24"/>
          <w:szCs w:val="24"/>
        </w:rPr>
        <w:t xml:space="preserve"> на 100.</w:t>
      </w:r>
      <w:proofErr w:type="gramEnd"/>
    </w:p>
    <w:p w:rsidR="00A73596" w:rsidRPr="007D10FD" w:rsidRDefault="00A7359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Обоснование</w:t>
      </w:r>
    </w:p>
    <w:p w:rsidR="00A73596" w:rsidRPr="007D10FD" w:rsidRDefault="00A7359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Процент населения, охваченного мобильной сотовой сетью, можно рассматривать как минимальный показатель доступа населения кИКТ, поскольку сотовая сеть предоставляет людям возможность подписываться на мобильные услуги сотовой связи и использовать их для связи. За последнее десятилетие мобильные сети сотовой связи быстро расширялись и помогли преодолеть существовавшие простые инфраструктурные барьеры, потому что фиксированная телефонная сеть, часто ограничиваемая городскими и населенными районами, была доминирующей телекоммуникационной инфраструктурой.</w:t>
      </w:r>
    </w:p>
    <w:p w:rsidR="00A73596" w:rsidRPr="007D10FD" w:rsidRDefault="00A7359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Так 2G (узкополосные) мобильные сотовые сети предлагают ограниченные (и в основном голосовые) услуги, высокоскоростные сети (3G и LTE) обеспечивают все более высокоскоростной, надежный и высококачественный доступ к Интернету с его растущим объемом информации, контенту, услугам и приложениям. Поэтому мобильные сети необходимы для преодоления барьеров инфраструктуры, оказания помощи людям в информационном обществе и использования потенциала ИКТ, особенно в наименее развитых странах.</w:t>
      </w:r>
    </w:p>
    <w:p w:rsidR="00A73596" w:rsidRPr="007D10FD" w:rsidRDefault="00A7359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Индикатор отражает важность мобильных сетей в предоставлении основных, а также передовых услуг связи и помочи в разработке целенаправленной политики для преодоления оставшихся инфраструктурных барьеров, и </w:t>
      </w:r>
      <w:r w:rsidR="00E47E06" w:rsidRPr="007D10FD">
        <w:rPr>
          <w:rFonts w:ascii="Times New Roman" w:hAnsi="Times New Roman" w:cs="Times New Roman"/>
          <w:sz w:val="24"/>
          <w:szCs w:val="24"/>
        </w:rPr>
        <w:t>выступает</w:t>
      </w:r>
      <w:r w:rsidRPr="007D10FD">
        <w:rPr>
          <w:rFonts w:ascii="Times New Roman" w:hAnsi="Times New Roman" w:cs="Times New Roman"/>
          <w:sz w:val="24"/>
          <w:szCs w:val="24"/>
        </w:rPr>
        <w:t xml:space="preserve"> цифрового разрыва. Многие правительства рассчитывают данный показатель и задают конкретные цели с точки зрения охвата населения мобильными сетями (по технологии), которые должны выполнять операторы.</w:t>
      </w:r>
    </w:p>
    <w:p w:rsidR="00E47E06" w:rsidRPr="007D10FD" w:rsidRDefault="00E47E06"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Концепции</w:t>
      </w:r>
    </w:p>
    <w:p w:rsidR="000110B3" w:rsidRPr="007D10FD" w:rsidRDefault="000110B3"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«Показатель разрабатывается на месте жительства индивида, место работы, учебы в данном случае не учитывается. В случае</w:t>
      </w:r>
      <w:proofErr w:type="gramStart"/>
      <w:r w:rsidRPr="007D10FD">
        <w:rPr>
          <w:rFonts w:ascii="Times New Roman" w:hAnsi="Times New Roman" w:cs="Times New Roman"/>
          <w:sz w:val="24"/>
          <w:szCs w:val="24"/>
        </w:rPr>
        <w:t>,</w:t>
      </w:r>
      <w:proofErr w:type="gramEnd"/>
      <w:r w:rsidRPr="007D10FD">
        <w:rPr>
          <w:rFonts w:ascii="Times New Roman" w:hAnsi="Times New Roman" w:cs="Times New Roman"/>
          <w:sz w:val="24"/>
          <w:szCs w:val="24"/>
        </w:rPr>
        <w:t xml:space="preserve"> если в одной области более чем один оператор предлагает услугу, учитывается максимально количество охваченного населения. При этом </w:t>
      </w:r>
      <w:r w:rsidR="00C866DB" w:rsidRPr="007D10FD">
        <w:rPr>
          <w:rFonts w:ascii="Times New Roman" w:hAnsi="Times New Roman" w:cs="Times New Roman"/>
          <w:sz w:val="24"/>
          <w:szCs w:val="24"/>
        </w:rPr>
        <w:t>включаются</w:t>
      </w:r>
      <w:r w:rsidRPr="007D10FD">
        <w:rPr>
          <w:rFonts w:ascii="Times New Roman" w:hAnsi="Times New Roman" w:cs="Times New Roman"/>
          <w:sz w:val="24"/>
          <w:szCs w:val="24"/>
        </w:rPr>
        <w:t xml:space="preserve"> LTE, широкополосные (3G) и узкополосные (2G) мобильные сотовые технологии:</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lastRenderedPageBreak/>
        <w:t>Мобильный охват населения 2G: мобильные сети, имеющие доступ к передаче данных (например, Интернет) со скоростью ниже 256 Кбит/с. Сюда включаются мобильные сотовые технологии, такие как GPRS, CDMA2000 1x и большинство реализуемых EDGE. Индикатор отражает теоретическую способность абонентов использовать услуги мобильной передачи данных не широкополосной скорости, а не количество активных пользователей таких услуг.</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Охват населения 3G: относится к проценту жителей, которые находятся в пределах диапазона, по меньшей мере, 3G-мобильного сотового сигнала, независимо от того, являются ли они пользователями.  Показатель рассчитывается путем деления числа жителей, охваченных, по меньшей мере, 3G-сотовым сигналом от общей численности населения и умножением на 100. Это исключает людей, охваченных только GPRS, EDGE или CDMA 1xRTT.</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Покрытие населения LTE: относится к проценту жителей, которые живут в диапазоне LTE / </w:t>
      </w:r>
      <w:proofErr w:type="spellStart"/>
      <w:r w:rsidRPr="007D10FD">
        <w:rPr>
          <w:rFonts w:ascii="Times New Roman" w:hAnsi="Times New Roman" w:cs="Times New Roman"/>
          <w:sz w:val="24"/>
          <w:szCs w:val="24"/>
        </w:rPr>
        <w:t>LTE-Advanced</w:t>
      </w:r>
      <w:proofErr w:type="spellEnd"/>
      <w:r w:rsidRPr="007D10FD">
        <w:rPr>
          <w:rFonts w:ascii="Times New Roman" w:hAnsi="Times New Roman" w:cs="Times New Roman"/>
          <w:sz w:val="24"/>
          <w:szCs w:val="24"/>
        </w:rPr>
        <w:t xml:space="preserve">, мобильных </w:t>
      </w:r>
      <w:proofErr w:type="spellStart"/>
      <w:r w:rsidRPr="007D10FD">
        <w:rPr>
          <w:rFonts w:ascii="Times New Roman" w:hAnsi="Times New Roman" w:cs="Times New Roman"/>
          <w:sz w:val="24"/>
          <w:szCs w:val="24"/>
        </w:rPr>
        <w:t>WiMAX</w:t>
      </w:r>
      <w:proofErr w:type="spellEnd"/>
      <w:r w:rsidRPr="007D10FD">
        <w:rPr>
          <w:rFonts w:ascii="Times New Roman" w:hAnsi="Times New Roman" w:cs="Times New Roman"/>
          <w:sz w:val="24"/>
          <w:szCs w:val="24"/>
        </w:rPr>
        <w:t xml:space="preserve"> / </w:t>
      </w:r>
      <w:proofErr w:type="spellStart"/>
      <w:r w:rsidRPr="007D10FD">
        <w:rPr>
          <w:rFonts w:ascii="Times New Roman" w:hAnsi="Times New Roman" w:cs="Times New Roman"/>
          <w:sz w:val="24"/>
          <w:szCs w:val="24"/>
        </w:rPr>
        <w:t>WirelessMAN</w:t>
      </w:r>
      <w:proofErr w:type="spellEnd"/>
      <w:r w:rsidRPr="007D10FD">
        <w:rPr>
          <w:rFonts w:ascii="Times New Roman" w:hAnsi="Times New Roman" w:cs="Times New Roman"/>
          <w:sz w:val="24"/>
          <w:szCs w:val="24"/>
        </w:rPr>
        <w:t xml:space="preserve"> или других более совершенных мобильных сотовых сетей, независимо от того, являются ли они пользователями. Показатель рассчитывается путем деления числа жителей, охваченных вышеупомянутыми мобильно-сотовыми технологиями, на общую численность населения и умножения на 100. Сюда не включается население, охваченное только HSPA, UMTS, EV-DO и предыдущими технологиями 3G, а также исключает фиксированный охват </w:t>
      </w:r>
      <w:proofErr w:type="spellStart"/>
      <w:r w:rsidRPr="007D10FD">
        <w:rPr>
          <w:rFonts w:ascii="Times New Roman" w:hAnsi="Times New Roman" w:cs="Times New Roman"/>
          <w:sz w:val="24"/>
          <w:szCs w:val="24"/>
        </w:rPr>
        <w:t>WiMAX</w:t>
      </w:r>
      <w:proofErr w:type="spellEnd"/>
      <w:r w:rsidRPr="007D10FD">
        <w:rPr>
          <w:rFonts w:ascii="Times New Roman" w:hAnsi="Times New Roman" w:cs="Times New Roman"/>
          <w:sz w:val="24"/>
          <w:szCs w:val="24"/>
        </w:rPr>
        <w:t>.</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По мере развития технологий и по мере того, как все больше стран внедряют и </w:t>
      </w:r>
      <w:proofErr w:type="spellStart"/>
      <w:r w:rsidRPr="007D10FD">
        <w:rPr>
          <w:rFonts w:ascii="Times New Roman" w:hAnsi="Times New Roman" w:cs="Times New Roman"/>
          <w:sz w:val="24"/>
          <w:szCs w:val="24"/>
        </w:rPr>
        <w:t>коммерциализируют</w:t>
      </w:r>
      <w:proofErr w:type="spellEnd"/>
      <w:r w:rsidRPr="007D10FD">
        <w:rPr>
          <w:rFonts w:ascii="Times New Roman" w:hAnsi="Times New Roman" w:cs="Times New Roman"/>
          <w:sz w:val="24"/>
          <w:szCs w:val="24"/>
        </w:rPr>
        <w:t xml:space="preserve"> более совершенные мобильные широкополосные сети (5G и т. д.), в показатель будут включаться дополнительные разрезы».</w:t>
      </w:r>
    </w:p>
    <w:p w:rsidR="00C866DB" w:rsidRPr="007D10FD" w:rsidRDefault="00C866DB"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Комментарии и ограничения</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В некоторых странах сложно рассчитать общий охват населения мобильной связью. В некоторых случаях данные относятся только к оператору с наибольшим охватом, в </w:t>
      </w:r>
      <w:proofErr w:type="gramStart"/>
      <w:r w:rsidRPr="007D10FD">
        <w:rPr>
          <w:rFonts w:ascii="Times New Roman" w:hAnsi="Times New Roman" w:cs="Times New Roman"/>
          <w:sz w:val="24"/>
          <w:szCs w:val="24"/>
        </w:rPr>
        <w:t>связи</w:t>
      </w:r>
      <w:proofErr w:type="gramEnd"/>
      <w:r w:rsidRPr="007D10FD">
        <w:rPr>
          <w:rFonts w:ascii="Times New Roman" w:hAnsi="Times New Roman" w:cs="Times New Roman"/>
          <w:sz w:val="24"/>
          <w:szCs w:val="24"/>
        </w:rPr>
        <w:t xml:space="preserve"> с чем показатель реального охвата может быть занижен.</w:t>
      </w:r>
    </w:p>
    <w:p w:rsidR="00C866DB" w:rsidRPr="007D10FD" w:rsidRDefault="00C866DB"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Методология</w:t>
      </w:r>
    </w:p>
    <w:p w:rsidR="00C866DB" w:rsidRPr="007D10FD" w:rsidRDefault="008C7E66"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Расчет показателя</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Показатель процента населения, охваченного мобильной сетью, с разбивкой по технологиям, относится к проценту жителей, проживающих в пределах диапазона мобильного сотового сигнала, независимо от того, являются ли они абонентами или пользователями мобильных телефонов. Показатель рассчитывается путем деления числа жителей в пределах диапазона мобильного сотового сигнала на общую численность населения и умножения на 100.</w:t>
      </w:r>
    </w:p>
    <w:p w:rsidR="00C866DB" w:rsidRPr="007D10FD" w:rsidRDefault="00C866DB"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Дезагрегация</w:t>
      </w:r>
    </w:p>
    <w:p w:rsidR="00C866DB" w:rsidRPr="007D10FD" w:rsidRDefault="00C866DB"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Основываясь на доле населения, охваченного мобильной сетью, с разбивкой по технологиям, </w:t>
      </w:r>
      <w:r w:rsidR="00F47DE6" w:rsidRPr="007D10FD">
        <w:rPr>
          <w:rFonts w:ascii="Times New Roman" w:hAnsi="Times New Roman" w:cs="Times New Roman"/>
          <w:sz w:val="24"/>
          <w:szCs w:val="24"/>
        </w:rPr>
        <w:t>а также по доле</w:t>
      </w:r>
      <w:r w:rsidRPr="007D10FD">
        <w:rPr>
          <w:rFonts w:ascii="Times New Roman" w:hAnsi="Times New Roman" w:cs="Times New Roman"/>
          <w:sz w:val="24"/>
          <w:szCs w:val="24"/>
        </w:rPr>
        <w:t xml:space="preserve"> сельского населения, страны могут давать оценки по охвату населения сетями сотовой связи в сельских и городских районах. МСЭ создает глобальные оценки охвата сельского населения по технологиям.</w:t>
      </w:r>
    </w:p>
    <w:p w:rsidR="00F47DE6" w:rsidRPr="007D10FD" w:rsidRDefault="008C7E66"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Обработка</w:t>
      </w:r>
      <w:r w:rsidR="00F47DE6" w:rsidRPr="007D10FD">
        <w:rPr>
          <w:rFonts w:ascii="Times New Roman" w:hAnsi="Times New Roman" w:cs="Times New Roman"/>
          <w:b/>
          <w:sz w:val="24"/>
          <w:szCs w:val="24"/>
        </w:rPr>
        <w:t xml:space="preserve"> пропущенных значений</w:t>
      </w:r>
    </w:p>
    <w:p w:rsidR="00F47DE6" w:rsidRPr="00C91EA9" w:rsidRDefault="00F47DE6" w:rsidP="000902F0">
      <w:pPr>
        <w:spacing w:after="240" w:line="240" w:lineRule="auto"/>
        <w:jc w:val="both"/>
        <w:rPr>
          <w:rFonts w:ascii="Times New Roman" w:hAnsi="Times New Roman" w:cs="Times New Roman"/>
          <w:i/>
          <w:sz w:val="24"/>
          <w:szCs w:val="24"/>
        </w:rPr>
      </w:pPr>
      <w:r w:rsidRPr="00C91EA9">
        <w:rPr>
          <w:rFonts w:ascii="Times New Roman" w:hAnsi="Times New Roman" w:cs="Times New Roman"/>
          <w:i/>
          <w:sz w:val="24"/>
          <w:szCs w:val="24"/>
        </w:rPr>
        <w:t>На уровне страны</w:t>
      </w:r>
    </w:p>
    <w:p w:rsidR="00F47DE6" w:rsidRPr="007D10FD" w:rsidRDefault="00F47DE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Пропущенные значения оцениваются с использованием данных, опубликованных операторами сотовой связи, которые имеют наибольшую долю на рынке.</w:t>
      </w:r>
    </w:p>
    <w:p w:rsidR="00F47DE6" w:rsidRPr="00C91EA9" w:rsidRDefault="00F47DE6" w:rsidP="000902F0">
      <w:pPr>
        <w:spacing w:after="240" w:line="240" w:lineRule="auto"/>
        <w:jc w:val="both"/>
        <w:rPr>
          <w:rFonts w:ascii="Times New Roman" w:hAnsi="Times New Roman" w:cs="Times New Roman"/>
          <w:i/>
          <w:sz w:val="24"/>
          <w:szCs w:val="24"/>
        </w:rPr>
      </w:pPr>
      <w:r w:rsidRPr="00C91EA9">
        <w:rPr>
          <w:rFonts w:ascii="Times New Roman" w:hAnsi="Times New Roman" w:cs="Times New Roman"/>
          <w:i/>
          <w:sz w:val="24"/>
          <w:szCs w:val="24"/>
        </w:rPr>
        <w:lastRenderedPageBreak/>
        <w:t>На региональном и глобальном уровне</w:t>
      </w:r>
    </w:p>
    <w:p w:rsidR="00F47DE6" w:rsidRPr="007D10FD" w:rsidRDefault="00F47DE6"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Пропущенные значения оцениваются с использованием данных, опубликованных операторами сотовой связи, которые имеют наибольшую долю на рынке.</w:t>
      </w:r>
    </w:p>
    <w:p w:rsidR="00F47DE6" w:rsidRPr="007D10FD" w:rsidRDefault="00F47DE6"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Региональное агрегирование</w:t>
      </w:r>
    </w:p>
    <w:p w:rsidR="00F47DE6" w:rsidRPr="007D10FD" w:rsidRDefault="00BF4D4E" w:rsidP="000902F0">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Глобальные и региональные оценки производятся с использованием взвешенных данных на страновом уровне. Во-первых, данные, отсутствующие на страновом уровне, оцениваются с использованием данных доминирующего оператора мобильной связи. После того, как рассчитаны все процентные доли на уровне страны, количество людей, охваченных мобильным сигналом, рассчитывается путем умножения процента населения, охваченного сигналом на население страны. Региональный и глобальный охват населения сигналом, рассчитывается путем суммирования данных на страновом уровне. Совокупные проценты рассчитываются путем деления региональных итоговых долей на население соответствующих групп.</w:t>
      </w:r>
    </w:p>
    <w:p w:rsidR="00BF4D4E" w:rsidRPr="007D10FD" w:rsidRDefault="00BF4D4E" w:rsidP="000902F0">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Источники расхождения</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Отсутствуют. МСЭ использует данные, предоставленные странами, включая охват населения, который используется для расчета долей.</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Источники данных</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Описание</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 xml:space="preserve">Этот показатель </w:t>
      </w:r>
      <w:r w:rsidR="008F7D16" w:rsidRPr="007D10FD">
        <w:rPr>
          <w:rFonts w:ascii="Times New Roman" w:hAnsi="Times New Roman" w:cs="Times New Roman"/>
          <w:sz w:val="24"/>
          <w:szCs w:val="24"/>
        </w:rPr>
        <w:t xml:space="preserve">основан на </w:t>
      </w:r>
      <w:proofErr w:type="gramStart"/>
      <w:r w:rsidR="008F7D16" w:rsidRPr="007D10FD">
        <w:rPr>
          <w:rFonts w:ascii="Times New Roman" w:hAnsi="Times New Roman" w:cs="Times New Roman"/>
          <w:sz w:val="24"/>
          <w:szCs w:val="24"/>
        </w:rPr>
        <w:t>согласованных</w:t>
      </w:r>
      <w:proofErr w:type="gramEnd"/>
      <w:r w:rsidRPr="007D10FD">
        <w:rPr>
          <w:rFonts w:ascii="Times New Roman" w:hAnsi="Times New Roman" w:cs="Times New Roman"/>
          <w:sz w:val="24"/>
          <w:szCs w:val="24"/>
        </w:rPr>
        <w:t xml:space="preserve"> на международном уровне определении и методологии, которые были разработаны в рамках координации МСЭ через свои Группы экспертов и после широкого процесса консультаций со странами. Также он является показателем основного списка индикаторов Партнерства по измерению ИКТ в области развития, который был одобрен Статистической комиссией ООН (последний раз в 2014 году).</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 собирает данные по этому показателю через ежегодный вопросник через национальные ответственные органы или министерства информационных и коммуникационных технологий, которые собирают данные у поставщиков интернет-услуг.</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Процесс сбора</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 собирает данные по этому показателю через ежегодный вопросник через национальные ответственные органы или министерства информационных и коммуникационных технологий, которые собирают данные у поставщиков интернет-услуг.</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Доступность данных</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К 2015 году данные об охвате населения сетью 2G были доступны примерно для 147 стран из развитых и развивающихся регионов и охватывали все ключевые глобальные регионы. Данные об охвате населения 3G доступны для 152 стран, а данные об охвате населения LTE доступны для 124 стран. МСЭ ежегодно публикует данные по этому показателю.</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Календарь</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Сбор данных</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Данные собираются в рамках краткого информационного бюллетеня МСЭ по Всемирной Телекоммуникации / ИКТ в апреле каждого года и публикуются в июне каждого года.</w:t>
      </w:r>
    </w:p>
    <w:p w:rsidR="00BF4D4E" w:rsidRPr="007D10FD" w:rsidRDefault="00BF4D4E"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lastRenderedPageBreak/>
        <w:t>Публикация данных</w:t>
      </w:r>
    </w:p>
    <w:p w:rsidR="00BF4D4E" w:rsidRPr="007D10FD" w:rsidRDefault="00BF4D4E"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Июнь 2016</w:t>
      </w:r>
    </w:p>
    <w:p w:rsidR="00BF4D4E" w:rsidRPr="007D10FD" w:rsidRDefault="008F7D16"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Поставщики данных</w:t>
      </w:r>
    </w:p>
    <w:p w:rsidR="008F7D16" w:rsidRPr="007D10FD" w:rsidRDefault="008F7D16"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Орган власти, ответственный за  электросвязь / ИКТ или Министерство ИКТ.</w:t>
      </w:r>
    </w:p>
    <w:p w:rsidR="008F7D16" w:rsidRPr="007D10FD" w:rsidRDefault="00C91EA9" w:rsidP="00BF4D4E">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Составители</w:t>
      </w:r>
      <w:bookmarkStart w:id="0" w:name="_GoBack"/>
      <w:bookmarkEnd w:id="0"/>
      <w:r w:rsidR="008F7D16" w:rsidRPr="007D10FD">
        <w:rPr>
          <w:rFonts w:ascii="Times New Roman" w:hAnsi="Times New Roman" w:cs="Times New Roman"/>
          <w:b/>
          <w:sz w:val="24"/>
          <w:szCs w:val="24"/>
        </w:rPr>
        <w:t xml:space="preserve"> данных</w:t>
      </w:r>
    </w:p>
    <w:p w:rsidR="008F7D16" w:rsidRPr="007D10FD" w:rsidRDefault="008F7D16" w:rsidP="00BF4D4E">
      <w:pPr>
        <w:spacing w:after="240" w:line="240" w:lineRule="auto"/>
        <w:jc w:val="both"/>
        <w:rPr>
          <w:rFonts w:ascii="Times New Roman" w:hAnsi="Times New Roman" w:cs="Times New Roman"/>
          <w:sz w:val="24"/>
          <w:szCs w:val="24"/>
        </w:rPr>
      </w:pPr>
      <w:r w:rsidRPr="007D10FD">
        <w:rPr>
          <w:rFonts w:ascii="Times New Roman" w:hAnsi="Times New Roman" w:cs="Times New Roman"/>
          <w:sz w:val="24"/>
          <w:szCs w:val="24"/>
        </w:rPr>
        <w:t>МСЭ</w:t>
      </w:r>
    </w:p>
    <w:p w:rsidR="008F7D16" w:rsidRPr="007D10FD" w:rsidRDefault="008F7D16"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Дополнительная информация</w:t>
      </w:r>
    </w:p>
    <w:p w:rsidR="008F7D16" w:rsidRPr="007D10FD" w:rsidRDefault="008F7D16" w:rsidP="00BF4D4E">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Ссылки</w:t>
      </w:r>
      <w:r w:rsidR="008C7E66" w:rsidRPr="007D10FD">
        <w:rPr>
          <w:rFonts w:ascii="Times New Roman" w:hAnsi="Times New Roman" w:cs="Times New Roman"/>
          <w:b/>
          <w:sz w:val="24"/>
          <w:szCs w:val="24"/>
        </w:rPr>
        <w:t xml:space="preserve"> на электронные источники</w:t>
      </w:r>
    </w:p>
    <w:p w:rsidR="008F7D16" w:rsidRPr="007D10FD" w:rsidRDefault="00BB5E86" w:rsidP="00BF4D4E">
      <w:pPr>
        <w:spacing w:after="240" w:line="240" w:lineRule="auto"/>
        <w:jc w:val="both"/>
        <w:rPr>
          <w:rFonts w:ascii="Times New Roman" w:hAnsi="Times New Roman" w:cs="Times New Roman"/>
          <w:sz w:val="24"/>
          <w:szCs w:val="24"/>
        </w:rPr>
      </w:pPr>
      <w:hyperlink r:id="rId5" w:history="1">
        <w:r w:rsidR="008F7D16" w:rsidRPr="007D10FD">
          <w:rPr>
            <w:rStyle w:val="a4"/>
            <w:rFonts w:ascii="Times New Roman" w:hAnsi="Times New Roman" w:cs="Times New Roman"/>
            <w:sz w:val="24"/>
            <w:szCs w:val="24"/>
          </w:rPr>
          <w:t>http://www.itu.int/en/ITU-D/Statistics/Pages/default.aspx</w:t>
        </w:r>
      </w:hyperlink>
    </w:p>
    <w:p w:rsidR="008F7D16" w:rsidRPr="007D10FD" w:rsidRDefault="008C7E66" w:rsidP="00BF4D4E">
      <w:pPr>
        <w:spacing w:after="240" w:line="240" w:lineRule="auto"/>
        <w:jc w:val="both"/>
        <w:rPr>
          <w:rFonts w:ascii="Times New Roman" w:hAnsi="Times New Roman" w:cs="Times New Roman"/>
          <w:b/>
          <w:sz w:val="24"/>
          <w:szCs w:val="24"/>
          <w:lang w:val="en-US"/>
        </w:rPr>
      </w:pPr>
      <w:r w:rsidRPr="007D10FD">
        <w:rPr>
          <w:rFonts w:ascii="Times New Roman" w:hAnsi="Times New Roman" w:cs="Times New Roman"/>
          <w:b/>
          <w:sz w:val="24"/>
          <w:szCs w:val="24"/>
        </w:rPr>
        <w:t>Рекомендации</w:t>
      </w:r>
    </w:p>
    <w:p w:rsidR="008F7D16" w:rsidRPr="007D10FD" w:rsidRDefault="008F7D16" w:rsidP="008F7D16">
      <w:pPr>
        <w:pStyle w:val="Default"/>
        <w:rPr>
          <w:rFonts w:ascii="Times New Roman" w:hAnsi="Times New Roman" w:cs="Times New Roman"/>
          <w:lang w:val="en-US"/>
        </w:rPr>
      </w:pPr>
      <w:r w:rsidRPr="007D10FD">
        <w:rPr>
          <w:rFonts w:ascii="Times New Roman" w:hAnsi="Times New Roman" w:cs="Times New Roman"/>
          <w:lang w:val="en-US"/>
        </w:rPr>
        <w:t xml:space="preserve">ITU Handbook for the collection of Administrative Data on Telecommunications/ICT, 2011 (and revisions and new indicators), see: </w:t>
      </w:r>
    </w:p>
    <w:p w:rsidR="008F7D16" w:rsidRPr="007D10FD" w:rsidRDefault="00BB5E86" w:rsidP="008F7D16">
      <w:pPr>
        <w:spacing w:after="240" w:line="240" w:lineRule="auto"/>
        <w:jc w:val="both"/>
        <w:rPr>
          <w:rFonts w:ascii="Times New Roman" w:hAnsi="Times New Roman" w:cs="Times New Roman"/>
          <w:sz w:val="24"/>
          <w:szCs w:val="24"/>
          <w:lang w:val="en-US"/>
        </w:rPr>
      </w:pPr>
      <w:hyperlink r:id="rId6" w:history="1">
        <w:r w:rsidR="008F7D16" w:rsidRPr="007D10FD">
          <w:rPr>
            <w:rStyle w:val="a4"/>
            <w:rFonts w:ascii="Times New Roman" w:hAnsi="Times New Roman" w:cs="Times New Roman"/>
            <w:sz w:val="24"/>
            <w:szCs w:val="24"/>
            <w:lang w:val="en-US"/>
          </w:rPr>
          <w:t>http://www.itu.int/en/ITU-D/Statistics/Pages/publications/handbook.aspx</w:t>
        </w:r>
      </w:hyperlink>
    </w:p>
    <w:p w:rsidR="008F7D16" w:rsidRPr="007D10FD" w:rsidRDefault="008F7D16" w:rsidP="008F7D16">
      <w:pPr>
        <w:spacing w:after="240" w:line="240" w:lineRule="auto"/>
        <w:jc w:val="both"/>
        <w:rPr>
          <w:rFonts w:ascii="Times New Roman" w:hAnsi="Times New Roman" w:cs="Times New Roman"/>
          <w:b/>
          <w:sz w:val="24"/>
          <w:szCs w:val="24"/>
        </w:rPr>
      </w:pPr>
      <w:r w:rsidRPr="007D10FD">
        <w:rPr>
          <w:rFonts w:ascii="Times New Roman" w:hAnsi="Times New Roman" w:cs="Times New Roman"/>
          <w:b/>
          <w:sz w:val="24"/>
          <w:szCs w:val="24"/>
        </w:rPr>
        <w:t>Связанные показатели</w:t>
      </w:r>
    </w:p>
    <w:p w:rsidR="008F7D16" w:rsidRPr="007D10FD" w:rsidRDefault="008F7D16" w:rsidP="008F7D16">
      <w:pPr>
        <w:spacing w:after="240" w:line="240" w:lineRule="auto"/>
        <w:jc w:val="both"/>
        <w:rPr>
          <w:rFonts w:ascii="Times New Roman" w:hAnsi="Times New Roman" w:cs="Times New Roman"/>
          <w:b/>
          <w:sz w:val="24"/>
          <w:szCs w:val="24"/>
        </w:rPr>
      </w:pPr>
      <w:r w:rsidRPr="007D10FD">
        <w:rPr>
          <w:rFonts w:ascii="Times New Roman" w:hAnsi="Times New Roman" w:cs="Times New Roman"/>
          <w:sz w:val="24"/>
          <w:szCs w:val="24"/>
        </w:rPr>
        <w:t>1.4, 2.3, 2.c, 9.1, 11.b, 13.1</w:t>
      </w:r>
    </w:p>
    <w:sectPr w:rsidR="008F7D16" w:rsidRPr="007D10FD" w:rsidSect="006F0B9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3094"/>
    <w:rsid w:val="000110B3"/>
    <w:rsid w:val="000902F0"/>
    <w:rsid w:val="002B5202"/>
    <w:rsid w:val="006F0B9F"/>
    <w:rsid w:val="006F3094"/>
    <w:rsid w:val="007D10FD"/>
    <w:rsid w:val="008C7E66"/>
    <w:rsid w:val="008F7D16"/>
    <w:rsid w:val="00A73596"/>
    <w:rsid w:val="00BB5E86"/>
    <w:rsid w:val="00BF4D4E"/>
    <w:rsid w:val="00C866DB"/>
    <w:rsid w:val="00C91EA9"/>
    <w:rsid w:val="00CF2E22"/>
    <w:rsid w:val="00E47E06"/>
    <w:rsid w:val="00E77DFA"/>
    <w:rsid w:val="00F47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5E8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заголовок"/>
    <w:basedOn w:val="a0"/>
    <w:next w:val="a0"/>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a4">
    <w:name w:val="Hyperlink"/>
    <w:basedOn w:val="a1"/>
    <w:uiPriority w:val="99"/>
    <w:unhideWhenUsed/>
    <w:rsid w:val="008F7D16"/>
    <w:rPr>
      <w:color w:val="0000FF" w:themeColor="hyperlink"/>
      <w:u w:val="single"/>
    </w:rPr>
  </w:style>
  <w:style w:type="paragraph" w:customStyle="1" w:styleId="Default">
    <w:name w:val="Default"/>
    <w:rsid w:val="008F7D1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заголовок"/>
    <w:basedOn w:val="a0"/>
    <w:next w:val="a0"/>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a4">
    <w:name w:val="Hyperlink"/>
    <w:basedOn w:val="a1"/>
    <w:uiPriority w:val="99"/>
    <w:unhideWhenUsed/>
    <w:rsid w:val="008F7D16"/>
    <w:rPr>
      <w:color w:val="0000FF" w:themeColor="hyperlink"/>
      <w:u w:val="single"/>
    </w:rPr>
  </w:style>
  <w:style w:type="paragraph" w:customStyle="1" w:styleId="Default">
    <w:name w:val="Default"/>
    <w:rsid w:val="008F7D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int/en/ITU-D/Statistics/Pages/publications/handbook.aspx" TargetMode="External"/><Relationship Id="rId5" Type="http://schemas.openxmlformats.org/officeDocument/2006/relationships/hyperlink" Target="http://www.itu.int/en/ITU-D/Statistics/Pages/default.aspx"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6</cp:revision>
  <cp:lastPrinted>2018-10-11T09:59:00Z</cp:lastPrinted>
  <dcterms:created xsi:type="dcterms:W3CDTF">2017-09-15T08:07:00Z</dcterms:created>
  <dcterms:modified xsi:type="dcterms:W3CDTF">2018-10-11T10:02:00Z</dcterms:modified>
</cp:coreProperties>
</file>