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Цель 16: Содействие построению миролюбивого и открытого общества в интересах устойчивого развития, обеспечение доступа к правосудию для всех и создание эффективных, подотчетных и основанных на широком участии учреждений на всех уровнях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16.1 Значительно сократить распространенность всех форм насилия и уменьшить показатели смертности от этого явления во всем мире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16.1.3 Доля населения, </w:t>
      </w:r>
      <w:proofErr w:type="gramStart"/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в</w:t>
      </w:r>
      <w:proofErr w:type="gramEnd"/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последние 12 месяцев подвергшегося физическому, психологическому или сексуальному насилию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Институциональная информация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Организаци</w:t>
      </w:r>
      <w:proofErr w:type="gramStart"/>
      <w:r w:rsidRPr="005A49AC"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 w:rsidRPr="005A49AC">
        <w:rPr>
          <w:rFonts w:ascii="Times New Roman" w:hAnsi="Times New Roman" w:cs="Times New Roman"/>
          <w:sz w:val="24"/>
          <w:szCs w:val="24"/>
          <w:lang w:val="ru-RU"/>
        </w:rPr>
        <w:t>и):</w:t>
      </w:r>
    </w:p>
    <w:p w:rsidR="007A39A2" w:rsidRPr="005A49AC" w:rsidRDefault="00026509" w:rsidP="00F63859">
      <w:pPr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Управление ООН по наркотикам и прес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softHyphen/>
        <w:t>туп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softHyphen/>
        <w:t>нос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softHyphen/>
        <w:t>ти (ЮНОДК)</w:t>
      </w:r>
    </w:p>
    <w:p w:rsidR="00F63859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Концепции и определения</w:t>
      </w:r>
    </w:p>
    <w:p w:rsidR="00F63859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Определение: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Общее число лиц, ставших жертвами физического, психологического или сексуального насилия за последние 12 месяцев как доля от общей численности населения.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Обоснование: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Этот показатель измеряет распространенность </w:t>
      </w:r>
      <w:proofErr w:type="spellStart"/>
      <w:r w:rsidRPr="005A49AC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 от физического, сексуального (и, возможно, психологического) насилия. Он имеет глобальное значение, поскольку насилие в различных формах наблюдается во всех регионах и странах мира. С учетом того, что информация об актах насилия в значительной степени не доводится до сведения властей, этот показатель должен основываться на данных, собранных в ходе выборочных опросов взрослого населения.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Основные понятия: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Этот показатель измеряет уровень распространения </w:t>
      </w:r>
      <w:proofErr w:type="spellStart"/>
      <w:r w:rsidRPr="005A49AC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 от физического, психологического или сексуального насилия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Физическое насилие: это понятие эквивалентно понятию физического нападения, как оно определено в международной классификации преступлений для статистических целей (МКПС): преднамеренное или безрассудное применение физической силы в отношении тела человека. Это включает в себя серьезные и незначительные телесные повреждения и серьезную или незначительную физическую силу. Согласно МКПС, они определены как: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Серьезные телесные повреждения, как минимум, включают огнестрельные или пулевые ранения; ножевые или колотые раны; отрубленные конечности; поломанные кости или выбитые зубы; внутренние повреждения; бессознательное состояние и </w:t>
      </w:r>
      <w:proofErr w:type="gramStart"/>
      <w:r w:rsidRPr="005A49AC">
        <w:rPr>
          <w:rFonts w:ascii="Times New Roman" w:hAnsi="Times New Roman" w:cs="Times New Roman"/>
          <w:sz w:val="24"/>
          <w:szCs w:val="24"/>
          <w:lang w:val="ru-RU"/>
        </w:rPr>
        <w:t>другие</w:t>
      </w:r>
      <w:proofErr w:type="gramEnd"/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 тяжелые или критические травмы.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lastRenderedPageBreak/>
        <w:t>Серьезная физическая сила, как минимум, включает в себя выстрел; нанесение колотых или резаных ран; удар предметом; удар кидаемым предметом; отравление и другие случаи применения силы, которые могут привести к серьезным телесным повреждениям.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Незначительные телесные повреждения, как минимум, включают ушибы, порезы, царапины, сколы зубов, отеки, подбитый глаз и другие незначительные травмы.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Незначительная физическая сила, как минимум, включает в себя удары, пощечины, толчки, подножки, сбивания и другие случаи применения силы, способные вызвать незначительные телесные повреждения.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Сексуальное насилие (МКПС): нежелательный половой акт, сексуальное домогательство, контакт или общение с проявлением нежелательного сексуального внимания без действительного согласия или согласия в результате запугивания, применения силы, мошенничества, принуждения, угрозы, обмана, употребления наркотиков или алкоголя, злоупотребления властью или уязвимого положения. Это включает в себя изнасилование и другие формы сексуального насилия.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Психологическое насилие: до сих пор на международном уровне не достигнуто согласия в отношении точного определения психологического насилия и пока еще нет общепринятой методологии оценки психологического насилия.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Комментарии и ограничения:</w:t>
      </w:r>
    </w:p>
    <w:p w:rsidR="007A39A2" w:rsidRPr="005A49AC" w:rsidRDefault="00F45B63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t xml:space="preserve">следования по вопросам </w:t>
      </w:r>
      <w:proofErr w:type="spellStart"/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t xml:space="preserve"> преступлений позволяют выявлять случаи насилия, которым подвергается взрослое население обоих полов; однако в силу сложности сбора информации о случаях насилия не все эти случаи должным образом охватываются этими обследованиями, цель которых состоит в том, чтобы охватить несколько видов преступлений. </w:t>
      </w:r>
      <w:r w:rsidR="00026509" w:rsidRPr="005A49AC">
        <w:rPr>
          <w:rFonts w:ascii="Times New Roman" w:hAnsi="Times New Roman" w:cs="Times New Roman"/>
          <w:sz w:val="24"/>
          <w:szCs w:val="24"/>
          <w:lang w:val="ru-RU"/>
        </w:rPr>
        <w:t>Другие специальные обследования по вопросам насилия обычно посвящены отдельным группам населения (как правило, женщинам, детям или престарелым) или конкретным ситуациям (бытовое насилие, школы, тюрьмы и т.д.), но они не способны отражать уровни и тенденции насилия среди всего населения.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Хотя уже существуют международные стандарты оценки физического и сексуального насилия с помощью инструментов обследования, в настоящее время не существует международного стандарта оценки психологического насилия. Один из практических вариантов мог бы заключаться в ограничении психологического насилия угрожающим поведением, которое имеет установленную методологию измерения в рамках обследований </w:t>
      </w:r>
      <w:proofErr w:type="spellStart"/>
      <w:r w:rsidRPr="005A49AC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Pr="005A49AC">
        <w:rPr>
          <w:rFonts w:ascii="Times New Roman" w:hAnsi="Times New Roman" w:cs="Times New Roman"/>
          <w:sz w:val="24"/>
          <w:szCs w:val="24"/>
          <w:lang w:val="ru-RU"/>
        </w:rPr>
        <w:t>. Угрожающее поведение, как минимум, является преднамеренным поведением, которое вызывает страх получения травмы или вреда.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И наконец, показатели распространенности физического и сексуального насилия обычно подготавливаются и представляются отдельно; для подготовки данных о распространенности физического или сексуального насилия требуется специальный сбор данных.</w:t>
      </w:r>
    </w:p>
    <w:p w:rsidR="007A39A2" w:rsidRPr="00F45B63" w:rsidRDefault="00F45B63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</w:t>
      </w:r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t xml:space="preserve">следования </w:t>
      </w:r>
      <w:proofErr w:type="spellStart"/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t xml:space="preserve"> (как специальные исследования или как модули бытовых обследований) обычно ограничиваются только общей численностью населения, </w:t>
      </w:r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lastRenderedPageBreak/>
        <w:t>проживающего в домашних хозяйствах, старше определенного возраста (как правило, 15 или 18 лет), хотя иногда применяется и верхняя возрастная планка (как правило, 65, 70 или 75 лет).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Методология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Метод расчета: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Число респондентов, ставших жертвами физического, психологического или сексуального насилия в течение предыдущих 12 месяцев, делится на общее число респондентов.</w:t>
      </w:r>
    </w:p>
    <w:p w:rsidR="007A39A2" w:rsidRPr="00F45B63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F45B63">
        <w:rPr>
          <w:rFonts w:ascii="Times New Roman" w:hAnsi="Times New Roman" w:cs="Times New Roman"/>
          <w:b/>
          <w:sz w:val="24"/>
          <w:szCs w:val="24"/>
          <w:lang w:val="ru-RU"/>
        </w:rPr>
        <w:t>Дезагрегация</w:t>
      </w:r>
      <w:proofErr w:type="spellEnd"/>
      <w:r w:rsidRPr="00F45B63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A39A2" w:rsidRPr="00F45B63" w:rsidRDefault="00026509" w:rsidP="00F4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45B63">
        <w:rPr>
          <w:rFonts w:ascii="Times New Roman" w:hAnsi="Times New Roman" w:cs="Times New Roman"/>
          <w:sz w:val="24"/>
          <w:szCs w:val="24"/>
          <w:lang w:val="ru-RU"/>
        </w:rPr>
        <w:t>По полу и возрасту</w:t>
      </w:r>
    </w:p>
    <w:p w:rsidR="007A39A2" w:rsidRPr="005A49AC" w:rsidRDefault="00026509" w:rsidP="00F4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Уровень дохода</w:t>
      </w:r>
    </w:p>
    <w:p w:rsidR="007A39A2" w:rsidRPr="005A49AC" w:rsidRDefault="00026509" w:rsidP="00F4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Образование</w:t>
      </w:r>
    </w:p>
    <w:p w:rsidR="007A39A2" w:rsidRPr="005A49AC" w:rsidRDefault="00026509" w:rsidP="00F4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Гражданство</w:t>
      </w:r>
    </w:p>
    <w:p w:rsidR="007A39A2" w:rsidRDefault="00026509" w:rsidP="00F4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Этническая принадлежность</w:t>
      </w:r>
    </w:p>
    <w:p w:rsidR="00F45B63" w:rsidRPr="00F45B63" w:rsidRDefault="00F45B63" w:rsidP="00F45B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Обработка отсутствующих значений:</w:t>
      </w:r>
    </w:p>
    <w:p w:rsidR="007A39A2" w:rsidRPr="00F45B63" w:rsidRDefault="00026509" w:rsidP="00F45B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45B6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63">
        <w:rPr>
          <w:rFonts w:ascii="Times New Roman" w:hAnsi="Times New Roman" w:cs="Times New Roman"/>
          <w:sz w:val="24"/>
          <w:szCs w:val="24"/>
        </w:rPr>
        <w:t>уровне</w:t>
      </w:r>
      <w:proofErr w:type="spellEnd"/>
      <w:r w:rsidRPr="00F45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45B63">
        <w:rPr>
          <w:rFonts w:ascii="Times New Roman" w:hAnsi="Times New Roman" w:cs="Times New Roman"/>
          <w:sz w:val="24"/>
          <w:szCs w:val="24"/>
        </w:rPr>
        <w:t>страны</w:t>
      </w:r>
      <w:proofErr w:type="spellEnd"/>
      <w:r w:rsidRPr="00F45B63">
        <w:rPr>
          <w:rFonts w:ascii="Times New Roman" w:hAnsi="Times New Roman" w:cs="Times New Roman"/>
          <w:sz w:val="24"/>
          <w:szCs w:val="24"/>
        </w:rPr>
        <w:t>:</w:t>
      </w:r>
    </w:p>
    <w:p w:rsidR="007A39A2" w:rsidRPr="00F63859" w:rsidRDefault="00026509" w:rsidP="00F63859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63859">
        <w:rPr>
          <w:rFonts w:ascii="Times New Roman" w:hAnsi="Times New Roman" w:cs="Times New Roman"/>
          <w:sz w:val="24"/>
          <w:szCs w:val="24"/>
        </w:rPr>
        <w:t>Пропущенные</w:t>
      </w:r>
      <w:proofErr w:type="spellEnd"/>
      <w:r w:rsidRPr="00F6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59">
        <w:rPr>
          <w:rFonts w:ascii="Times New Roman" w:hAnsi="Times New Roman" w:cs="Times New Roman"/>
          <w:sz w:val="24"/>
          <w:szCs w:val="24"/>
        </w:rPr>
        <w:t>значения</w:t>
      </w:r>
      <w:proofErr w:type="spellEnd"/>
      <w:r w:rsidRPr="00F6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59">
        <w:rPr>
          <w:rFonts w:ascii="Times New Roman" w:hAnsi="Times New Roman" w:cs="Times New Roman"/>
          <w:sz w:val="24"/>
          <w:szCs w:val="24"/>
        </w:rPr>
        <w:t>остаются</w:t>
      </w:r>
      <w:proofErr w:type="spellEnd"/>
      <w:r w:rsidRPr="00F6385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859">
        <w:rPr>
          <w:rFonts w:ascii="Times New Roman" w:hAnsi="Times New Roman" w:cs="Times New Roman"/>
          <w:sz w:val="24"/>
          <w:szCs w:val="24"/>
        </w:rPr>
        <w:t>пустыми</w:t>
      </w:r>
      <w:proofErr w:type="spellEnd"/>
    </w:p>
    <w:p w:rsidR="007A39A2" w:rsidRPr="005A49AC" w:rsidRDefault="00026509" w:rsidP="00F45B63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На региональном и глобальном уровнях: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Пропущенные значения остаются пустыми. Глобальные оценки в настоящее время не производятся.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Региональные показатели: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Глобальные оценки в данный момент не произведены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Источники расхождений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ЮНОДК собирает данные из национальных источников.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Источники данных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Описание:</w:t>
      </w:r>
    </w:p>
    <w:p w:rsidR="007A39A2" w:rsidRPr="00F45B63" w:rsidRDefault="00F45B63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</w:t>
      </w:r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t>оказа</w:t>
      </w:r>
      <w:r>
        <w:rPr>
          <w:rFonts w:ascii="Times New Roman" w:hAnsi="Times New Roman" w:cs="Times New Roman"/>
          <w:sz w:val="24"/>
          <w:szCs w:val="24"/>
          <w:lang w:val="ru-RU"/>
        </w:rPr>
        <w:t>тель рассчитывается на основе ис</w:t>
      </w:r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t xml:space="preserve">следований </w:t>
      </w:r>
      <w:proofErr w:type="spellStart"/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t>виктим</w:t>
      </w:r>
      <w:r>
        <w:rPr>
          <w:rFonts w:ascii="Times New Roman" w:hAnsi="Times New Roman" w:cs="Times New Roman"/>
          <w:sz w:val="24"/>
          <w:szCs w:val="24"/>
          <w:lang w:val="ru-RU"/>
        </w:rPr>
        <w:t>изации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преступлений или других ис</w:t>
      </w:r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t xml:space="preserve">следований домашних хозяйств с использованием модуля </w:t>
      </w:r>
      <w:proofErr w:type="spellStart"/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="00026509" w:rsidRPr="00F45B63">
        <w:rPr>
          <w:rFonts w:ascii="Times New Roman" w:hAnsi="Times New Roman" w:cs="Times New Roman"/>
          <w:sz w:val="24"/>
          <w:szCs w:val="24"/>
          <w:lang w:val="ru-RU"/>
        </w:rPr>
        <w:t xml:space="preserve"> преступлений.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Показатель относится к индивидуальному опыту респондента, который выбирается случайным образом из числа членов домашнего хозяйства, в то время как опыт других членов не включается. Опыт насильственной </w:t>
      </w:r>
      <w:proofErr w:type="spellStart"/>
      <w:r w:rsidRPr="005A49AC">
        <w:rPr>
          <w:rFonts w:ascii="Times New Roman" w:hAnsi="Times New Roman" w:cs="Times New Roman"/>
          <w:sz w:val="24"/>
          <w:szCs w:val="24"/>
          <w:lang w:val="ru-RU"/>
        </w:rPr>
        <w:t>виктимизации</w:t>
      </w:r>
      <w:proofErr w:type="spellEnd"/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 накапливается с помощью серии вопросов о конкретных актах насилия, от которых пострадал </w:t>
      </w:r>
      <w:proofErr w:type="spellStart"/>
      <w:r w:rsidRPr="005A49AC">
        <w:rPr>
          <w:rFonts w:ascii="Times New Roman" w:hAnsi="Times New Roman" w:cs="Times New Roman"/>
          <w:sz w:val="24"/>
          <w:szCs w:val="24"/>
          <w:lang w:val="ru-RU"/>
        </w:rPr>
        <w:t>респонент</w:t>
      </w:r>
      <w:proofErr w:type="spellEnd"/>
      <w:r w:rsidRPr="005A49AC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ЮНОДК собирает данные о масштабах физического и сексуального насилия путем ежегодного сбора данных (ОТП ООН). Сбору данных через систему ОТП ООН способствует сеть </w:t>
      </w:r>
      <w:proofErr w:type="gramStart"/>
      <w:r w:rsidRPr="005A49AC">
        <w:rPr>
          <w:rFonts w:ascii="Times New Roman" w:hAnsi="Times New Roman" w:cs="Times New Roman"/>
          <w:sz w:val="24"/>
          <w:szCs w:val="24"/>
          <w:lang w:val="ru-RU"/>
        </w:rPr>
        <w:t>из</w:t>
      </w:r>
      <w:proofErr w:type="gramEnd"/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 более </w:t>
      </w:r>
      <w:proofErr w:type="gramStart"/>
      <w:r w:rsidRPr="005A49AC">
        <w:rPr>
          <w:rFonts w:ascii="Times New Roman" w:hAnsi="Times New Roman" w:cs="Times New Roman"/>
          <w:sz w:val="24"/>
          <w:szCs w:val="24"/>
          <w:lang w:val="ru-RU"/>
        </w:rPr>
        <w:t>чем</w:t>
      </w:r>
      <w:proofErr w:type="gramEnd"/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 130 национальных координационных центров, назначаемых ответственными органами.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Процесс сбора: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Существует сводная система ежегодного сбора данных о преступности и уголовном </w:t>
      </w:r>
      <w:proofErr w:type="spellStart"/>
      <w:r w:rsidRPr="005A49AC">
        <w:rPr>
          <w:rFonts w:ascii="Times New Roman" w:hAnsi="Times New Roman" w:cs="Times New Roman"/>
          <w:sz w:val="24"/>
          <w:szCs w:val="24"/>
          <w:lang w:val="ru-RU"/>
        </w:rPr>
        <w:t>правоудии</w:t>
      </w:r>
      <w:proofErr w:type="spellEnd"/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 (обследование ООН тенденций в области преступности, ОТП ООН), которая представляет собой основу данных о преднамеренных убийствах. Сбор данных ОТП ООН в значительной степени основан на сети национальных координационных центров, которые являются учреждениями/должностными лицами, назначенными странами и имеющими технический потенциал и роль для подготовки данных о преступности и уголовном правосудии (около 130 назначенных координационных центров по состоянию на 2016 год).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ОТП ООН собирает данные показателей отчётности по сообщениям жертв "физического насилия” и "сексуального насилия". Текущий сбор данных будет пересмотрен для сбора более точных данных по этому показателю.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Данные для мониторинга ЦУР будут направлены странам для консультаций до публикации.</w:t>
      </w:r>
    </w:p>
    <w:p w:rsidR="007A39A2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Доступность данных</w:t>
      </w:r>
    </w:p>
    <w:p w:rsidR="00D609E0" w:rsidRPr="00D609E0" w:rsidRDefault="00D609E0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D609E0">
        <w:rPr>
          <w:rFonts w:ascii="Times New Roman" w:hAnsi="Times New Roman" w:cs="Times New Roman"/>
          <w:sz w:val="24"/>
          <w:szCs w:val="24"/>
          <w:lang w:val="ru-RU"/>
        </w:rPr>
        <w:t>Описание: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Доступность данных относится к отчетности стран только в ОТП ООН: (</w:t>
      </w:r>
      <w:r w:rsidRPr="00F63859">
        <w:rPr>
          <w:rFonts w:ascii="Times New Roman" w:hAnsi="Times New Roman" w:cs="Times New Roman"/>
          <w:sz w:val="24"/>
          <w:szCs w:val="24"/>
        </w:rPr>
        <w:t>phys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 = распространенность физического насилия; (</w:t>
      </w:r>
      <w:r w:rsidRPr="00F63859">
        <w:rPr>
          <w:rFonts w:ascii="Times New Roman" w:hAnsi="Times New Roman" w:cs="Times New Roman"/>
          <w:sz w:val="24"/>
          <w:szCs w:val="24"/>
        </w:rPr>
        <w:t>sex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= распространенность сексуального насилия)</w:t>
      </w:r>
    </w:p>
    <w:p w:rsidR="005A49AC" w:rsidRDefault="00026509" w:rsidP="005A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Доступность данных (2010-настоящее время)</w:t>
      </w:r>
    </w:p>
    <w:p w:rsidR="007A39A2" w:rsidRPr="005A49AC" w:rsidRDefault="00026509" w:rsidP="005A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Азиатско-Тихоокеанский регион: 1 (</w:t>
      </w:r>
      <w:r w:rsidRPr="00F63859">
        <w:rPr>
          <w:rFonts w:ascii="Times New Roman" w:hAnsi="Times New Roman" w:cs="Times New Roman"/>
          <w:sz w:val="24"/>
          <w:szCs w:val="24"/>
        </w:rPr>
        <w:t>phys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+ 3 (</w:t>
      </w:r>
      <w:r w:rsidRPr="00F63859">
        <w:rPr>
          <w:rFonts w:ascii="Times New Roman" w:hAnsi="Times New Roman" w:cs="Times New Roman"/>
          <w:sz w:val="24"/>
          <w:szCs w:val="24"/>
        </w:rPr>
        <w:t>sex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) 4 </w:t>
      </w:r>
    </w:p>
    <w:p w:rsidR="007A39A2" w:rsidRPr="005A49AC" w:rsidRDefault="00026509" w:rsidP="005A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Африки: 0 (</w:t>
      </w:r>
      <w:r w:rsidRPr="00F63859">
        <w:rPr>
          <w:rFonts w:ascii="Times New Roman" w:hAnsi="Times New Roman" w:cs="Times New Roman"/>
          <w:sz w:val="24"/>
          <w:szCs w:val="24"/>
        </w:rPr>
        <w:t>phys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+ 2 (</w:t>
      </w:r>
      <w:r w:rsidRPr="00F63859">
        <w:rPr>
          <w:rFonts w:ascii="Times New Roman" w:hAnsi="Times New Roman" w:cs="Times New Roman"/>
          <w:sz w:val="24"/>
          <w:szCs w:val="24"/>
        </w:rPr>
        <w:t>sex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2</w:t>
      </w:r>
    </w:p>
    <w:p w:rsidR="007A39A2" w:rsidRPr="005A49AC" w:rsidRDefault="00026509" w:rsidP="005A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Латинская Америка и </w:t>
      </w:r>
      <w:proofErr w:type="spellStart"/>
      <w:r w:rsidRPr="005A49AC">
        <w:rPr>
          <w:rFonts w:ascii="Times New Roman" w:hAnsi="Times New Roman" w:cs="Times New Roman"/>
          <w:sz w:val="24"/>
          <w:szCs w:val="24"/>
          <w:lang w:val="ru-RU"/>
        </w:rPr>
        <w:t>Карибский</w:t>
      </w:r>
      <w:proofErr w:type="spellEnd"/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 бассейн: 1 (</w:t>
      </w:r>
      <w:r w:rsidRPr="00F63859">
        <w:rPr>
          <w:rFonts w:ascii="Times New Roman" w:hAnsi="Times New Roman" w:cs="Times New Roman"/>
          <w:sz w:val="24"/>
          <w:szCs w:val="24"/>
        </w:rPr>
        <w:t>phys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+ 4 (</w:t>
      </w:r>
      <w:r w:rsidRPr="00F63859">
        <w:rPr>
          <w:rFonts w:ascii="Times New Roman" w:hAnsi="Times New Roman" w:cs="Times New Roman"/>
          <w:sz w:val="24"/>
          <w:szCs w:val="24"/>
        </w:rPr>
        <w:t>sex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5</w:t>
      </w:r>
    </w:p>
    <w:p w:rsidR="007A39A2" w:rsidRPr="005A49AC" w:rsidRDefault="00026509" w:rsidP="005A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Европа, Северная Америка, Австралия, Новая Зеландия и Япония: 10 (</w:t>
      </w:r>
      <w:r w:rsidRPr="00F63859">
        <w:rPr>
          <w:rFonts w:ascii="Times New Roman" w:hAnsi="Times New Roman" w:cs="Times New Roman"/>
          <w:sz w:val="24"/>
          <w:szCs w:val="24"/>
        </w:rPr>
        <w:t>phys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+ 12 (</w:t>
      </w:r>
      <w:r w:rsidRPr="00F63859">
        <w:rPr>
          <w:rFonts w:ascii="Times New Roman" w:hAnsi="Times New Roman" w:cs="Times New Roman"/>
          <w:sz w:val="24"/>
          <w:szCs w:val="24"/>
        </w:rPr>
        <w:t>sex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22</w:t>
      </w:r>
    </w:p>
    <w:p w:rsidR="007A39A2" w:rsidRPr="005A49AC" w:rsidRDefault="00026509" w:rsidP="005A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Доступность данных (2000-2009)</w:t>
      </w:r>
    </w:p>
    <w:p w:rsidR="007A39A2" w:rsidRPr="005A49AC" w:rsidRDefault="00026509" w:rsidP="005A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Азиатско-Тихоокеанский регион: 1 (</w:t>
      </w:r>
      <w:r w:rsidRPr="00F63859">
        <w:rPr>
          <w:rFonts w:ascii="Times New Roman" w:hAnsi="Times New Roman" w:cs="Times New Roman"/>
          <w:sz w:val="24"/>
          <w:szCs w:val="24"/>
        </w:rPr>
        <w:t>phys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+ 2 (</w:t>
      </w:r>
      <w:r w:rsidRPr="00F63859">
        <w:rPr>
          <w:rFonts w:ascii="Times New Roman" w:hAnsi="Times New Roman" w:cs="Times New Roman"/>
          <w:sz w:val="24"/>
          <w:szCs w:val="24"/>
        </w:rPr>
        <w:t>sex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3</w:t>
      </w:r>
    </w:p>
    <w:p w:rsidR="007A39A2" w:rsidRPr="005A49AC" w:rsidRDefault="00026509" w:rsidP="005A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Африка: 2 (</w:t>
      </w:r>
      <w:r w:rsidRPr="00F63859">
        <w:rPr>
          <w:rFonts w:ascii="Times New Roman" w:hAnsi="Times New Roman" w:cs="Times New Roman"/>
          <w:sz w:val="24"/>
          <w:szCs w:val="24"/>
        </w:rPr>
        <w:t>phys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+ 0 (</w:t>
      </w:r>
      <w:r w:rsidRPr="00F63859">
        <w:rPr>
          <w:rFonts w:ascii="Times New Roman" w:hAnsi="Times New Roman" w:cs="Times New Roman"/>
          <w:sz w:val="24"/>
          <w:szCs w:val="24"/>
        </w:rPr>
        <w:t>sex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2</w:t>
      </w:r>
    </w:p>
    <w:p w:rsidR="007A39A2" w:rsidRPr="005A49AC" w:rsidRDefault="00026509" w:rsidP="005A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Латинская Америка и </w:t>
      </w:r>
      <w:proofErr w:type="spellStart"/>
      <w:r w:rsidRPr="005A49AC">
        <w:rPr>
          <w:rFonts w:ascii="Times New Roman" w:hAnsi="Times New Roman" w:cs="Times New Roman"/>
          <w:sz w:val="24"/>
          <w:szCs w:val="24"/>
          <w:lang w:val="ru-RU"/>
        </w:rPr>
        <w:t>Карибский</w:t>
      </w:r>
      <w:proofErr w:type="spellEnd"/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 бассейн: 1 (</w:t>
      </w:r>
      <w:r w:rsidRPr="00F63859">
        <w:rPr>
          <w:rFonts w:ascii="Times New Roman" w:hAnsi="Times New Roman" w:cs="Times New Roman"/>
          <w:sz w:val="24"/>
          <w:szCs w:val="24"/>
        </w:rPr>
        <w:t>phys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+ 4 (</w:t>
      </w:r>
      <w:r w:rsidRPr="00F63859">
        <w:rPr>
          <w:rFonts w:ascii="Times New Roman" w:hAnsi="Times New Roman" w:cs="Times New Roman"/>
          <w:sz w:val="24"/>
          <w:szCs w:val="24"/>
        </w:rPr>
        <w:t>sex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5</w:t>
      </w:r>
    </w:p>
    <w:p w:rsidR="007A39A2" w:rsidRPr="005A49AC" w:rsidRDefault="00026509" w:rsidP="005A49A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Европа, Северная Америка, Австралия, Новая Зеландия и Япония: 8 (</w:t>
      </w:r>
      <w:r w:rsidRPr="00F63859">
        <w:rPr>
          <w:rFonts w:ascii="Times New Roman" w:hAnsi="Times New Roman" w:cs="Times New Roman"/>
          <w:sz w:val="24"/>
          <w:szCs w:val="24"/>
        </w:rPr>
        <w:t>phys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+ 14 (</w:t>
      </w:r>
      <w:r w:rsidRPr="00F63859">
        <w:rPr>
          <w:rFonts w:ascii="Times New Roman" w:hAnsi="Times New Roman" w:cs="Times New Roman"/>
          <w:sz w:val="24"/>
          <w:szCs w:val="24"/>
        </w:rPr>
        <w:t>sex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) 22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Также доступные данные и метаданные смотреть по адресу: </w:t>
      </w:r>
      <w:r w:rsidRPr="00F63859">
        <w:rPr>
          <w:rFonts w:ascii="Times New Roman" w:hAnsi="Times New Roman" w:cs="Times New Roman"/>
          <w:sz w:val="24"/>
          <w:szCs w:val="24"/>
        </w:rPr>
        <w:t>https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://</w:t>
      </w:r>
      <w:r w:rsidRPr="00F63859">
        <w:rPr>
          <w:rFonts w:ascii="Times New Roman" w:hAnsi="Times New Roman" w:cs="Times New Roman"/>
          <w:sz w:val="24"/>
          <w:szCs w:val="24"/>
        </w:rPr>
        <w:t>www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63859">
        <w:rPr>
          <w:rFonts w:ascii="Times New Roman" w:hAnsi="Times New Roman" w:cs="Times New Roman"/>
          <w:sz w:val="24"/>
          <w:szCs w:val="24"/>
        </w:rPr>
        <w:t>unodc</w:t>
      </w:r>
      <w:proofErr w:type="spellEnd"/>
      <w:r w:rsidRPr="005A49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63859">
        <w:rPr>
          <w:rFonts w:ascii="Times New Roman" w:hAnsi="Times New Roman" w:cs="Times New Roman"/>
          <w:sz w:val="24"/>
          <w:szCs w:val="24"/>
        </w:rPr>
        <w:t>org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/</w:t>
      </w:r>
      <w:proofErr w:type="spellStart"/>
      <w:r w:rsidRPr="00F63859">
        <w:rPr>
          <w:rFonts w:ascii="Times New Roman" w:hAnsi="Times New Roman" w:cs="Times New Roman"/>
          <w:sz w:val="24"/>
          <w:szCs w:val="24"/>
        </w:rPr>
        <w:t>unodc</w:t>
      </w:r>
      <w:proofErr w:type="spellEnd"/>
      <w:r w:rsidRPr="005A49A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63859">
        <w:rPr>
          <w:rFonts w:ascii="Times New Roman" w:hAnsi="Times New Roman" w:cs="Times New Roman"/>
          <w:sz w:val="24"/>
          <w:szCs w:val="24"/>
        </w:rPr>
        <w:t>en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63859">
        <w:rPr>
          <w:rFonts w:ascii="Times New Roman" w:hAnsi="Times New Roman" w:cs="Times New Roman"/>
          <w:sz w:val="24"/>
          <w:szCs w:val="24"/>
        </w:rPr>
        <w:t>data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63859">
        <w:rPr>
          <w:rFonts w:ascii="Times New Roman" w:hAnsi="Times New Roman" w:cs="Times New Roman"/>
          <w:sz w:val="24"/>
          <w:szCs w:val="24"/>
        </w:rPr>
        <w:t>and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63859">
        <w:rPr>
          <w:rFonts w:ascii="Times New Roman" w:hAnsi="Times New Roman" w:cs="Times New Roman"/>
          <w:sz w:val="24"/>
          <w:szCs w:val="24"/>
        </w:rPr>
        <w:t>analysis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/</w:t>
      </w:r>
      <w:r w:rsidRPr="00F63859">
        <w:rPr>
          <w:rFonts w:ascii="Times New Roman" w:hAnsi="Times New Roman" w:cs="Times New Roman"/>
          <w:sz w:val="24"/>
          <w:szCs w:val="24"/>
        </w:rPr>
        <w:t>crime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63859">
        <w:rPr>
          <w:rFonts w:ascii="Times New Roman" w:hAnsi="Times New Roman" w:cs="Times New Roman"/>
          <w:sz w:val="24"/>
          <w:szCs w:val="24"/>
        </w:rPr>
        <w:t>and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63859">
        <w:rPr>
          <w:rFonts w:ascii="Times New Roman" w:hAnsi="Times New Roman" w:cs="Times New Roman"/>
          <w:sz w:val="24"/>
          <w:szCs w:val="24"/>
        </w:rPr>
        <w:t>criminal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63859">
        <w:rPr>
          <w:rFonts w:ascii="Times New Roman" w:hAnsi="Times New Roman" w:cs="Times New Roman"/>
          <w:sz w:val="24"/>
          <w:szCs w:val="24"/>
        </w:rPr>
        <w:t>justice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63859">
        <w:rPr>
          <w:rFonts w:ascii="Times New Roman" w:hAnsi="Times New Roman" w:cs="Times New Roman"/>
          <w:sz w:val="24"/>
          <w:szCs w:val="24"/>
        </w:rPr>
        <w:t>html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"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Временные ряды: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2006-2014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Календарь</w:t>
      </w:r>
    </w:p>
    <w:p w:rsid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Сбор данных:</w:t>
      </w:r>
      <w:r w:rsidR="005A49A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3859">
        <w:rPr>
          <w:rFonts w:ascii="Times New Roman" w:hAnsi="Times New Roman" w:cs="Times New Roman"/>
          <w:sz w:val="24"/>
          <w:szCs w:val="24"/>
        </w:rPr>
        <w:lastRenderedPageBreak/>
        <w:t>III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F63859">
        <w:rPr>
          <w:rFonts w:ascii="Times New Roman" w:hAnsi="Times New Roman" w:cs="Times New Roman"/>
          <w:sz w:val="24"/>
          <w:szCs w:val="24"/>
        </w:rPr>
        <w:t>IV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 квартал 2016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Выпуск данных: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3859">
        <w:rPr>
          <w:rFonts w:ascii="Times New Roman" w:hAnsi="Times New Roman" w:cs="Times New Roman"/>
          <w:sz w:val="24"/>
          <w:szCs w:val="24"/>
        </w:rPr>
        <w:t>II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 xml:space="preserve"> квартал 2017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Поставщики данных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Национальные статистические управления, полиция, Министерство юстиции, Министерство внутренних дел, прокуратура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Составители данных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ЮНОДК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b/>
          <w:sz w:val="24"/>
          <w:szCs w:val="24"/>
          <w:lang w:val="ru-RU"/>
        </w:rPr>
        <w:t>Ссылки: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3859">
        <w:rPr>
          <w:rFonts w:ascii="Times New Roman" w:hAnsi="Times New Roman" w:cs="Times New Roman"/>
          <w:sz w:val="24"/>
          <w:szCs w:val="24"/>
        </w:rPr>
        <w:t>URL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F63859">
        <w:rPr>
          <w:rFonts w:ascii="Times New Roman" w:hAnsi="Times New Roman" w:cs="Times New Roman"/>
          <w:sz w:val="24"/>
          <w:szCs w:val="24"/>
        </w:rPr>
        <w:t>www</w:t>
      </w:r>
      <w:r w:rsidRPr="005A49AC">
        <w:rPr>
          <w:rFonts w:ascii="Times New Roman" w:hAnsi="Times New Roman" w:cs="Times New Roman"/>
          <w:sz w:val="24"/>
          <w:szCs w:val="24"/>
          <w:lang w:val="ru-RU"/>
        </w:rPr>
        <w:t>.</w:t>
      </w:r>
      <w:proofErr w:type="spellStart"/>
      <w:r w:rsidRPr="00F63859">
        <w:rPr>
          <w:rFonts w:ascii="Times New Roman" w:hAnsi="Times New Roman" w:cs="Times New Roman"/>
          <w:sz w:val="24"/>
          <w:szCs w:val="24"/>
        </w:rPr>
        <w:t>unodc</w:t>
      </w:r>
      <w:proofErr w:type="spellEnd"/>
      <w:r w:rsidRPr="005A49AC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F63859">
        <w:rPr>
          <w:rFonts w:ascii="Times New Roman" w:hAnsi="Times New Roman" w:cs="Times New Roman"/>
          <w:sz w:val="24"/>
          <w:szCs w:val="24"/>
        </w:rPr>
        <w:t>org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Ссылки</w:t>
      </w:r>
    </w:p>
    <w:p w:rsidR="007A39A2" w:rsidRPr="005A49AC" w:rsidRDefault="00026509" w:rsidP="00F6385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5A49AC">
        <w:rPr>
          <w:rFonts w:ascii="Times New Roman" w:hAnsi="Times New Roman" w:cs="Times New Roman"/>
          <w:sz w:val="24"/>
          <w:szCs w:val="24"/>
          <w:lang w:val="ru-RU"/>
        </w:rPr>
        <w:t>ЮНОДК собирает данные о распространенности преступности и насилия в рамках своего ежегодного сбора данных о преступности и уголовном правосудии (обследование ООН тенденций в области преступности, ОТП ООН).</w:t>
      </w:r>
    </w:p>
    <w:p w:rsidR="007A39A2" w:rsidRPr="00D609E0" w:rsidRDefault="00026509" w:rsidP="00F63859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spellStart"/>
      <w:r w:rsidRPr="00D609E0">
        <w:rPr>
          <w:rFonts w:ascii="Times New Roman" w:hAnsi="Times New Roman" w:cs="Times New Roman"/>
          <w:b/>
          <w:sz w:val="24"/>
          <w:szCs w:val="24"/>
        </w:rPr>
        <w:t>Связанные</w:t>
      </w:r>
      <w:proofErr w:type="spellEnd"/>
      <w:r w:rsidRPr="00D609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609E0">
        <w:rPr>
          <w:rFonts w:ascii="Times New Roman" w:hAnsi="Times New Roman" w:cs="Times New Roman"/>
          <w:b/>
          <w:sz w:val="24"/>
          <w:szCs w:val="24"/>
        </w:rPr>
        <w:t>индикаторы</w:t>
      </w:r>
      <w:proofErr w:type="spellEnd"/>
      <w:r w:rsidRPr="00D609E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bookmarkEnd w:id="0"/>
    <w:p w:rsidR="007A39A2" w:rsidRPr="00F63859" w:rsidRDefault="00026509" w:rsidP="00F63859">
      <w:pPr>
        <w:jc w:val="both"/>
        <w:rPr>
          <w:rFonts w:ascii="Times New Roman" w:hAnsi="Times New Roman" w:cs="Times New Roman"/>
          <w:sz w:val="24"/>
          <w:szCs w:val="24"/>
        </w:rPr>
      </w:pPr>
      <w:r w:rsidRPr="00F63859">
        <w:rPr>
          <w:rFonts w:ascii="Times New Roman" w:hAnsi="Times New Roman" w:cs="Times New Roman"/>
          <w:sz w:val="24"/>
          <w:szCs w:val="24"/>
        </w:rPr>
        <w:br/>
        <w:t>16.2, 16.3, 16.a, 5.2</w:t>
      </w:r>
    </w:p>
    <w:p w:rsidR="007A39A2" w:rsidRPr="00F63859" w:rsidRDefault="007A39A2" w:rsidP="00F63859">
      <w:pPr>
        <w:jc w:val="both"/>
        <w:rPr>
          <w:rFonts w:ascii="Times New Roman" w:hAnsi="Times New Roman" w:cs="Times New Roman"/>
          <w:sz w:val="24"/>
          <w:szCs w:val="24"/>
        </w:rPr>
        <w:sectPr w:rsidR="007A39A2" w:rsidRPr="00F63859" w:rsidSect="005A49AC">
          <w:pgSz w:w="11900" w:h="16838"/>
          <w:pgMar w:top="1436" w:right="701" w:bottom="1440" w:left="1440" w:header="720" w:footer="720" w:gutter="0"/>
          <w:cols w:space="720" w:equalWidth="0">
            <w:col w:w="9759"/>
          </w:cols>
        </w:sectPr>
      </w:pPr>
    </w:p>
    <w:p w:rsidR="007A39A2" w:rsidRPr="00F63859" w:rsidRDefault="007A39A2" w:rsidP="005A49A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39A2" w:rsidRPr="00F63859" w:rsidSect="006978AA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D7F1C"/>
    <w:multiLevelType w:val="hybridMultilevel"/>
    <w:tmpl w:val="5EC65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7D3513C6"/>
    <w:rsid w:val="00026509"/>
    <w:rsid w:val="0052457E"/>
    <w:rsid w:val="005A49AC"/>
    <w:rsid w:val="006978AA"/>
    <w:rsid w:val="007A39A2"/>
    <w:rsid w:val="00B63E8A"/>
    <w:rsid w:val="00D609E0"/>
    <w:rsid w:val="00F45B63"/>
    <w:rsid w:val="00F63859"/>
    <w:rsid w:val="0D5D3050"/>
    <w:rsid w:val="12545769"/>
    <w:rsid w:val="14AC21A7"/>
    <w:rsid w:val="15A31C16"/>
    <w:rsid w:val="17B222F8"/>
    <w:rsid w:val="21CD1B74"/>
    <w:rsid w:val="21DD4730"/>
    <w:rsid w:val="2BD36DED"/>
    <w:rsid w:val="5108489C"/>
    <w:rsid w:val="58171973"/>
    <w:rsid w:val="5933023B"/>
    <w:rsid w:val="6A5201A0"/>
    <w:rsid w:val="6E60579C"/>
    <w:rsid w:val="6E857F1C"/>
    <w:rsid w:val="6E867F83"/>
    <w:rsid w:val="72740E82"/>
    <w:rsid w:val="742B723F"/>
    <w:rsid w:val="779244E2"/>
    <w:rsid w:val="7D351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78AA"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78AA"/>
    <w:rPr>
      <w:sz w:val="24"/>
      <w:szCs w:val="24"/>
    </w:rPr>
  </w:style>
  <w:style w:type="character" w:styleId="a4">
    <w:name w:val="Hyperlink"/>
    <w:basedOn w:val="a0"/>
    <w:qFormat/>
    <w:rsid w:val="006978AA"/>
    <w:rPr>
      <w:color w:val="0000FF"/>
      <w:u w:val="single"/>
    </w:rPr>
  </w:style>
  <w:style w:type="paragraph" w:customStyle="1" w:styleId="a5">
    <w:name w:val="Текстовый блок"/>
    <w:qFormat/>
    <w:rsid w:val="006978AA"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unhideWhenUsed/>
    <w:rsid w:val="00F45B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Pr>
      <w:sz w:val="24"/>
      <w:szCs w:val="24"/>
    </w:rPr>
  </w:style>
  <w:style w:type="character" w:styleId="a4">
    <w:name w:val="Hyperlink"/>
    <w:basedOn w:val="a0"/>
    <w:qFormat/>
    <w:rPr>
      <w:color w:val="0000FF"/>
      <w:u w:val="single"/>
    </w:rPr>
  </w:style>
  <w:style w:type="paragraph" w:customStyle="1" w:styleId="a5">
    <w:name w:val="Текстовый блок"/>
    <w:qFormat/>
    <w:pPr>
      <w:framePr w:wrap="around" w:hAnchor="text"/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</w:rPr>
  </w:style>
  <w:style w:type="paragraph" w:styleId="a6">
    <w:name w:val="List Paragraph"/>
    <w:basedOn w:val="a"/>
    <w:uiPriority w:val="99"/>
    <w:unhideWhenUsed/>
    <w:rsid w:val="00F45B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1302</Words>
  <Characters>7427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8712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</dc:creator>
  <cp:lastModifiedBy>sh.iskakova</cp:lastModifiedBy>
  <cp:revision>3</cp:revision>
  <cp:lastPrinted>2018-10-11T04:37:00Z</cp:lastPrinted>
  <dcterms:created xsi:type="dcterms:W3CDTF">2018-05-08T13:41:00Z</dcterms:created>
  <dcterms:modified xsi:type="dcterms:W3CDTF">2018-10-11T04:40:00Z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