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4C490" w14:textId="7AFB1AC1" w:rsidR="000A1B0D" w:rsidRPr="00DB53C9" w:rsidRDefault="00DF5DBC" w:rsidP="000F2722">
      <w:pPr>
        <w:shd w:val="clear" w:color="auto" w:fill="F5F5F5"/>
        <w:spacing w:after="0"/>
        <w:contextualSpacing/>
        <w:jc w:val="both"/>
        <w:outlineLvl w:val="1"/>
        <w:rPr>
          <w:rFonts w:ascii="Calibri" w:eastAsia="Times New Roman" w:hAnsi="Calibri" w:cs="Calibri"/>
          <w:color w:val="333333"/>
          <w:sz w:val="24"/>
          <w:szCs w:val="24"/>
          <w:lang w:eastAsia="en-GB"/>
        </w:rPr>
      </w:pPr>
      <w:r w:rsidRPr="00DB53C9">
        <w:rPr>
          <w:rFonts w:ascii="Calibri" w:eastAsia="Times New Roman" w:hAnsi="Calibri" w:cs="Calibri"/>
          <w:color w:val="333333"/>
          <w:sz w:val="24"/>
          <w:szCs w:val="24"/>
          <w:lang w:eastAsia="en-GB"/>
        </w:rPr>
        <w:t xml:space="preserve">Goal </w:t>
      </w:r>
      <w:r w:rsidR="008233B2" w:rsidRPr="00DB53C9">
        <w:rPr>
          <w:rFonts w:ascii="Calibri" w:eastAsia="Times New Roman" w:hAnsi="Calibri" w:cs="Calibri"/>
          <w:color w:val="333333"/>
          <w:sz w:val="24"/>
          <w:szCs w:val="24"/>
          <w:lang w:eastAsia="en-GB"/>
        </w:rPr>
        <w:t>3</w:t>
      </w:r>
      <w:r w:rsidRPr="00DB53C9">
        <w:rPr>
          <w:rFonts w:ascii="Calibri" w:eastAsia="Times New Roman" w:hAnsi="Calibri" w:cs="Calibri"/>
          <w:color w:val="333333"/>
          <w:sz w:val="24"/>
          <w:szCs w:val="24"/>
          <w:lang w:eastAsia="en-GB"/>
        </w:rPr>
        <w:t xml:space="preserve">: </w:t>
      </w:r>
      <w:r w:rsidR="008233B2" w:rsidRPr="00DB53C9">
        <w:rPr>
          <w:rFonts w:ascii="Calibri" w:eastAsia="Times New Roman" w:hAnsi="Calibri" w:cs="Calibri"/>
          <w:color w:val="333333"/>
          <w:sz w:val="24"/>
          <w:szCs w:val="24"/>
          <w:lang w:eastAsia="en-GB"/>
        </w:rPr>
        <w:t>Ensure healthy lives and promote well-being for all at all ages</w:t>
      </w:r>
    </w:p>
    <w:p w14:paraId="302836C7" w14:textId="6BDD978E" w:rsidR="000F2722" w:rsidRDefault="000F2722" w:rsidP="000F2722">
      <w:pPr>
        <w:shd w:val="clear" w:color="auto" w:fill="F5F5F5"/>
        <w:spacing w:after="0"/>
        <w:contextualSpacing/>
        <w:jc w:val="both"/>
        <w:outlineLvl w:val="1"/>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Target</w:t>
      </w:r>
      <w:r w:rsidR="008233B2" w:rsidRPr="00DB53C9">
        <w:rPr>
          <w:rFonts w:ascii="Calibri" w:eastAsia="Times New Roman" w:hAnsi="Calibri" w:cs="Calibri"/>
          <w:color w:val="333333"/>
          <w:sz w:val="24"/>
          <w:szCs w:val="24"/>
          <w:lang w:eastAsia="en-GB"/>
        </w:rPr>
        <w:t xml:space="preserve"> 3.d:  Strengthen the capacity of all countries, in particular developing countries, for early warning, risk reduction and management of national and global health risks </w:t>
      </w:r>
    </w:p>
    <w:p w14:paraId="1BF81D2B" w14:textId="2BA9E7A4" w:rsidR="00CD78EF" w:rsidRPr="00CD78EF" w:rsidRDefault="00DF5DBC" w:rsidP="000F2722">
      <w:pPr>
        <w:shd w:val="clear" w:color="auto" w:fill="F5F5F5"/>
        <w:spacing w:after="0"/>
        <w:contextualSpacing/>
        <w:jc w:val="both"/>
        <w:outlineLvl w:val="1"/>
        <w:rPr>
          <w:b/>
          <w:bCs/>
          <w:color w:val="000000"/>
          <w:sz w:val="29"/>
          <w:szCs w:val="29"/>
          <w:shd w:val="clear" w:color="auto" w:fill="FFFF00"/>
        </w:rPr>
      </w:pPr>
      <w:r w:rsidRPr="009822A2">
        <w:rPr>
          <w:rFonts w:ascii="Calibri" w:eastAsia="Times New Roman" w:hAnsi="Calibri" w:cs="Calibri"/>
          <w:b/>
          <w:color w:val="1C75BC"/>
          <w:sz w:val="24"/>
          <w:szCs w:val="24"/>
          <w:lang w:eastAsia="en-GB"/>
        </w:rPr>
        <w:t xml:space="preserve">Indicator </w:t>
      </w:r>
      <w:r w:rsidR="008233B2" w:rsidRPr="009822A2">
        <w:rPr>
          <w:rFonts w:ascii="Calibri" w:eastAsia="Times New Roman" w:hAnsi="Calibri" w:cs="Calibri"/>
          <w:b/>
          <w:color w:val="1C75BC"/>
          <w:sz w:val="24"/>
          <w:szCs w:val="24"/>
          <w:lang w:eastAsia="en-GB"/>
        </w:rPr>
        <w:t>3.d.2</w:t>
      </w:r>
      <w:r w:rsidRPr="00D50231">
        <w:rPr>
          <w:rFonts w:ascii="Calibri" w:eastAsia="Times New Roman" w:hAnsi="Calibri" w:cs="Calibri"/>
          <w:color w:val="1C75BC"/>
          <w:sz w:val="24"/>
          <w:szCs w:val="24"/>
          <w:lang w:eastAsia="en-GB"/>
        </w:rPr>
        <w:t xml:space="preserve">: </w:t>
      </w:r>
      <w:r w:rsidR="00CD78EF" w:rsidRPr="001112FD">
        <w:rPr>
          <w:rFonts w:ascii="Calibri" w:eastAsia="Times New Roman" w:hAnsi="Calibri" w:cs="Calibri"/>
          <w:b/>
          <w:bCs/>
          <w:color w:val="333333"/>
          <w:sz w:val="24"/>
          <w:szCs w:val="24"/>
          <w:lang w:eastAsia="en-GB"/>
        </w:rPr>
        <w:t>Percentage of bloodstream infections due to selected antimicrobial-resistant organisms</w:t>
      </w:r>
    </w:p>
    <w:p w14:paraId="524FF8C2" w14:textId="3FE1E8D0" w:rsidR="00DF5DBC" w:rsidRPr="00DB53C9" w:rsidRDefault="00DF5DBC" w:rsidP="00207491">
      <w:pPr>
        <w:shd w:val="clear" w:color="auto" w:fill="F5F5F5"/>
        <w:spacing w:after="0"/>
        <w:contextualSpacing/>
        <w:jc w:val="both"/>
        <w:outlineLvl w:val="1"/>
        <w:rPr>
          <w:rFonts w:ascii="Calibri" w:eastAsia="Times New Roman" w:hAnsi="Calibri" w:cs="Calibri"/>
          <w:b/>
          <w:color w:val="1C75BC"/>
          <w:sz w:val="24"/>
          <w:szCs w:val="24"/>
          <w:lang w:eastAsia="en-GB"/>
        </w:rPr>
      </w:pPr>
    </w:p>
    <w:p w14:paraId="61070331" w14:textId="77777777" w:rsidR="00DF5DBC" w:rsidRPr="00207491" w:rsidRDefault="00DF5DBC" w:rsidP="00207491">
      <w:pPr>
        <w:pBdr>
          <w:bottom w:val="single" w:sz="12" w:space="4" w:color="DDDDDD"/>
        </w:pBdr>
        <w:shd w:val="clear" w:color="auto" w:fill="FFFFFF"/>
        <w:spacing w:after="0"/>
        <w:contextualSpacing/>
        <w:jc w:val="both"/>
        <w:outlineLvl w:val="2"/>
        <w:rPr>
          <w:rFonts w:ascii="Calibri" w:eastAsia="Times New Roman" w:hAnsi="Calibri" w:cs="Calibri"/>
          <w:color w:val="1C75BC"/>
          <w:sz w:val="36"/>
          <w:szCs w:val="36"/>
          <w:lang w:eastAsia="en-GB"/>
        </w:rPr>
      </w:pPr>
    </w:p>
    <w:p w14:paraId="65124B09" w14:textId="77777777" w:rsidR="00DF5DBC" w:rsidRPr="00207491" w:rsidRDefault="00DF5DBC" w:rsidP="00207491">
      <w:pPr>
        <w:pBdr>
          <w:bottom w:val="single" w:sz="12" w:space="4" w:color="DDDDDD"/>
        </w:pBdr>
        <w:shd w:val="clear" w:color="auto" w:fill="FFFFFF"/>
        <w:spacing w:after="0"/>
        <w:contextualSpacing/>
        <w:jc w:val="both"/>
        <w:outlineLvl w:val="2"/>
        <w:rPr>
          <w:rFonts w:ascii="Calibri" w:eastAsia="Times New Roman" w:hAnsi="Calibri" w:cs="Calibri"/>
          <w:color w:val="1C75BC"/>
          <w:sz w:val="36"/>
          <w:szCs w:val="36"/>
          <w:lang w:eastAsia="en-GB"/>
        </w:rPr>
      </w:pPr>
      <w:r w:rsidRPr="00207491">
        <w:rPr>
          <w:rFonts w:ascii="Calibri" w:eastAsia="Times New Roman" w:hAnsi="Calibri" w:cs="Calibri"/>
          <w:color w:val="1C75BC"/>
          <w:sz w:val="36"/>
          <w:szCs w:val="36"/>
          <w:lang w:eastAsia="en-GB"/>
        </w:rPr>
        <w:t>Institutional information</w:t>
      </w:r>
    </w:p>
    <w:p w14:paraId="09D5891D" w14:textId="77777777" w:rsidR="00DF5DBC" w:rsidRPr="00207491" w:rsidRDefault="00DF5DBC" w:rsidP="00207491">
      <w:pPr>
        <w:shd w:val="clear" w:color="auto" w:fill="FFFFFF"/>
        <w:spacing w:after="0"/>
        <w:contextualSpacing/>
        <w:jc w:val="both"/>
        <w:rPr>
          <w:rFonts w:ascii="Calibri" w:eastAsia="Times New Roman" w:hAnsi="Calibri" w:cs="Calibri"/>
          <w:b/>
          <w:bCs/>
          <w:color w:val="4A4A4A"/>
          <w:sz w:val="21"/>
          <w:szCs w:val="21"/>
          <w:lang w:eastAsia="en-GB"/>
        </w:rPr>
      </w:pPr>
    </w:p>
    <w:p w14:paraId="5FF9E624" w14:textId="77777777" w:rsidR="00DF5DBC" w:rsidRPr="00207491" w:rsidRDefault="00DF5DBC" w:rsidP="00207491">
      <w:pPr>
        <w:shd w:val="clear" w:color="auto" w:fill="FFFFFF"/>
        <w:spacing w:after="0"/>
        <w:contextualSpacing/>
        <w:jc w:val="both"/>
        <w:rPr>
          <w:rFonts w:ascii="Calibri" w:eastAsia="Times New Roman" w:hAnsi="Calibri" w:cs="Calibri"/>
          <w:color w:val="4A4A4A"/>
          <w:sz w:val="21"/>
          <w:szCs w:val="21"/>
          <w:lang w:eastAsia="en-GB"/>
        </w:rPr>
      </w:pPr>
      <w:r w:rsidRPr="00207491">
        <w:rPr>
          <w:rFonts w:ascii="Calibri" w:eastAsia="Times New Roman" w:hAnsi="Calibri" w:cs="Calibri"/>
          <w:b/>
          <w:bCs/>
          <w:color w:val="4A4A4A"/>
          <w:sz w:val="21"/>
          <w:szCs w:val="21"/>
          <w:lang w:eastAsia="en-GB"/>
        </w:rPr>
        <w:t>Organization(s):</w:t>
      </w:r>
    </w:p>
    <w:p w14:paraId="10FECD4C" w14:textId="77777777" w:rsidR="00DF5DBC" w:rsidRPr="00207491" w:rsidRDefault="00DF5DBC" w:rsidP="00207491">
      <w:pPr>
        <w:shd w:val="clear" w:color="auto" w:fill="FFFFFF"/>
        <w:spacing w:after="0"/>
        <w:contextualSpacing/>
        <w:jc w:val="both"/>
        <w:rPr>
          <w:rFonts w:ascii="Calibri" w:eastAsia="Times New Roman" w:hAnsi="Calibri" w:cs="Calibri"/>
          <w:color w:val="4A4A4A"/>
          <w:sz w:val="21"/>
          <w:szCs w:val="21"/>
          <w:lang w:eastAsia="en-GB"/>
        </w:rPr>
      </w:pPr>
      <w:r w:rsidRPr="00207491">
        <w:rPr>
          <w:rFonts w:ascii="Calibri" w:eastAsia="Times New Roman" w:hAnsi="Calibri" w:cs="Calibri"/>
          <w:color w:val="4A4A4A"/>
          <w:sz w:val="21"/>
          <w:szCs w:val="21"/>
          <w:lang w:eastAsia="en-GB"/>
        </w:rPr>
        <w:t>World Health Organization (WHO)</w:t>
      </w:r>
    </w:p>
    <w:p w14:paraId="1A168466" w14:textId="77777777" w:rsidR="00DF5DBC" w:rsidRPr="00207491" w:rsidRDefault="00DF5DBC" w:rsidP="00207491">
      <w:pPr>
        <w:shd w:val="clear" w:color="auto" w:fill="FFFFFF"/>
        <w:spacing w:after="0"/>
        <w:contextualSpacing/>
        <w:jc w:val="both"/>
        <w:rPr>
          <w:rFonts w:ascii="Calibri" w:eastAsia="Times New Roman" w:hAnsi="Calibri" w:cs="Calibri"/>
          <w:color w:val="4A4A4A"/>
          <w:sz w:val="21"/>
          <w:szCs w:val="21"/>
          <w:lang w:eastAsia="en-GB"/>
        </w:rPr>
      </w:pPr>
    </w:p>
    <w:p w14:paraId="6CE201D6" w14:textId="77777777" w:rsidR="00DF5DBC" w:rsidRPr="00207491" w:rsidRDefault="00DF5DBC" w:rsidP="00207491">
      <w:pPr>
        <w:pBdr>
          <w:bottom w:val="single" w:sz="12" w:space="4" w:color="DDDDDD"/>
        </w:pBdr>
        <w:shd w:val="clear" w:color="auto" w:fill="FFFFFF"/>
        <w:spacing w:after="0"/>
        <w:contextualSpacing/>
        <w:jc w:val="both"/>
        <w:outlineLvl w:val="2"/>
        <w:rPr>
          <w:rFonts w:ascii="Calibri" w:eastAsia="Times New Roman" w:hAnsi="Calibri" w:cs="Calibri"/>
          <w:color w:val="1C75BC"/>
          <w:sz w:val="36"/>
          <w:szCs w:val="36"/>
          <w:lang w:eastAsia="en-GB"/>
        </w:rPr>
      </w:pPr>
      <w:r w:rsidRPr="00207491">
        <w:rPr>
          <w:rFonts w:ascii="Calibri" w:eastAsia="Times New Roman" w:hAnsi="Calibri" w:cs="Calibri"/>
          <w:color w:val="1C75BC"/>
          <w:sz w:val="36"/>
          <w:szCs w:val="36"/>
          <w:lang w:eastAsia="en-GB"/>
        </w:rPr>
        <w:t>Concepts and definitions</w:t>
      </w:r>
    </w:p>
    <w:p w14:paraId="356D6534" w14:textId="77777777" w:rsidR="00DF5DBC" w:rsidRPr="00207491" w:rsidRDefault="00DF5DBC" w:rsidP="00207491">
      <w:pPr>
        <w:shd w:val="clear" w:color="auto" w:fill="FFFFFF"/>
        <w:spacing w:after="0"/>
        <w:contextualSpacing/>
        <w:jc w:val="both"/>
        <w:rPr>
          <w:rFonts w:ascii="Calibri" w:eastAsia="Times New Roman" w:hAnsi="Calibri" w:cs="Calibri"/>
          <w:b/>
          <w:bCs/>
          <w:color w:val="4A4A4A"/>
          <w:sz w:val="21"/>
          <w:szCs w:val="21"/>
          <w:lang w:eastAsia="en-GB"/>
        </w:rPr>
      </w:pPr>
    </w:p>
    <w:p w14:paraId="40D05C79" w14:textId="77777777" w:rsidR="00DF5DBC" w:rsidRPr="00207491" w:rsidRDefault="00DF5DBC" w:rsidP="00207491">
      <w:pPr>
        <w:shd w:val="clear" w:color="auto" w:fill="FFFFFF"/>
        <w:spacing w:after="0"/>
        <w:contextualSpacing/>
        <w:jc w:val="both"/>
        <w:rPr>
          <w:rFonts w:ascii="Calibri" w:hAnsi="Calibri" w:cs="Calibri"/>
          <w:b/>
          <w:bCs/>
        </w:rPr>
      </w:pPr>
      <w:r w:rsidRPr="00207491">
        <w:rPr>
          <w:rFonts w:ascii="Calibri" w:hAnsi="Calibri" w:cs="Calibri"/>
          <w:b/>
          <w:bCs/>
        </w:rPr>
        <w:t>Definition</w:t>
      </w:r>
      <w:r w:rsidR="0054343B" w:rsidRPr="00207491">
        <w:rPr>
          <w:rFonts w:ascii="Calibri" w:hAnsi="Calibri" w:cs="Calibri"/>
          <w:b/>
          <w:bCs/>
        </w:rPr>
        <w:t>s</w:t>
      </w:r>
      <w:r w:rsidRPr="00207491">
        <w:rPr>
          <w:rFonts w:ascii="Calibri" w:hAnsi="Calibri" w:cs="Calibri"/>
          <w:b/>
          <w:bCs/>
        </w:rPr>
        <w:t>:</w:t>
      </w:r>
    </w:p>
    <w:p w14:paraId="14786CF8" w14:textId="3C7ED6BF" w:rsidR="008233B2" w:rsidRPr="00207491" w:rsidRDefault="007D27A1" w:rsidP="00207491">
      <w:pPr>
        <w:shd w:val="clear" w:color="auto" w:fill="FFFFFF"/>
        <w:spacing w:after="0"/>
        <w:contextualSpacing/>
        <w:jc w:val="both"/>
        <w:rPr>
          <w:rFonts w:ascii="Calibri" w:hAnsi="Calibri" w:cs="Calibri"/>
          <w:bCs/>
        </w:rPr>
      </w:pPr>
      <w:r>
        <w:rPr>
          <w:rFonts w:ascii="Calibri" w:hAnsi="Calibri" w:cs="Calibri"/>
          <w:bCs/>
        </w:rPr>
        <w:t>Percentage</w:t>
      </w:r>
      <w:r w:rsidRPr="00207491">
        <w:rPr>
          <w:rFonts w:ascii="Calibri" w:hAnsi="Calibri" w:cs="Calibri"/>
          <w:bCs/>
        </w:rPr>
        <w:t xml:space="preserve"> </w:t>
      </w:r>
      <w:r w:rsidR="008233B2" w:rsidRPr="00207491">
        <w:rPr>
          <w:rFonts w:ascii="Calibri" w:hAnsi="Calibri" w:cs="Calibri"/>
          <w:bCs/>
        </w:rPr>
        <w:t xml:space="preserve">of bloodstream infection due to methicillin-resistant </w:t>
      </w:r>
      <w:r w:rsidR="008233B2" w:rsidRPr="00207491">
        <w:rPr>
          <w:rFonts w:ascii="Calibri" w:hAnsi="Calibri" w:cs="Calibri"/>
          <w:bCs/>
          <w:i/>
        </w:rPr>
        <w:t>Staphylococcus aureus</w:t>
      </w:r>
      <w:r w:rsidR="008233B2" w:rsidRPr="00207491">
        <w:rPr>
          <w:rFonts w:ascii="Calibri" w:hAnsi="Calibri" w:cs="Calibri"/>
          <w:bCs/>
        </w:rPr>
        <w:t xml:space="preserve"> (MRSA) and </w:t>
      </w:r>
      <w:r w:rsidR="008233B2" w:rsidRPr="00207491">
        <w:rPr>
          <w:rFonts w:ascii="Calibri" w:hAnsi="Calibri" w:cs="Calibri"/>
          <w:bCs/>
          <w:i/>
        </w:rPr>
        <w:t>Escherichia coli</w:t>
      </w:r>
      <w:r w:rsidR="008233B2" w:rsidRPr="00207491">
        <w:rPr>
          <w:rFonts w:ascii="Calibri" w:hAnsi="Calibri" w:cs="Calibri"/>
          <w:bCs/>
        </w:rPr>
        <w:t xml:space="preserve"> resistant to 3rd-generation cephalosporin (e.g., ESBL- E. coli)</w:t>
      </w:r>
      <w:r w:rsidR="008E720E" w:rsidRPr="008E720E">
        <w:rPr>
          <w:rFonts w:ascii="Calibri" w:eastAsia="Times New Roman" w:hAnsi="Calibri" w:cs="Calibri"/>
          <w:color w:val="1C75BC"/>
          <w:sz w:val="28"/>
          <w:szCs w:val="28"/>
          <w:lang w:eastAsia="en-GB"/>
        </w:rPr>
        <w:t xml:space="preserve"> </w:t>
      </w:r>
      <w:r w:rsidR="008E720E" w:rsidRPr="008E720E">
        <w:rPr>
          <w:rFonts w:ascii="Calibri" w:hAnsi="Calibri" w:cs="Calibri"/>
          <w:bCs/>
        </w:rPr>
        <w:t xml:space="preserve">among patients seeking care and </w:t>
      </w:r>
      <w:r w:rsidR="003F34F4">
        <w:rPr>
          <w:rFonts w:ascii="Calibri" w:hAnsi="Calibri" w:cs="Calibri"/>
          <w:bCs/>
        </w:rPr>
        <w:t xml:space="preserve">whose </w:t>
      </w:r>
      <w:r w:rsidR="008E720E" w:rsidRPr="008E720E">
        <w:rPr>
          <w:rFonts w:ascii="Calibri" w:hAnsi="Calibri" w:cs="Calibri"/>
          <w:bCs/>
        </w:rPr>
        <w:t>blood sample</w:t>
      </w:r>
      <w:r w:rsidR="003F34F4">
        <w:rPr>
          <w:rFonts w:ascii="Calibri" w:hAnsi="Calibri" w:cs="Calibri"/>
          <w:bCs/>
        </w:rPr>
        <w:t xml:space="preserve"> </w:t>
      </w:r>
      <w:r>
        <w:rPr>
          <w:rFonts w:ascii="Calibri" w:hAnsi="Calibri" w:cs="Calibri"/>
          <w:bCs/>
        </w:rPr>
        <w:t xml:space="preserve">is taken and </w:t>
      </w:r>
      <w:r w:rsidR="003F34F4">
        <w:rPr>
          <w:rFonts w:ascii="Calibri" w:hAnsi="Calibri" w:cs="Calibri"/>
          <w:bCs/>
        </w:rPr>
        <w:t>tested</w:t>
      </w:r>
      <w:r w:rsidR="008E720E" w:rsidRPr="008E720E">
        <w:rPr>
          <w:rFonts w:ascii="Calibri" w:hAnsi="Calibri" w:cs="Calibri"/>
          <w:bCs/>
        </w:rPr>
        <w:t>.</w:t>
      </w:r>
    </w:p>
    <w:p w14:paraId="6AF925DB" w14:textId="77777777" w:rsidR="00B74C89" w:rsidRPr="00207491" w:rsidRDefault="00B74C89" w:rsidP="00207491">
      <w:pPr>
        <w:shd w:val="clear" w:color="auto" w:fill="FFFFFF"/>
        <w:spacing w:after="0"/>
        <w:contextualSpacing/>
        <w:jc w:val="both"/>
        <w:rPr>
          <w:rFonts w:ascii="Calibri" w:hAnsi="Calibri" w:cs="Calibri"/>
          <w:bCs/>
        </w:rPr>
      </w:pPr>
    </w:p>
    <w:p w14:paraId="732E3280" w14:textId="527DF684" w:rsidR="00254310" w:rsidRPr="00207491" w:rsidRDefault="006927FB" w:rsidP="00207491">
      <w:pPr>
        <w:pStyle w:val="ListParagraph"/>
        <w:numPr>
          <w:ilvl w:val="0"/>
          <w:numId w:val="7"/>
        </w:numPr>
        <w:pBdr>
          <w:top w:val="nil"/>
          <w:left w:val="nil"/>
          <w:bottom w:val="nil"/>
          <w:right w:val="nil"/>
          <w:between w:val="nil"/>
        </w:pBdr>
        <w:spacing w:before="120" w:line="360" w:lineRule="auto"/>
        <w:jc w:val="both"/>
        <w:rPr>
          <w:rFonts w:ascii="Calibri" w:hAnsi="Calibri" w:cs="Calibri"/>
        </w:rPr>
      </w:pPr>
      <w:r w:rsidRPr="00207491">
        <w:rPr>
          <w:rFonts w:ascii="Calibri" w:hAnsi="Calibri" w:cs="Calibri"/>
          <w:color w:val="000000"/>
        </w:rPr>
        <w:t>P</w:t>
      </w:r>
      <w:r w:rsidR="00254310" w:rsidRPr="00207491">
        <w:rPr>
          <w:rFonts w:ascii="Calibri" w:hAnsi="Calibri" w:cs="Calibri"/>
          <w:color w:val="000000"/>
        </w:rPr>
        <w:t xml:space="preserve">resumptive methicillin-resistant </w:t>
      </w:r>
      <w:r w:rsidR="00254310" w:rsidRPr="00207491">
        <w:rPr>
          <w:rFonts w:ascii="Calibri" w:hAnsi="Calibri" w:cs="Calibri"/>
          <w:i/>
          <w:color w:val="000000"/>
        </w:rPr>
        <w:t>S. aureus</w:t>
      </w:r>
      <w:r w:rsidR="00254310" w:rsidRPr="00207491">
        <w:rPr>
          <w:rFonts w:ascii="Calibri" w:hAnsi="Calibri" w:cs="Calibri"/>
          <w:color w:val="000000"/>
        </w:rPr>
        <w:t xml:space="preserve"> </w:t>
      </w:r>
      <w:r w:rsidR="009D3F60" w:rsidRPr="00207491">
        <w:rPr>
          <w:rFonts w:ascii="Calibri" w:hAnsi="Calibri" w:cs="Calibri"/>
          <w:color w:val="000000"/>
        </w:rPr>
        <w:t xml:space="preserve">(MRSA) </w:t>
      </w:r>
      <w:r w:rsidR="00254310" w:rsidRPr="00207491">
        <w:rPr>
          <w:rFonts w:ascii="Calibri" w:hAnsi="Calibri" w:cs="Calibri"/>
          <w:color w:val="000000"/>
        </w:rPr>
        <w:t xml:space="preserve">isolates as defined by oxacillin </w:t>
      </w:r>
      <w:r w:rsidR="009D3F60" w:rsidRPr="00207491">
        <w:rPr>
          <w:rFonts w:ascii="Calibri" w:hAnsi="Calibri" w:cs="Calibri"/>
          <w:color w:val="000000"/>
        </w:rPr>
        <w:t>minimum inhibitory concentration (</w:t>
      </w:r>
      <w:r w:rsidR="00254310" w:rsidRPr="00207491">
        <w:rPr>
          <w:rFonts w:ascii="Calibri" w:hAnsi="Calibri" w:cs="Calibri"/>
          <w:color w:val="000000"/>
        </w:rPr>
        <w:t>MIC</w:t>
      </w:r>
      <w:r w:rsidR="009D3F60" w:rsidRPr="00207491">
        <w:rPr>
          <w:rFonts w:ascii="Calibri" w:hAnsi="Calibri" w:cs="Calibri"/>
          <w:color w:val="000000"/>
        </w:rPr>
        <w:t>)</w:t>
      </w:r>
      <w:r w:rsidR="00254310" w:rsidRPr="00207491">
        <w:rPr>
          <w:rFonts w:ascii="Calibri" w:hAnsi="Calibri" w:cs="Calibri"/>
          <w:color w:val="000000"/>
        </w:rPr>
        <w:t xml:space="preserve"> and cefoxitin disc diffusion tests according to current internationally recognized clinical breakp</w:t>
      </w:r>
      <w:r w:rsidR="00207491" w:rsidRPr="00207491">
        <w:rPr>
          <w:rFonts w:ascii="Calibri" w:hAnsi="Calibri" w:cs="Calibri"/>
          <w:color w:val="000000"/>
        </w:rPr>
        <w:t>oints (e.g.</w:t>
      </w:r>
      <w:r w:rsidR="007D27A1">
        <w:rPr>
          <w:rFonts w:ascii="Calibri" w:hAnsi="Calibri" w:cs="Calibri"/>
          <w:color w:val="000000"/>
        </w:rPr>
        <w:t>,</w:t>
      </w:r>
      <w:r w:rsidR="00207491" w:rsidRPr="00207491">
        <w:rPr>
          <w:rFonts w:ascii="Calibri" w:hAnsi="Calibri" w:cs="Calibri"/>
          <w:color w:val="000000"/>
        </w:rPr>
        <w:t xml:space="preserve"> EUCAST or CLSI)</w:t>
      </w:r>
      <w:r w:rsidR="00207491" w:rsidRPr="00207491">
        <w:rPr>
          <w:rStyle w:val="FootnoteReference"/>
          <w:rFonts w:ascii="Calibri" w:hAnsi="Calibri" w:cs="Calibri"/>
          <w:color w:val="000000"/>
        </w:rPr>
        <w:footnoteReference w:id="1"/>
      </w:r>
      <w:r w:rsidR="00254310" w:rsidRPr="00207491">
        <w:rPr>
          <w:rFonts w:ascii="Calibri" w:hAnsi="Calibri" w:cs="Calibri"/>
          <w:color w:val="000000"/>
        </w:rPr>
        <w:t>.</w:t>
      </w:r>
    </w:p>
    <w:p w14:paraId="4E5440BA" w14:textId="7A3EEF91" w:rsidR="008233B2" w:rsidRPr="00AA04D1" w:rsidRDefault="00254310" w:rsidP="00AA04D1">
      <w:pPr>
        <w:pStyle w:val="ListParagraph"/>
        <w:numPr>
          <w:ilvl w:val="0"/>
          <w:numId w:val="7"/>
        </w:numPr>
        <w:pBdr>
          <w:top w:val="nil"/>
          <w:left w:val="nil"/>
          <w:bottom w:val="nil"/>
          <w:right w:val="nil"/>
          <w:between w:val="nil"/>
        </w:pBdr>
        <w:spacing w:before="120" w:line="360" w:lineRule="auto"/>
        <w:jc w:val="both"/>
        <w:rPr>
          <w:rFonts w:ascii="Calibri" w:hAnsi="Calibri" w:cs="Calibri"/>
        </w:rPr>
      </w:pPr>
      <w:r w:rsidRPr="00207491">
        <w:rPr>
          <w:rFonts w:ascii="Calibri" w:hAnsi="Calibri" w:cs="Calibri"/>
          <w:i/>
          <w:color w:val="000000"/>
        </w:rPr>
        <w:t>E. coli</w:t>
      </w:r>
      <w:r w:rsidRPr="00207491">
        <w:rPr>
          <w:rFonts w:ascii="Calibri" w:hAnsi="Calibri" w:cs="Calibri"/>
          <w:color w:val="000000"/>
        </w:rPr>
        <w:t xml:space="preserve"> resistant to third generation cephalosporins: </w:t>
      </w:r>
      <w:r w:rsidR="0054343B" w:rsidRPr="00207491">
        <w:rPr>
          <w:rFonts w:ascii="Calibri" w:hAnsi="Calibri" w:cs="Calibri"/>
          <w:i/>
          <w:color w:val="000000"/>
        </w:rPr>
        <w:t>E. coli</w:t>
      </w:r>
      <w:r w:rsidR="0054343B" w:rsidRPr="00207491">
        <w:rPr>
          <w:rFonts w:ascii="Calibri" w:hAnsi="Calibri" w:cs="Calibri"/>
          <w:color w:val="000000"/>
        </w:rPr>
        <w:t xml:space="preserve"> </w:t>
      </w:r>
      <w:r w:rsidRPr="00207491">
        <w:rPr>
          <w:rFonts w:ascii="Calibri" w:hAnsi="Calibri" w:cs="Calibri"/>
          <w:color w:val="000000"/>
        </w:rPr>
        <w:t>isolates that are resistant as defined by current internationally recognized clinical breakpoints for third generation cephalosporins (e.g.</w:t>
      </w:r>
      <w:r w:rsidR="007D27A1">
        <w:rPr>
          <w:rFonts w:ascii="Calibri" w:hAnsi="Calibri" w:cs="Calibri"/>
          <w:color w:val="000000"/>
        </w:rPr>
        <w:t>,</w:t>
      </w:r>
      <w:r w:rsidRPr="00207491">
        <w:rPr>
          <w:rFonts w:ascii="Calibri" w:hAnsi="Calibri" w:cs="Calibri"/>
          <w:color w:val="000000"/>
        </w:rPr>
        <w:t xml:space="preserve"> EUCAST or CLSI</w:t>
      </w:r>
      <w:r w:rsidRPr="00F44B26">
        <w:rPr>
          <w:rFonts w:ascii="Calibri" w:hAnsi="Calibri" w:cs="Calibri"/>
          <w:color w:val="000000"/>
        </w:rPr>
        <w:t>),</w:t>
      </w:r>
      <w:r w:rsidRPr="00207491">
        <w:rPr>
          <w:rFonts w:ascii="Calibri" w:hAnsi="Calibri" w:cs="Calibri"/>
          <w:color w:val="000000"/>
        </w:rPr>
        <w:t xml:space="preserve"> specifically ceftriaxone or cefotaxime or ceftazidime.</w:t>
      </w:r>
    </w:p>
    <w:p w14:paraId="2703E923" w14:textId="77777777" w:rsidR="00DF5DBC" w:rsidRPr="00AB3FDE" w:rsidRDefault="00DF5DBC" w:rsidP="00207491">
      <w:pPr>
        <w:shd w:val="clear" w:color="auto" w:fill="FFFFFF"/>
        <w:spacing w:after="0"/>
        <w:contextualSpacing/>
        <w:jc w:val="both"/>
        <w:rPr>
          <w:rFonts w:ascii="Calibri" w:eastAsia="Times New Roman" w:hAnsi="Calibri" w:cs="Calibri"/>
          <w:b/>
          <w:szCs w:val="21"/>
          <w:lang w:eastAsia="en-GB"/>
        </w:rPr>
      </w:pPr>
      <w:r w:rsidRPr="00AB3FDE">
        <w:rPr>
          <w:rFonts w:ascii="Calibri" w:eastAsia="Times New Roman" w:hAnsi="Calibri" w:cs="Calibri"/>
          <w:b/>
          <w:bCs/>
          <w:sz w:val="24"/>
          <w:szCs w:val="21"/>
          <w:lang w:eastAsia="en-GB"/>
        </w:rPr>
        <w:t>Rationale</w:t>
      </w:r>
      <w:r w:rsidR="00881950" w:rsidRPr="00AB3FDE">
        <w:rPr>
          <w:rFonts w:ascii="Calibri" w:eastAsia="Times New Roman" w:hAnsi="Calibri" w:cs="Calibri"/>
          <w:b/>
          <w:bCs/>
          <w:sz w:val="24"/>
          <w:szCs w:val="21"/>
          <w:lang w:eastAsia="en-GB"/>
        </w:rPr>
        <w:t xml:space="preserve"> for the proposed indicator</w:t>
      </w:r>
      <w:r w:rsidRPr="00AB3FDE">
        <w:rPr>
          <w:rFonts w:ascii="Calibri" w:eastAsia="Times New Roman" w:hAnsi="Calibri" w:cs="Calibri"/>
          <w:b/>
          <w:bCs/>
          <w:szCs w:val="21"/>
          <w:lang w:eastAsia="en-GB"/>
        </w:rPr>
        <w:t>:</w:t>
      </w:r>
    </w:p>
    <w:p w14:paraId="5C13B29D" w14:textId="77777777" w:rsidR="008233B2" w:rsidRPr="00207491" w:rsidRDefault="008233B2" w:rsidP="00207491">
      <w:pPr>
        <w:spacing w:after="120" w:line="240" w:lineRule="auto"/>
        <w:jc w:val="both"/>
        <w:rPr>
          <w:rFonts w:ascii="Calibri" w:hAnsi="Calibri" w:cs="Calibri"/>
          <w:bCs/>
        </w:rPr>
      </w:pPr>
      <w:r w:rsidRPr="00207491">
        <w:rPr>
          <w:rFonts w:ascii="Calibri" w:hAnsi="Calibri" w:cs="Calibri"/>
          <w:bCs/>
        </w:rPr>
        <w:t>Antimicrobial resistance (AMR) is a global threat to health, livelihoods</w:t>
      </w:r>
      <w:r w:rsidR="005B0ADA">
        <w:rPr>
          <w:rFonts w:ascii="Calibri" w:hAnsi="Calibri" w:cs="Calibri"/>
          <w:bCs/>
        </w:rPr>
        <w:t>, food security</w:t>
      </w:r>
      <w:r w:rsidRPr="00207491">
        <w:rPr>
          <w:rFonts w:ascii="Calibri" w:hAnsi="Calibri" w:cs="Calibri"/>
          <w:bCs/>
        </w:rPr>
        <w:t xml:space="preserve"> and the achievement of many of the Sustainable Development Goals</w:t>
      </w:r>
      <w:r w:rsidR="005B0ADA">
        <w:rPr>
          <w:rFonts w:ascii="Calibri" w:hAnsi="Calibri" w:cs="Calibri"/>
          <w:bCs/>
        </w:rPr>
        <w:t>.</w:t>
      </w:r>
      <w:r w:rsidRPr="00207491">
        <w:rPr>
          <w:rFonts w:ascii="Calibri" w:hAnsi="Calibri" w:cs="Calibri"/>
          <w:bCs/>
        </w:rPr>
        <w:t xml:space="preserve"> Antibiotics, antivirals, antiparasitic agents and antifungals are increasingly ineffective owing to resistance developed through their excessive or inappropriate use, with serious consequences for human and animal health (terrestrial </w:t>
      </w:r>
      <w:r w:rsidRPr="00207491">
        <w:rPr>
          <w:rFonts w:ascii="Calibri" w:hAnsi="Calibri" w:cs="Calibri"/>
          <w:bCs/>
        </w:rPr>
        <w:lastRenderedPageBreak/>
        <w:t>and aquatic), and plant health, and negative impacts on food production, the environment and the global economy</w:t>
      </w:r>
      <w:r w:rsidR="004B0EB4">
        <w:rPr>
          <w:rStyle w:val="FootnoteReference"/>
          <w:rFonts w:ascii="Calibri" w:hAnsi="Calibri" w:cs="Calibri"/>
          <w:bCs/>
        </w:rPr>
        <w:footnoteReference w:id="2"/>
      </w:r>
      <w:r w:rsidRPr="00207491">
        <w:rPr>
          <w:rFonts w:ascii="Calibri" w:hAnsi="Calibri" w:cs="Calibri"/>
          <w:bCs/>
        </w:rPr>
        <w:t>.</w:t>
      </w:r>
    </w:p>
    <w:p w14:paraId="7AB81523" w14:textId="77777777" w:rsidR="008233B2" w:rsidRPr="00207491" w:rsidRDefault="005B0ADA" w:rsidP="00207491">
      <w:pPr>
        <w:spacing w:after="120" w:line="240" w:lineRule="auto"/>
        <w:jc w:val="both"/>
        <w:rPr>
          <w:rFonts w:ascii="Calibri" w:hAnsi="Calibri" w:cs="Calibri"/>
          <w:bCs/>
        </w:rPr>
      </w:pPr>
      <w:r>
        <w:rPr>
          <w:rFonts w:ascii="Calibri" w:hAnsi="Calibri" w:cs="Calibri"/>
          <w:bCs/>
        </w:rPr>
        <w:t>In particular, a</w:t>
      </w:r>
      <w:r w:rsidR="008233B2" w:rsidRPr="00207491">
        <w:rPr>
          <w:rFonts w:ascii="Calibri" w:hAnsi="Calibri" w:cs="Calibri"/>
          <w:bCs/>
        </w:rPr>
        <w:t>ntimicrobial resistance will negatively impact the achievement of many of the targets listed under Goal 3 due to reduced treatment options for infections by resistant pathogens</w:t>
      </w:r>
      <w:r w:rsidR="003A76FA">
        <w:rPr>
          <w:rFonts w:ascii="Calibri" w:hAnsi="Calibri" w:cs="Calibri"/>
          <w:bCs/>
        </w:rPr>
        <w:t>;</w:t>
      </w:r>
      <w:r w:rsidR="008233B2" w:rsidRPr="00207491">
        <w:rPr>
          <w:rFonts w:ascii="Calibri" w:hAnsi="Calibri" w:cs="Calibri"/>
          <w:bCs/>
        </w:rPr>
        <w:t xml:space="preserve"> will impact targets under Goal 2 by impacting the agricultural productivity, including food animal production</w:t>
      </w:r>
      <w:r w:rsidR="003A76FA">
        <w:rPr>
          <w:rFonts w:ascii="Calibri" w:hAnsi="Calibri" w:cs="Calibri"/>
          <w:bCs/>
        </w:rPr>
        <w:t>;</w:t>
      </w:r>
      <w:r w:rsidR="008233B2" w:rsidRPr="00207491">
        <w:rPr>
          <w:rFonts w:ascii="Calibri" w:hAnsi="Calibri" w:cs="Calibri"/>
          <w:bCs/>
        </w:rPr>
        <w:t xml:space="preserve"> and will impact targets in Goal 1 as increased antimicrobial resistance will result in large declines in economic growth, increase economic inequality and drive an additional 24 million people into extreme poverty by 2030</w:t>
      </w:r>
      <w:r w:rsidR="008233B2" w:rsidRPr="00207491">
        <w:rPr>
          <w:rStyle w:val="FootnoteReference"/>
          <w:rFonts w:ascii="Calibri" w:hAnsi="Calibri" w:cs="Calibri"/>
          <w:bCs/>
        </w:rPr>
        <w:footnoteReference w:id="3"/>
      </w:r>
      <w:r w:rsidR="008233B2" w:rsidRPr="00207491">
        <w:rPr>
          <w:rFonts w:ascii="Calibri" w:hAnsi="Calibri" w:cs="Calibri"/>
          <w:bCs/>
        </w:rPr>
        <w:t>.</w:t>
      </w:r>
    </w:p>
    <w:p w14:paraId="030FD355" w14:textId="58A84962" w:rsidR="00F8149A" w:rsidRDefault="008233B2" w:rsidP="0059678C">
      <w:pPr>
        <w:jc w:val="both"/>
        <w:rPr>
          <w:rFonts w:ascii="Calibri" w:hAnsi="Calibri" w:cs="Calibri"/>
          <w:bCs/>
        </w:rPr>
      </w:pPr>
      <w:r w:rsidRPr="0059678C">
        <w:rPr>
          <w:rFonts w:ascii="Calibri" w:hAnsi="Calibri" w:cs="Calibri"/>
          <w:bCs/>
        </w:rPr>
        <w:t xml:space="preserve">Given the above context, </w:t>
      </w:r>
      <w:r w:rsidR="005B0ADA" w:rsidRPr="0059678C">
        <w:rPr>
          <w:rFonts w:ascii="Calibri" w:hAnsi="Calibri" w:cs="Calibri"/>
          <w:bCs/>
        </w:rPr>
        <w:t xml:space="preserve">there is an </w:t>
      </w:r>
      <w:r w:rsidRPr="0059678C">
        <w:rPr>
          <w:rFonts w:ascii="Calibri" w:hAnsi="Calibri" w:cs="Calibri"/>
          <w:bCs/>
        </w:rPr>
        <w:t>urgent need to build country capacity</w:t>
      </w:r>
      <w:r w:rsidR="00DE600D">
        <w:rPr>
          <w:rFonts w:ascii="Calibri" w:hAnsi="Calibri" w:cs="Calibri"/>
          <w:bCs/>
        </w:rPr>
        <w:t xml:space="preserve">, especially in developing </w:t>
      </w:r>
      <w:r w:rsidR="00DB53C9">
        <w:rPr>
          <w:rFonts w:ascii="Calibri" w:hAnsi="Calibri" w:cs="Calibri"/>
          <w:bCs/>
        </w:rPr>
        <w:t xml:space="preserve">countries, </w:t>
      </w:r>
      <w:r w:rsidR="00DB53C9" w:rsidRPr="0059678C">
        <w:rPr>
          <w:rFonts w:ascii="Calibri" w:hAnsi="Calibri" w:cs="Calibri"/>
          <w:bCs/>
        </w:rPr>
        <w:t>to</w:t>
      </w:r>
      <w:r w:rsidRPr="0059678C">
        <w:rPr>
          <w:rFonts w:ascii="Calibri" w:hAnsi="Calibri" w:cs="Calibri"/>
          <w:bCs/>
        </w:rPr>
        <w:t xml:space="preserve"> address this growing national and global multisectoral risk</w:t>
      </w:r>
      <w:r w:rsidR="00855CD2" w:rsidRPr="0059678C">
        <w:rPr>
          <w:rFonts w:ascii="Calibri" w:hAnsi="Calibri" w:cs="Calibri"/>
          <w:bCs/>
        </w:rPr>
        <w:t xml:space="preserve">.  The current indicator (3.d.1) for target 3.d has a focus on </w:t>
      </w:r>
      <w:r w:rsidR="00806C5E">
        <w:rPr>
          <w:rFonts w:ascii="Calibri" w:hAnsi="Calibri" w:cs="Calibri"/>
          <w:bCs/>
        </w:rPr>
        <w:t xml:space="preserve">strengthening </w:t>
      </w:r>
      <w:r w:rsidR="00855CD2" w:rsidRPr="0059678C">
        <w:rPr>
          <w:rFonts w:ascii="Calibri" w:hAnsi="Calibri" w:cs="Calibri"/>
          <w:bCs/>
        </w:rPr>
        <w:t xml:space="preserve">13 core capacities – essential public health capacity that State Parties are required to have in place throughout their territories pursuant to IHR (2005) requirements by the year 2012.  </w:t>
      </w:r>
      <w:r w:rsidR="0059678C" w:rsidRPr="0059678C">
        <w:rPr>
          <w:rFonts w:ascii="Calibri" w:hAnsi="Calibri" w:cs="Calibri"/>
          <w:bCs/>
        </w:rPr>
        <w:t xml:space="preserve">While </w:t>
      </w:r>
      <w:r w:rsidR="00806C5E">
        <w:rPr>
          <w:rFonts w:ascii="Calibri" w:hAnsi="Calibri" w:cs="Calibri"/>
          <w:bCs/>
        </w:rPr>
        <w:t xml:space="preserve">a few of </w:t>
      </w:r>
      <w:r w:rsidR="0059678C" w:rsidRPr="0059678C">
        <w:rPr>
          <w:rFonts w:ascii="Calibri" w:hAnsi="Calibri" w:cs="Calibri"/>
          <w:bCs/>
        </w:rPr>
        <w:t xml:space="preserve">these </w:t>
      </w:r>
      <w:r w:rsidR="0059678C">
        <w:rPr>
          <w:rFonts w:ascii="Calibri" w:hAnsi="Calibri" w:cs="Calibri"/>
          <w:bCs/>
        </w:rPr>
        <w:t xml:space="preserve">13 core </w:t>
      </w:r>
      <w:r w:rsidR="0059678C" w:rsidRPr="0059678C">
        <w:rPr>
          <w:rFonts w:ascii="Calibri" w:hAnsi="Calibri" w:cs="Calibri"/>
          <w:bCs/>
        </w:rPr>
        <w:t>capacities</w:t>
      </w:r>
      <w:r w:rsidR="00C92D5E">
        <w:rPr>
          <w:rStyle w:val="FootnoteReference"/>
          <w:rFonts w:ascii="Calibri" w:hAnsi="Calibri" w:cs="Calibri"/>
          <w:bCs/>
        </w:rPr>
        <w:footnoteReference w:id="4"/>
      </w:r>
      <w:r w:rsidR="0059678C" w:rsidRPr="0059678C">
        <w:rPr>
          <w:rFonts w:ascii="Calibri" w:hAnsi="Calibri" w:cs="Calibri"/>
          <w:bCs/>
        </w:rPr>
        <w:t xml:space="preserve"> </w:t>
      </w:r>
      <w:r w:rsidR="00806C5E">
        <w:rPr>
          <w:rFonts w:ascii="Calibri" w:hAnsi="Calibri" w:cs="Calibri"/>
          <w:bCs/>
        </w:rPr>
        <w:t>can be considered “AM</w:t>
      </w:r>
      <w:r w:rsidR="00346EDB">
        <w:rPr>
          <w:rFonts w:ascii="Calibri" w:hAnsi="Calibri" w:cs="Calibri"/>
          <w:bCs/>
        </w:rPr>
        <w:t>R</w:t>
      </w:r>
      <w:r w:rsidR="00806C5E">
        <w:rPr>
          <w:rFonts w:ascii="Calibri" w:hAnsi="Calibri" w:cs="Calibri"/>
          <w:bCs/>
        </w:rPr>
        <w:t>-sensitive”</w:t>
      </w:r>
      <w:r w:rsidR="00C92D5E">
        <w:rPr>
          <w:rFonts w:ascii="Calibri" w:hAnsi="Calibri" w:cs="Calibri"/>
          <w:bCs/>
        </w:rPr>
        <w:t xml:space="preserve">, </w:t>
      </w:r>
      <w:r w:rsidR="0059678C" w:rsidRPr="0059678C">
        <w:rPr>
          <w:rFonts w:ascii="Calibri" w:hAnsi="Calibri" w:cs="Calibri"/>
          <w:bCs/>
        </w:rPr>
        <w:t xml:space="preserve">they do not </w:t>
      </w:r>
      <w:r w:rsidR="00346EDB">
        <w:rPr>
          <w:rFonts w:ascii="Calibri" w:hAnsi="Calibri" w:cs="Calibri"/>
          <w:bCs/>
        </w:rPr>
        <w:t xml:space="preserve">specifically </w:t>
      </w:r>
      <w:r w:rsidR="0059678C" w:rsidRPr="0059678C">
        <w:rPr>
          <w:rFonts w:ascii="Calibri" w:hAnsi="Calibri" w:cs="Calibri"/>
          <w:bCs/>
        </w:rPr>
        <w:t xml:space="preserve">monitor or address the </w:t>
      </w:r>
      <w:r w:rsidR="00806C5E">
        <w:rPr>
          <w:rFonts w:ascii="Calibri" w:hAnsi="Calibri" w:cs="Calibri"/>
          <w:bCs/>
        </w:rPr>
        <w:t xml:space="preserve">significant </w:t>
      </w:r>
      <w:r w:rsidR="0059678C" w:rsidRPr="0059678C">
        <w:rPr>
          <w:rFonts w:ascii="Calibri" w:hAnsi="Calibri" w:cs="Calibri"/>
          <w:bCs/>
        </w:rPr>
        <w:t>risks associated with AMR.  So</w:t>
      </w:r>
      <w:r w:rsidR="00855CD2" w:rsidRPr="0059678C">
        <w:rPr>
          <w:rFonts w:ascii="Calibri" w:hAnsi="Calibri" w:cs="Calibri"/>
          <w:bCs/>
        </w:rPr>
        <w:t>, with the adoption of the Global Action Plan on AMR in 2015</w:t>
      </w:r>
      <w:r w:rsidR="00A87754">
        <w:rPr>
          <w:rFonts w:ascii="Calibri" w:hAnsi="Calibri" w:cs="Calibri"/>
          <w:bCs/>
        </w:rPr>
        <w:t xml:space="preserve"> by the World Health Assembly,</w:t>
      </w:r>
      <w:r w:rsidR="00855CD2" w:rsidRPr="0059678C">
        <w:rPr>
          <w:rFonts w:ascii="Calibri" w:hAnsi="Calibri" w:cs="Calibri"/>
          <w:bCs/>
        </w:rPr>
        <w:t xml:space="preserve"> the adoption of a Political Declaration on AMR at the high-level meeting of the UN General Assembly in 2016, </w:t>
      </w:r>
      <w:r w:rsidR="0059678C" w:rsidRPr="0059678C">
        <w:rPr>
          <w:rFonts w:ascii="Calibri" w:hAnsi="Calibri" w:cs="Calibri"/>
          <w:bCs/>
        </w:rPr>
        <w:t xml:space="preserve">and the report in 2019 of the Ad-hoc Inter-Agency Coordination Group established by the UN Secretary-General, </w:t>
      </w:r>
      <w:r w:rsidR="00C92D5E">
        <w:rPr>
          <w:rFonts w:ascii="Calibri" w:hAnsi="Calibri" w:cs="Calibri"/>
          <w:bCs/>
        </w:rPr>
        <w:t>an urgent</w:t>
      </w:r>
      <w:r w:rsidR="00855CD2" w:rsidRPr="0059678C">
        <w:rPr>
          <w:rFonts w:ascii="Calibri" w:hAnsi="Calibri" w:cs="Calibri"/>
          <w:bCs/>
        </w:rPr>
        <w:t xml:space="preserve"> </w:t>
      </w:r>
      <w:r w:rsidR="0059678C" w:rsidRPr="0059678C">
        <w:rPr>
          <w:rFonts w:ascii="Calibri" w:hAnsi="Calibri" w:cs="Calibri"/>
          <w:bCs/>
        </w:rPr>
        <w:t xml:space="preserve">need </w:t>
      </w:r>
      <w:r w:rsidR="00C92D5E">
        <w:rPr>
          <w:rFonts w:ascii="Calibri" w:hAnsi="Calibri" w:cs="Calibri"/>
          <w:bCs/>
        </w:rPr>
        <w:t xml:space="preserve">has been </w:t>
      </w:r>
      <w:r w:rsidR="00346EDB">
        <w:rPr>
          <w:rFonts w:ascii="Calibri" w:hAnsi="Calibri" w:cs="Calibri"/>
          <w:bCs/>
        </w:rPr>
        <w:t xml:space="preserve">identified </w:t>
      </w:r>
      <w:r w:rsidR="0059678C" w:rsidRPr="0059678C">
        <w:rPr>
          <w:rFonts w:ascii="Calibri" w:hAnsi="Calibri" w:cs="Calibri"/>
          <w:bCs/>
        </w:rPr>
        <w:t xml:space="preserve">for </w:t>
      </w:r>
      <w:r w:rsidR="0059678C">
        <w:rPr>
          <w:rFonts w:ascii="Calibri" w:hAnsi="Calibri" w:cs="Calibri"/>
          <w:bCs/>
        </w:rPr>
        <w:t>an</w:t>
      </w:r>
      <w:r w:rsidRPr="0059678C">
        <w:rPr>
          <w:rFonts w:ascii="Calibri" w:hAnsi="Calibri" w:cs="Calibri"/>
          <w:bCs/>
        </w:rPr>
        <w:t xml:space="preserve"> additional indicator on AMR </w:t>
      </w:r>
      <w:r w:rsidR="003A76FA">
        <w:rPr>
          <w:rFonts w:ascii="Calibri" w:hAnsi="Calibri" w:cs="Calibri"/>
          <w:bCs/>
        </w:rPr>
        <w:t xml:space="preserve">to </w:t>
      </w:r>
      <w:r w:rsidRPr="0059678C">
        <w:rPr>
          <w:rFonts w:ascii="Calibri" w:hAnsi="Calibri" w:cs="Calibri"/>
          <w:bCs/>
        </w:rPr>
        <w:t xml:space="preserve">be considered for inclusion </w:t>
      </w:r>
      <w:r w:rsidR="00C92D5E">
        <w:rPr>
          <w:rFonts w:ascii="Calibri" w:hAnsi="Calibri" w:cs="Calibri"/>
          <w:bCs/>
        </w:rPr>
        <w:t>within the global SDG indicator framework</w:t>
      </w:r>
      <w:r w:rsidRPr="0059678C">
        <w:rPr>
          <w:rFonts w:ascii="Calibri" w:hAnsi="Calibri" w:cs="Calibri"/>
          <w:bCs/>
        </w:rPr>
        <w:t xml:space="preserve">.  </w:t>
      </w:r>
    </w:p>
    <w:p w14:paraId="112B21D9" w14:textId="3C3EE1F7" w:rsidR="00D123E1" w:rsidRPr="0059678C" w:rsidRDefault="008233B2" w:rsidP="00D123E1">
      <w:pPr>
        <w:jc w:val="both"/>
        <w:rPr>
          <w:rFonts w:ascii="Calibri" w:hAnsi="Calibri" w:cs="Calibri"/>
          <w:bCs/>
        </w:rPr>
      </w:pPr>
      <w:r w:rsidRPr="0059678C">
        <w:rPr>
          <w:rFonts w:ascii="Calibri" w:hAnsi="Calibri" w:cs="Calibri"/>
          <w:bCs/>
        </w:rPr>
        <w:t xml:space="preserve">This new </w:t>
      </w:r>
      <w:r w:rsidR="00F8149A">
        <w:rPr>
          <w:rFonts w:ascii="Calibri" w:hAnsi="Calibri" w:cs="Calibri"/>
          <w:bCs/>
        </w:rPr>
        <w:t xml:space="preserve">proposed </w:t>
      </w:r>
      <w:r w:rsidRPr="0059678C">
        <w:rPr>
          <w:rFonts w:ascii="Calibri" w:hAnsi="Calibri" w:cs="Calibri"/>
          <w:bCs/>
        </w:rPr>
        <w:t>indicator</w:t>
      </w:r>
      <w:r w:rsidR="0059678C">
        <w:rPr>
          <w:rFonts w:ascii="Calibri" w:hAnsi="Calibri" w:cs="Calibri"/>
          <w:bCs/>
        </w:rPr>
        <w:t xml:space="preserve">, based on establishing a functional </w:t>
      </w:r>
      <w:r w:rsidR="00D123E1">
        <w:rPr>
          <w:rFonts w:ascii="Calibri" w:hAnsi="Calibri" w:cs="Calibri"/>
          <w:bCs/>
        </w:rPr>
        <w:t xml:space="preserve">national </w:t>
      </w:r>
      <w:r w:rsidR="0059678C">
        <w:rPr>
          <w:rFonts w:ascii="Calibri" w:hAnsi="Calibri" w:cs="Calibri"/>
          <w:bCs/>
        </w:rPr>
        <w:t xml:space="preserve">AMR surveillance system, is considered a basic building block for AMR monitoring and response in countries.  </w:t>
      </w:r>
      <w:r w:rsidR="00F8149A" w:rsidRPr="00F8149A">
        <w:rPr>
          <w:rFonts w:ascii="Calibri" w:hAnsi="Calibri" w:cs="Calibri"/>
          <w:bCs/>
        </w:rPr>
        <w:t>Surveillance is the cornerstone to assessing the spread</w:t>
      </w:r>
      <w:r w:rsidR="00F8149A">
        <w:rPr>
          <w:rFonts w:ascii="Calibri" w:hAnsi="Calibri" w:cs="Calibri"/>
          <w:bCs/>
        </w:rPr>
        <w:t xml:space="preserve"> </w:t>
      </w:r>
      <w:r w:rsidR="00F8149A" w:rsidRPr="00F8149A">
        <w:rPr>
          <w:rFonts w:ascii="Calibri" w:hAnsi="Calibri" w:cs="Calibri"/>
          <w:bCs/>
        </w:rPr>
        <w:t>of AMR</w:t>
      </w:r>
      <w:r w:rsidR="00D123E1">
        <w:rPr>
          <w:rFonts w:ascii="Calibri" w:hAnsi="Calibri" w:cs="Calibri"/>
          <w:bCs/>
        </w:rPr>
        <w:t xml:space="preserve">, providing early </w:t>
      </w:r>
      <w:r w:rsidR="00C92D5E">
        <w:rPr>
          <w:rFonts w:ascii="Calibri" w:hAnsi="Calibri" w:cs="Calibri"/>
          <w:bCs/>
        </w:rPr>
        <w:t xml:space="preserve">warning, </w:t>
      </w:r>
      <w:r w:rsidR="00C92D5E" w:rsidRPr="00F8149A">
        <w:rPr>
          <w:rFonts w:ascii="Calibri" w:hAnsi="Calibri" w:cs="Calibri"/>
          <w:bCs/>
        </w:rPr>
        <w:t>and</w:t>
      </w:r>
      <w:r w:rsidR="00F8149A" w:rsidRPr="00F8149A">
        <w:rPr>
          <w:rFonts w:ascii="Calibri" w:hAnsi="Calibri" w:cs="Calibri"/>
          <w:bCs/>
        </w:rPr>
        <w:t xml:space="preserve"> informing and monitoring the impact of</w:t>
      </w:r>
      <w:r w:rsidR="00D123E1">
        <w:rPr>
          <w:rFonts w:ascii="Calibri" w:hAnsi="Calibri" w:cs="Calibri"/>
          <w:bCs/>
        </w:rPr>
        <w:t xml:space="preserve"> </w:t>
      </w:r>
      <w:r w:rsidR="00F8149A" w:rsidRPr="00F8149A">
        <w:rPr>
          <w:rFonts w:ascii="Calibri" w:hAnsi="Calibri" w:cs="Calibri"/>
          <w:bCs/>
        </w:rPr>
        <w:t xml:space="preserve">local, national, and global </w:t>
      </w:r>
      <w:r w:rsidR="00D123E1">
        <w:rPr>
          <w:rFonts w:ascii="Calibri" w:hAnsi="Calibri" w:cs="Calibri"/>
          <w:bCs/>
        </w:rPr>
        <w:t xml:space="preserve">risk reduction and management </w:t>
      </w:r>
      <w:r w:rsidR="00F8149A" w:rsidRPr="00F8149A">
        <w:rPr>
          <w:rFonts w:ascii="Calibri" w:hAnsi="Calibri" w:cs="Calibri"/>
          <w:bCs/>
        </w:rPr>
        <w:t xml:space="preserve">strategies. </w:t>
      </w:r>
      <w:r w:rsidR="003A76FA">
        <w:rPr>
          <w:rFonts w:ascii="Calibri" w:hAnsi="Calibri" w:cs="Calibri"/>
          <w:bCs/>
        </w:rPr>
        <w:t xml:space="preserve"> </w:t>
      </w:r>
      <w:r w:rsidR="00346EDB">
        <w:rPr>
          <w:rFonts w:ascii="Calibri" w:hAnsi="Calibri" w:cs="Calibri"/>
          <w:bCs/>
        </w:rPr>
        <w:t>The global antimicrobial surveillance system (</w:t>
      </w:r>
      <w:r w:rsidR="00D123E1" w:rsidRPr="00F64C56">
        <w:rPr>
          <w:rFonts w:ascii="Calibri" w:hAnsi="Calibri" w:cs="Calibri"/>
          <w:bCs/>
        </w:rPr>
        <w:t>GLASS</w:t>
      </w:r>
      <w:r w:rsidR="00346EDB">
        <w:rPr>
          <w:rStyle w:val="FootnoteReference"/>
          <w:rFonts w:ascii="Calibri" w:hAnsi="Calibri" w:cs="Calibri"/>
          <w:bCs/>
        </w:rPr>
        <w:footnoteReference w:id="5"/>
      </w:r>
      <w:r w:rsidR="00346EDB">
        <w:rPr>
          <w:rFonts w:ascii="Calibri" w:hAnsi="Calibri" w:cs="Calibri"/>
          <w:bCs/>
        </w:rPr>
        <w:t>) managed by WHO</w:t>
      </w:r>
      <w:r w:rsidR="00D123E1" w:rsidRPr="00F64C56">
        <w:rPr>
          <w:rFonts w:ascii="Calibri" w:hAnsi="Calibri" w:cs="Calibri"/>
          <w:bCs/>
        </w:rPr>
        <w:t xml:space="preserve"> recommends the establishment</w:t>
      </w:r>
      <w:r w:rsidR="00D123E1">
        <w:rPr>
          <w:rFonts w:ascii="Calibri" w:hAnsi="Calibri" w:cs="Calibri"/>
          <w:bCs/>
        </w:rPr>
        <w:t xml:space="preserve"> </w:t>
      </w:r>
      <w:r w:rsidR="00D123E1" w:rsidRPr="00F64C56">
        <w:rPr>
          <w:rFonts w:ascii="Calibri" w:hAnsi="Calibri" w:cs="Calibri"/>
          <w:bCs/>
        </w:rPr>
        <w:t>of three core components to set up a well-functioning</w:t>
      </w:r>
      <w:r w:rsidR="00D123E1">
        <w:rPr>
          <w:rFonts w:ascii="Calibri" w:hAnsi="Calibri" w:cs="Calibri"/>
          <w:bCs/>
        </w:rPr>
        <w:t xml:space="preserve"> </w:t>
      </w:r>
      <w:r w:rsidR="00D123E1" w:rsidRPr="00F64C56">
        <w:rPr>
          <w:rFonts w:ascii="Calibri" w:hAnsi="Calibri" w:cs="Calibri"/>
          <w:bCs/>
        </w:rPr>
        <w:t xml:space="preserve">national AMR surveillance system: 1) </w:t>
      </w:r>
      <w:r w:rsidR="00C92D5E">
        <w:rPr>
          <w:rFonts w:ascii="Calibri" w:hAnsi="Calibri" w:cs="Calibri"/>
          <w:bCs/>
        </w:rPr>
        <w:t>a</w:t>
      </w:r>
      <w:r w:rsidR="00D123E1" w:rsidRPr="00F64C56">
        <w:rPr>
          <w:rFonts w:ascii="Calibri" w:hAnsi="Calibri" w:cs="Calibri"/>
          <w:bCs/>
        </w:rPr>
        <w:t xml:space="preserve"> National</w:t>
      </w:r>
      <w:r w:rsidR="00D123E1">
        <w:rPr>
          <w:rFonts w:ascii="Calibri" w:hAnsi="Calibri" w:cs="Calibri"/>
          <w:bCs/>
        </w:rPr>
        <w:t xml:space="preserve"> </w:t>
      </w:r>
      <w:r w:rsidR="00D123E1" w:rsidRPr="00F64C56">
        <w:rPr>
          <w:rFonts w:ascii="Calibri" w:hAnsi="Calibri" w:cs="Calibri"/>
          <w:bCs/>
        </w:rPr>
        <w:t xml:space="preserve">Coordinating Centre (NCC); 2) </w:t>
      </w:r>
      <w:r w:rsidR="00C92D5E">
        <w:rPr>
          <w:rFonts w:ascii="Calibri" w:hAnsi="Calibri" w:cs="Calibri"/>
          <w:bCs/>
        </w:rPr>
        <w:t>a</w:t>
      </w:r>
      <w:r w:rsidR="00D123E1" w:rsidRPr="00F64C56">
        <w:rPr>
          <w:rFonts w:ascii="Calibri" w:hAnsi="Calibri" w:cs="Calibri"/>
          <w:bCs/>
        </w:rPr>
        <w:t xml:space="preserve"> National Reference</w:t>
      </w:r>
      <w:r w:rsidR="00D123E1">
        <w:rPr>
          <w:rFonts w:ascii="Calibri" w:hAnsi="Calibri" w:cs="Calibri"/>
          <w:bCs/>
        </w:rPr>
        <w:t xml:space="preserve"> </w:t>
      </w:r>
      <w:r w:rsidR="00D123E1" w:rsidRPr="00F64C56">
        <w:rPr>
          <w:rFonts w:ascii="Calibri" w:hAnsi="Calibri" w:cs="Calibri"/>
          <w:bCs/>
        </w:rPr>
        <w:t>Laboratory (NRL); and 3) Sentinel surveillance sites</w:t>
      </w:r>
      <w:r w:rsidR="00D123E1">
        <w:rPr>
          <w:rFonts w:ascii="Calibri" w:hAnsi="Calibri" w:cs="Calibri"/>
          <w:bCs/>
        </w:rPr>
        <w:t xml:space="preserve"> </w:t>
      </w:r>
      <w:r w:rsidR="00D123E1" w:rsidRPr="00F64C56">
        <w:rPr>
          <w:rFonts w:ascii="Calibri" w:hAnsi="Calibri" w:cs="Calibri"/>
          <w:bCs/>
        </w:rPr>
        <w:t>where both diagnostic and epidemiological</w:t>
      </w:r>
      <w:r w:rsidR="00D123E1">
        <w:rPr>
          <w:rFonts w:ascii="Calibri" w:hAnsi="Calibri" w:cs="Calibri"/>
          <w:bCs/>
        </w:rPr>
        <w:t xml:space="preserve"> </w:t>
      </w:r>
      <w:r w:rsidR="00D123E1" w:rsidRPr="00F64C56">
        <w:rPr>
          <w:rFonts w:ascii="Calibri" w:hAnsi="Calibri" w:cs="Calibri"/>
          <w:bCs/>
        </w:rPr>
        <w:t>data are collected.</w:t>
      </w:r>
      <w:r w:rsidR="00346EDB">
        <w:rPr>
          <w:rFonts w:ascii="Calibri" w:hAnsi="Calibri" w:cs="Calibri"/>
          <w:bCs/>
        </w:rPr>
        <w:t xml:space="preserve"> </w:t>
      </w:r>
    </w:p>
    <w:p w14:paraId="3EBE3DA1" w14:textId="1E1ACDDB" w:rsidR="00D123E1" w:rsidRDefault="003A76FA" w:rsidP="00F64C56">
      <w:pPr>
        <w:jc w:val="both"/>
        <w:rPr>
          <w:rFonts w:ascii="Calibri" w:hAnsi="Calibri" w:cs="Calibri"/>
          <w:bCs/>
        </w:rPr>
      </w:pPr>
      <w:r>
        <w:rPr>
          <w:rFonts w:ascii="Calibri" w:hAnsi="Calibri" w:cs="Calibri"/>
          <w:bCs/>
        </w:rPr>
        <w:t xml:space="preserve">This </w:t>
      </w:r>
      <w:r w:rsidR="00346EDB">
        <w:rPr>
          <w:rFonts w:ascii="Calibri" w:hAnsi="Calibri" w:cs="Calibri"/>
          <w:bCs/>
        </w:rPr>
        <w:t xml:space="preserve">new proposed </w:t>
      </w:r>
      <w:r>
        <w:rPr>
          <w:rFonts w:ascii="Calibri" w:hAnsi="Calibri" w:cs="Calibri"/>
          <w:bCs/>
        </w:rPr>
        <w:t xml:space="preserve">indicator, </w:t>
      </w:r>
      <w:r w:rsidR="00BC69FA">
        <w:rPr>
          <w:rFonts w:ascii="Calibri" w:hAnsi="Calibri" w:cs="Calibri"/>
          <w:bCs/>
        </w:rPr>
        <w:t xml:space="preserve">therefore </w:t>
      </w:r>
      <w:r w:rsidR="00346EDB">
        <w:rPr>
          <w:rFonts w:ascii="Calibri" w:hAnsi="Calibri" w:cs="Calibri"/>
          <w:bCs/>
        </w:rPr>
        <w:t xml:space="preserve">will help catalyse the establishment of national AMR surveillance systems to ensure the collection of data at the national </w:t>
      </w:r>
      <w:r w:rsidR="00C92D5E">
        <w:rPr>
          <w:rFonts w:ascii="Calibri" w:hAnsi="Calibri" w:cs="Calibri"/>
          <w:bCs/>
        </w:rPr>
        <w:t>level and</w:t>
      </w:r>
      <w:r w:rsidR="00346EDB">
        <w:rPr>
          <w:rFonts w:ascii="Calibri" w:hAnsi="Calibri" w:cs="Calibri"/>
          <w:bCs/>
        </w:rPr>
        <w:t xml:space="preserve"> can also be used </w:t>
      </w:r>
      <w:r w:rsidRPr="0059678C">
        <w:rPr>
          <w:rFonts w:ascii="Calibri" w:hAnsi="Calibri" w:cs="Calibri"/>
          <w:bCs/>
        </w:rPr>
        <w:t xml:space="preserve">for tracking progress of </w:t>
      </w:r>
      <w:r w:rsidR="00346EDB">
        <w:rPr>
          <w:rFonts w:ascii="Calibri" w:hAnsi="Calibri" w:cs="Calibri"/>
          <w:bCs/>
        </w:rPr>
        <w:t>co</w:t>
      </w:r>
      <w:r w:rsidRPr="0059678C">
        <w:rPr>
          <w:rFonts w:ascii="Calibri" w:hAnsi="Calibri" w:cs="Calibri"/>
          <w:bCs/>
        </w:rPr>
        <w:t xml:space="preserve">untry capacity </w:t>
      </w:r>
      <w:r>
        <w:rPr>
          <w:rFonts w:ascii="Calibri" w:hAnsi="Calibri" w:cs="Calibri"/>
          <w:bCs/>
        </w:rPr>
        <w:t>for early warning of outbreaks of resistan</w:t>
      </w:r>
      <w:r w:rsidRPr="0059678C">
        <w:rPr>
          <w:rFonts w:ascii="Calibri" w:hAnsi="Calibri" w:cs="Calibri"/>
          <w:bCs/>
        </w:rPr>
        <w:t>t</w:t>
      </w:r>
      <w:r>
        <w:rPr>
          <w:rFonts w:ascii="Calibri" w:hAnsi="Calibri" w:cs="Calibri"/>
          <w:bCs/>
        </w:rPr>
        <w:t xml:space="preserve"> infections</w:t>
      </w:r>
      <w:r w:rsidR="005C29EC">
        <w:rPr>
          <w:rFonts w:ascii="Calibri" w:hAnsi="Calibri" w:cs="Calibri"/>
          <w:bCs/>
        </w:rPr>
        <w:t xml:space="preserve">. The proposed indicator aims to address critical elements of the SDG target 3.d through a </w:t>
      </w:r>
      <w:r w:rsidR="00CB6AB2">
        <w:rPr>
          <w:rFonts w:ascii="Calibri" w:hAnsi="Calibri" w:cs="Calibri"/>
          <w:bCs/>
        </w:rPr>
        <w:t xml:space="preserve">strategic approach </w:t>
      </w:r>
      <w:r w:rsidR="005C29EC">
        <w:rPr>
          <w:rFonts w:ascii="Calibri" w:hAnsi="Calibri" w:cs="Calibri"/>
          <w:bCs/>
        </w:rPr>
        <w:t>derived from the evidence gathered</w:t>
      </w:r>
      <w:r w:rsidR="00CB6AB2">
        <w:rPr>
          <w:rFonts w:ascii="Calibri" w:hAnsi="Calibri" w:cs="Calibri"/>
          <w:bCs/>
        </w:rPr>
        <w:t xml:space="preserve"> through this indicator</w:t>
      </w:r>
      <w:r w:rsidR="00F44B26">
        <w:rPr>
          <w:rFonts w:ascii="Calibri" w:hAnsi="Calibri" w:cs="Calibri"/>
          <w:bCs/>
        </w:rPr>
        <w:t>,</w:t>
      </w:r>
      <w:r w:rsidR="00CB6AB2">
        <w:rPr>
          <w:rFonts w:ascii="Calibri" w:hAnsi="Calibri" w:cs="Calibri"/>
          <w:bCs/>
        </w:rPr>
        <w:t xml:space="preserve"> as well as allows </w:t>
      </w:r>
      <w:r w:rsidR="005C29EC">
        <w:rPr>
          <w:rFonts w:ascii="Calibri" w:hAnsi="Calibri" w:cs="Calibri"/>
          <w:bCs/>
        </w:rPr>
        <w:t>to ‘s</w:t>
      </w:r>
      <w:r w:rsidR="005C29EC" w:rsidRPr="00DB53C9">
        <w:rPr>
          <w:rFonts w:ascii="Calibri" w:hAnsi="Calibri" w:cs="Calibri"/>
          <w:bCs/>
        </w:rPr>
        <w:t>trengthen the capacity of all countries, in particular developing countries</w:t>
      </w:r>
      <w:r w:rsidR="004C239B">
        <w:rPr>
          <w:rFonts w:ascii="Calibri" w:hAnsi="Calibri" w:cs="Calibri"/>
          <w:bCs/>
        </w:rPr>
        <w:t>’,</w:t>
      </w:r>
      <w:r w:rsidR="005C29EC" w:rsidRPr="005C29EC">
        <w:rPr>
          <w:rFonts w:ascii="Calibri" w:hAnsi="Calibri" w:cs="Calibri"/>
          <w:bCs/>
        </w:rPr>
        <w:t xml:space="preserve"> </w:t>
      </w:r>
      <w:r w:rsidR="005C29EC">
        <w:rPr>
          <w:rFonts w:ascii="Calibri" w:hAnsi="Calibri" w:cs="Calibri"/>
          <w:bCs/>
        </w:rPr>
        <w:t>‘</w:t>
      </w:r>
      <w:r w:rsidR="005C29EC" w:rsidRPr="00DB53C9">
        <w:rPr>
          <w:rFonts w:ascii="Calibri" w:hAnsi="Calibri" w:cs="Calibri"/>
          <w:bCs/>
        </w:rPr>
        <w:t>reduction</w:t>
      </w:r>
      <w:r w:rsidR="00F44B26">
        <w:rPr>
          <w:rFonts w:ascii="Calibri" w:hAnsi="Calibri" w:cs="Calibri"/>
          <w:bCs/>
        </w:rPr>
        <w:t>’</w:t>
      </w:r>
      <w:r w:rsidR="005C29EC">
        <w:rPr>
          <w:rFonts w:ascii="Calibri" w:hAnsi="Calibri" w:cs="Calibri"/>
          <w:bCs/>
        </w:rPr>
        <w:t xml:space="preserve"> </w:t>
      </w:r>
      <w:r w:rsidR="005C29EC" w:rsidRPr="00DB53C9">
        <w:rPr>
          <w:rFonts w:ascii="Calibri" w:hAnsi="Calibri" w:cs="Calibri"/>
          <w:bCs/>
        </w:rPr>
        <w:t xml:space="preserve">and </w:t>
      </w:r>
      <w:r w:rsidR="005C29EC">
        <w:rPr>
          <w:rFonts w:ascii="Calibri" w:hAnsi="Calibri" w:cs="Calibri"/>
          <w:bCs/>
        </w:rPr>
        <w:t>‘</w:t>
      </w:r>
      <w:r w:rsidR="005C29EC" w:rsidRPr="00DB53C9">
        <w:rPr>
          <w:rFonts w:ascii="Calibri" w:hAnsi="Calibri" w:cs="Calibri"/>
          <w:bCs/>
        </w:rPr>
        <w:t>management of national</w:t>
      </w:r>
      <w:r w:rsidR="005C29EC">
        <w:rPr>
          <w:rFonts w:ascii="Calibri" w:hAnsi="Calibri" w:cs="Calibri"/>
          <w:bCs/>
        </w:rPr>
        <w:t>’</w:t>
      </w:r>
      <w:r w:rsidR="005C29EC" w:rsidRPr="005C29EC">
        <w:rPr>
          <w:rFonts w:ascii="Calibri" w:hAnsi="Calibri" w:cs="Calibri"/>
          <w:bCs/>
        </w:rPr>
        <w:t xml:space="preserve"> and, as part of the SDG gl</w:t>
      </w:r>
      <w:r w:rsidR="005C29EC">
        <w:rPr>
          <w:rFonts w:ascii="Calibri" w:hAnsi="Calibri" w:cs="Calibri"/>
          <w:bCs/>
        </w:rPr>
        <w:t>obal monitoring framework, ‘</w:t>
      </w:r>
      <w:r w:rsidR="005C29EC" w:rsidRPr="00DB53C9">
        <w:rPr>
          <w:rFonts w:ascii="Calibri" w:hAnsi="Calibri" w:cs="Calibri"/>
          <w:bCs/>
        </w:rPr>
        <w:t>global health risks</w:t>
      </w:r>
      <w:r w:rsidR="005C29EC">
        <w:rPr>
          <w:rFonts w:ascii="Calibri" w:hAnsi="Calibri" w:cs="Calibri"/>
          <w:bCs/>
        </w:rPr>
        <w:t xml:space="preserve">’. </w:t>
      </w:r>
      <w:r w:rsidR="004C239B">
        <w:rPr>
          <w:rFonts w:ascii="Calibri" w:hAnsi="Calibri" w:cs="Calibri"/>
          <w:bCs/>
        </w:rPr>
        <w:t>The surveillance and diagnostics data thus generated will also help countries give early warning for public health preparedness</w:t>
      </w:r>
      <w:r w:rsidR="00F44B26">
        <w:rPr>
          <w:rFonts w:ascii="Calibri" w:hAnsi="Calibri" w:cs="Calibri"/>
          <w:bCs/>
        </w:rPr>
        <w:t>,</w:t>
      </w:r>
      <w:r w:rsidR="004C239B">
        <w:rPr>
          <w:rFonts w:ascii="Calibri" w:hAnsi="Calibri" w:cs="Calibri"/>
          <w:bCs/>
        </w:rPr>
        <w:t xml:space="preserve"> and for appropriate response measures. </w:t>
      </w:r>
    </w:p>
    <w:p w14:paraId="2B731D10" w14:textId="62430E94" w:rsidR="003F34F4" w:rsidRPr="00207491" w:rsidRDefault="003F34F4" w:rsidP="003F34F4">
      <w:pPr>
        <w:shd w:val="clear" w:color="auto" w:fill="FFFFFF"/>
        <w:spacing w:after="0"/>
        <w:contextualSpacing/>
        <w:jc w:val="both"/>
        <w:rPr>
          <w:rFonts w:ascii="Calibri" w:hAnsi="Calibri" w:cs="Calibri"/>
          <w:bCs/>
        </w:rPr>
      </w:pPr>
      <w:r w:rsidRPr="00AB3FDE">
        <w:rPr>
          <w:rFonts w:ascii="Calibri" w:hAnsi="Calibri" w:cs="Calibri"/>
          <w:b/>
          <w:bCs/>
          <w:sz w:val="24"/>
        </w:rPr>
        <w:lastRenderedPageBreak/>
        <w:t>Rationale</w:t>
      </w:r>
      <w:r>
        <w:rPr>
          <w:rFonts w:ascii="Calibri" w:hAnsi="Calibri" w:cs="Calibri"/>
          <w:b/>
          <w:bCs/>
          <w:sz w:val="24"/>
        </w:rPr>
        <w:t xml:space="preserve"> for selecting the</w:t>
      </w:r>
      <w:r w:rsidRPr="00AB3FDE">
        <w:rPr>
          <w:rFonts w:ascii="Calibri" w:hAnsi="Calibri" w:cs="Calibri"/>
          <w:b/>
          <w:bCs/>
          <w:sz w:val="24"/>
        </w:rPr>
        <w:t xml:space="preserve"> types of AMR organisms</w:t>
      </w:r>
      <w:r w:rsidRPr="00207491">
        <w:rPr>
          <w:rFonts w:ascii="Calibri" w:hAnsi="Calibri" w:cs="Calibri"/>
          <w:bCs/>
        </w:rPr>
        <w:t xml:space="preserve">: </w:t>
      </w:r>
    </w:p>
    <w:p w14:paraId="7A2EC115" w14:textId="77777777" w:rsidR="003F34F4" w:rsidRPr="00207491" w:rsidRDefault="003F34F4" w:rsidP="003F34F4">
      <w:pPr>
        <w:shd w:val="clear" w:color="auto" w:fill="FFFFFF"/>
        <w:spacing w:after="0"/>
        <w:contextualSpacing/>
        <w:jc w:val="both"/>
        <w:rPr>
          <w:rFonts w:ascii="Calibri" w:hAnsi="Calibri" w:cs="Calibri"/>
          <w:bCs/>
        </w:rPr>
      </w:pPr>
      <w:r w:rsidRPr="00207491">
        <w:rPr>
          <w:rFonts w:ascii="Calibri" w:hAnsi="Calibri" w:cs="Calibri"/>
          <w:bCs/>
        </w:rPr>
        <w:t xml:space="preserve">(i) </w:t>
      </w:r>
      <w:r w:rsidRPr="00207491">
        <w:rPr>
          <w:rFonts w:ascii="Calibri" w:hAnsi="Calibri" w:cs="Calibri"/>
          <w:bCs/>
          <w:i/>
        </w:rPr>
        <w:t>E. coli</w:t>
      </w:r>
      <w:r w:rsidRPr="00207491">
        <w:rPr>
          <w:rFonts w:ascii="Calibri" w:hAnsi="Calibri" w:cs="Calibri"/>
          <w:bCs/>
        </w:rPr>
        <w:t xml:space="preserve"> and </w:t>
      </w:r>
      <w:r w:rsidRPr="00207491">
        <w:rPr>
          <w:rFonts w:ascii="Calibri" w:hAnsi="Calibri" w:cs="Calibri"/>
          <w:bCs/>
          <w:i/>
        </w:rPr>
        <w:t>S. aureus</w:t>
      </w:r>
      <w:r w:rsidRPr="00207491">
        <w:rPr>
          <w:rFonts w:ascii="Calibri" w:hAnsi="Calibri" w:cs="Calibri"/>
          <w:bCs/>
        </w:rPr>
        <w:t xml:space="preserve"> are among the most common human fast-growing bacteria causing acute human infections; </w:t>
      </w:r>
    </w:p>
    <w:p w14:paraId="6EB22D66" w14:textId="77777777" w:rsidR="003F34F4" w:rsidRPr="00207491" w:rsidRDefault="003F34F4" w:rsidP="003F34F4">
      <w:pPr>
        <w:shd w:val="clear" w:color="auto" w:fill="FFFFFF"/>
        <w:spacing w:after="0"/>
        <w:contextualSpacing/>
        <w:jc w:val="both"/>
        <w:rPr>
          <w:rFonts w:ascii="Calibri" w:hAnsi="Calibri" w:cs="Calibri"/>
          <w:bCs/>
        </w:rPr>
      </w:pPr>
      <w:r w:rsidRPr="00207491">
        <w:rPr>
          <w:rFonts w:ascii="Calibri" w:hAnsi="Calibri" w:cs="Calibri"/>
          <w:bCs/>
        </w:rPr>
        <w:t xml:space="preserve">(ii) </w:t>
      </w:r>
      <w:r w:rsidRPr="00207491">
        <w:rPr>
          <w:rFonts w:ascii="Calibri" w:hAnsi="Calibri" w:cs="Calibri"/>
          <w:bCs/>
          <w:i/>
        </w:rPr>
        <w:t>E. coli</w:t>
      </w:r>
      <w:r>
        <w:rPr>
          <w:rFonts w:ascii="Calibri" w:hAnsi="Calibri" w:cs="Calibri"/>
          <w:bCs/>
        </w:rPr>
        <w:t xml:space="preserve"> is highly prevalent </w:t>
      </w:r>
      <w:r w:rsidRPr="00207491">
        <w:rPr>
          <w:rFonts w:ascii="Calibri" w:hAnsi="Calibri" w:cs="Calibri"/>
          <w:bCs/>
        </w:rPr>
        <w:t xml:space="preserve">in both humans, animals and </w:t>
      </w:r>
      <w:r>
        <w:rPr>
          <w:rFonts w:ascii="Calibri" w:hAnsi="Calibri" w:cs="Calibri"/>
          <w:bCs/>
        </w:rPr>
        <w:t xml:space="preserve">environment, being an ideal </w:t>
      </w:r>
      <w:r w:rsidRPr="00207491">
        <w:rPr>
          <w:rFonts w:ascii="Calibri" w:hAnsi="Calibri" w:cs="Calibri"/>
          <w:bCs/>
        </w:rPr>
        <w:t>indicator for monitoring AMR across the sectors in line with the One Health approach</w:t>
      </w:r>
      <w:r>
        <w:rPr>
          <w:rFonts w:ascii="Calibri" w:hAnsi="Calibri" w:cs="Calibri"/>
          <w:bCs/>
        </w:rPr>
        <w:t xml:space="preserve">. It </w:t>
      </w:r>
      <w:r w:rsidRPr="00DB53C9">
        <w:rPr>
          <w:rFonts w:ascii="Calibri" w:hAnsi="Calibri" w:cs="Calibri"/>
          <w:bCs/>
        </w:rPr>
        <w:t>recognizes that the health of humans, animals and ecosystems are inter</w:t>
      </w:r>
      <w:r w:rsidRPr="003F34F4">
        <w:rPr>
          <w:rFonts w:ascii="Calibri" w:hAnsi="Calibri" w:cs="Calibri"/>
          <w:bCs/>
        </w:rPr>
        <w:t xml:space="preserve">connected and therefore requires </w:t>
      </w:r>
      <w:r w:rsidRPr="00DB53C9">
        <w:rPr>
          <w:rFonts w:ascii="Calibri" w:hAnsi="Calibri" w:cs="Calibri"/>
          <w:bCs/>
        </w:rPr>
        <w:t>a coordinated, collaborative, multidisciplinary and cross-sectoral approach to address potential or existing risks that originate at the animal-human-ecosystems interface</w:t>
      </w:r>
      <w:r w:rsidR="005C29EC">
        <w:rPr>
          <w:rFonts w:ascii="Calibri" w:hAnsi="Calibri" w:cs="Calibri"/>
          <w:bCs/>
        </w:rPr>
        <w:t xml:space="preserve">; </w:t>
      </w:r>
      <w:r w:rsidRPr="00207491">
        <w:rPr>
          <w:rFonts w:ascii="Calibri" w:hAnsi="Calibri" w:cs="Calibri"/>
          <w:bCs/>
        </w:rPr>
        <w:t xml:space="preserve"> </w:t>
      </w:r>
    </w:p>
    <w:p w14:paraId="44849C1D" w14:textId="3818D134" w:rsidR="003F34F4" w:rsidRPr="00207491" w:rsidRDefault="003F34F4" w:rsidP="003F34F4">
      <w:pPr>
        <w:shd w:val="clear" w:color="auto" w:fill="FFFFFF"/>
        <w:spacing w:after="0"/>
        <w:contextualSpacing/>
        <w:jc w:val="both"/>
        <w:rPr>
          <w:rFonts w:ascii="Calibri" w:hAnsi="Calibri" w:cs="Calibri"/>
          <w:bCs/>
        </w:rPr>
      </w:pPr>
      <w:r w:rsidRPr="00207491">
        <w:rPr>
          <w:rFonts w:ascii="Calibri" w:hAnsi="Calibri" w:cs="Calibri"/>
          <w:bCs/>
        </w:rPr>
        <w:t xml:space="preserve">(iii) both MRSA and </w:t>
      </w:r>
      <w:r w:rsidRPr="00207491">
        <w:rPr>
          <w:rFonts w:ascii="Calibri" w:hAnsi="Calibri" w:cs="Calibri"/>
          <w:bCs/>
          <w:i/>
        </w:rPr>
        <w:t>E. coli</w:t>
      </w:r>
      <w:r w:rsidRPr="00207491">
        <w:rPr>
          <w:rFonts w:ascii="Calibri" w:hAnsi="Calibri" w:cs="Calibri"/>
          <w:bCs/>
        </w:rPr>
        <w:t xml:space="preserve"> resistant to 3rd-generation cephalosporin are largely disseminated and </w:t>
      </w:r>
      <w:r w:rsidR="00F44B26">
        <w:rPr>
          <w:rFonts w:ascii="Calibri" w:hAnsi="Calibri" w:cs="Calibri"/>
          <w:bCs/>
        </w:rPr>
        <w:t xml:space="preserve">found </w:t>
      </w:r>
      <w:r w:rsidRPr="00207491">
        <w:rPr>
          <w:rFonts w:ascii="Calibri" w:hAnsi="Calibri" w:cs="Calibri"/>
          <w:bCs/>
        </w:rPr>
        <w:t xml:space="preserve">in high frequency in </w:t>
      </w:r>
      <w:r w:rsidR="004342D1">
        <w:rPr>
          <w:rFonts w:ascii="Calibri" w:hAnsi="Calibri" w:cs="Calibri"/>
          <w:bCs/>
        </w:rPr>
        <w:t xml:space="preserve">human infections observed in </w:t>
      </w:r>
      <w:r w:rsidRPr="00207491">
        <w:rPr>
          <w:rFonts w:ascii="Calibri" w:hAnsi="Calibri" w:cs="Calibri"/>
          <w:bCs/>
        </w:rPr>
        <w:t>hospital settings all over the world</w:t>
      </w:r>
      <w:r w:rsidR="004342D1">
        <w:rPr>
          <w:rFonts w:ascii="Calibri" w:hAnsi="Calibri" w:cs="Calibri"/>
          <w:bCs/>
        </w:rPr>
        <w:t xml:space="preserve"> and increasingly very frequent in the community</w:t>
      </w:r>
      <w:r w:rsidRPr="00207491">
        <w:rPr>
          <w:rFonts w:ascii="Calibri" w:hAnsi="Calibri" w:cs="Calibri"/>
          <w:bCs/>
        </w:rPr>
        <w:t xml:space="preserve">. Infections with these types of AMR lead to increase in use of the last resort drugs (e.g., vancomycin for MRSA infections, and carbapenems for </w:t>
      </w:r>
      <w:r w:rsidRPr="00207491">
        <w:rPr>
          <w:rFonts w:ascii="Calibri" w:hAnsi="Calibri" w:cs="Calibri"/>
          <w:bCs/>
          <w:i/>
        </w:rPr>
        <w:t>E. coli</w:t>
      </w:r>
      <w:r w:rsidRPr="00207491">
        <w:rPr>
          <w:rFonts w:ascii="Calibri" w:hAnsi="Calibri" w:cs="Calibri"/>
          <w:bCs/>
        </w:rPr>
        <w:t xml:space="preserve"> resistant to 3rd-generation cephalosporin) against which new types of AMR are emerging. </w:t>
      </w:r>
    </w:p>
    <w:p w14:paraId="2E65DA54" w14:textId="77777777" w:rsidR="003F34F4" w:rsidRPr="00207491" w:rsidRDefault="003F34F4" w:rsidP="003F34F4">
      <w:pPr>
        <w:shd w:val="clear" w:color="auto" w:fill="FFFFFF"/>
        <w:spacing w:after="0"/>
        <w:contextualSpacing/>
        <w:jc w:val="both"/>
        <w:rPr>
          <w:rFonts w:ascii="Calibri" w:hAnsi="Calibri" w:cs="Calibri"/>
          <w:bCs/>
        </w:rPr>
      </w:pPr>
    </w:p>
    <w:p w14:paraId="1475A189" w14:textId="3167DF65" w:rsidR="003F34F4" w:rsidRPr="0059678C" w:rsidRDefault="003F34F4" w:rsidP="003F34F4">
      <w:pPr>
        <w:jc w:val="both"/>
        <w:rPr>
          <w:rFonts w:ascii="Calibri" w:hAnsi="Calibri" w:cs="Calibri"/>
          <w:bCs/>
        </w:rPr>
      </w:pPr>
      <w:r w:rsidRPr="00207491">
        <w:rPr>
          <w:rFonts w:ascii="Calibri" w:hAnsi="Calibri" w:cs="Calibri"/>
          <w:bCs/>
        </w:rPr>
        <w:t xml:space="preserve">Effective control of these two types of AMR will ultimately </w:t>
      </w:r>
      <w:r w:rsidR="004342D1">
        <w:rPr>
          <w:rFonts w:ascii="Calibri" w:hAnsi="Calibri" w:cs="Calibri"/>
          <w:bCs/>
        </w:rPr>
        <w:t xml:space="preserve">help </w:t>
      </w:r>
      <w:r w:rsidRPr="00207491">
        <w:rPr>
          <w:rFonts w:ascii="Calibri" w:hAnsi="Calibri" w:cs="Calibri"/>
          <w:bCs/>
        </w:rPr>
        <w:t xml:space="preserve">preserve the capacity to treat infections with available antimicrobials while new prevention and treatment solutions can be developed. </w:t>
      </w:r>
      <w:r>
        <w:rPr>
          <w:rFonts w:ascii="Calibri" w:hAnsi="Calibri" w:cs="Calibri"/>
          <w:bCs/>
        </w:rPr>
        <w:t xml:space="preserve"> </w:t>
      </w:r>
      <w:r w:rsidRPr="00207491">
        <w:rPr>
          <w:rFonts w:ascii="Calibri" w:hAnsi="Calibri" w:cs="Calibri"/>
          <w:bCs/>
        </w:rPr>
        <w:t xml:space="preserve">WHO has </w:t>
      </w:r>
      <w:r w:rsidR="00F44B26">
        <w:rPr>
          <w:rFonts w:ascii="Calibri" w:hAnsi="Calibri" w:cs="Calibri"/>
          <w:bCs/>
        </w:rPr>
        <w:t xml:space="preserve">well </w:t>
      </w:r>
      <w:r w:rsidRPr="00207491">
        <w:rPr>
          <w:rFonts w:ascii="Calibri" w:hAnsi="Calibri" w:cs="Calibri"/>
          <w:bCs/>
        </w:rPr>
        <w:t xml:space="preserve">defined global infection prevention and control standards and strategies. </w:t>
      </w:r>
    </w:p>
    <w:p w14:paraId="7FC2B026" w14:textId="77777777" w:rsidR="00EA4E88" w:rsidRPr="00EA4E88" w:rsidRDefault="00EA4E88" w:rsidP="00207491">
      <w:pPr>
        <w:shd w:val="clear" w:color="auto" w:fill="FFFFFF"/>
        <w:spacing w:after="0"/>
        <w:contextualSpacing/>
        <w:jc w:val="both"/>
        <w:rPr>
          <w:rFonts w:ascii="Calibri" w:hAnsi="Calibri" w:cs="Calibri"/>
          <w:bCs/>
        </w:rPr>
      </w:pPr>
    </w:p>
    <w:p w14:paraId="6AECA886" w14:textId="77777777" w:rsidR="00DF5DBC" w:rsidRPr="00AB3FDE" w:rsidRDefault="00DF5DBC" w:rsidP="00207491">
      <w:pPr>
        <w:shd w:val="clear" w:color="auto" w:fill="FFFFFF"/>
        <w:spacing w:after="0"/>
        <w:contextualSpacing/>
        <w:jc w:val="both"/>
        <w:rPr>
          <w:rFonts w:ascii="Calibri" w:eastAsia="Times New Roman" w:hAnsi="Calibri" w:cs="Calibri"/>
          <w:sz w:val="24"/>
          <w:szCs w:val="24"/>
          <w:lang w:eastAsia="en-GB"/>
        </w:rPr>
      </w:pPr>
      <w:r w:rsidRPr="00AB3FDE">
        <w:rPr>
          <w:rFonts w:ascii="Calibri" w:eastAsia="Times New Roman" w:hAnsi="Calibri" w:cs="Calibri"/>
          <w:b/>
          <w:bCs/>
          <w:sz w:val="24"/>
          <w:szCs w:val="24"/>
          <w:lang w:eastAsia="en-GB"/>
        </w:rPr>
        <w:t>Comments and limitations:</w:t>
      </w:r>
    </w:p>
    <w:p w14:paraId="140A0D4D" w14:textId="742D355F" w:rsidR="00DF5DBC" w:rsidRPr="00207491" w:rsidRDefault="004C239B" w:rsidP="00207491">
      <w:pPr>
        <w:shd w:val="clear" w:color="auto" w:fill="FFFFFF"/>
        <w:spacing w:after="0"/>
        <w:contextualSpacing/>
        <w:jc w:val="both"/>
        <w:rPr>
          <w:rFonts w:ascii="Calibri" w:hAnsi="Calibri" w:cs="Calibri"/>
          <w:bCs/>
        </w:rPr>
      </w:pPr>
      <w:r>
        <w:rPr>
          <w:rFonts w:ascii="Calibri" w:hAnsi="Calibri" w:cs="Calibri"/>
          <w:bCs/>
        </w:rPr>
        <w:t xml:space="preserve">AMR is an emerging global threat and risk to public health worldwide. </w:t>
      </w:r>
      <w:r w:rsidR="001203F3">
        <w:rPr>
          <w:rFonts w:ascii="Calibri" w:hAnsi="Calibri" w:cs="Calibri"/>
          <w:bCs/>
        </w:rPr>
        <w:t xml:space="preserve">In </w:t>
      </w:r>
      <w:r>
        <w:rPr>
          <w:rFonts w:ascii="Calibri" w:hAnsi="Calibri" w:cs="Calibri"/>
          <w:bCs/>
        </w:rPr>
        <w:t xml:space="preserve">its </w:t>
      </w:r>
      <w:r w:rsidR="001203F3">
        <w:rPr>
          <w:rFonts w:ascii="Calibri" w:hAnsi="Calibri" w:cs="Calibri"/>
          <w:bCs/>
        </w:rPr>
        <w:t xml:space="preserve">early implementation phase of the global antimicrobial resistance surveillance system (GLASS), </w:t>
      </w:r>
      <w:r>
        <w:rPr>
          <w:rFonts w:ascii="Calibri" w:hAnsi="Calibri" w:cs="Calibri"/>
          <w:bCs/>
        </w:rPr>
        <w:t xml:space="preserve">WHO recognizes various </w:t>
      </w:r>
      <w:r w:rsidR="001203F3">
        <w:rPr>
          <w:rFonts w:ascii="Calibri" w:hAnsi="Calibri" w:cs="Calibri"/>
          <w:bCs/>
        </w:rPr>
        <w:t>c</w:t>
      </w:r>
      <w:r w:rsidR="00881950" w:rsidRPr="00207491">
        <w:rPr>
          <w:rFonts w:ascii="Calibri" w:hAnsi="Calibri" w:cs="Calibri"/>
          <w:bCs/>
        </w:rPr>
        <w:t>onstraints</w:t>
      </w:r>
      <w:r w:rsidR="004342D1">
        <w:rPr>
          <w:rFonts w:ascii="Calibri" w:hAnsi="Calibri" w:cs="Calibri"/>
          <w:bCs/>
        </w:rPr>
        <w:t xml:space="preserve"> in obtaining unbiased, representative AMR data</w:t>
      </w:r>
      <w:r w:rsidR="001203F3">
        <w:rPr>
          <w:rFonts w:ascii="Calibri" w:hAnsi="Calibri" w:cs="Calibri"/>
          <w:bCs/>
        </w:rPr>
        <w:t xml:space="preserve">: </w:t>
      </w:r>
      <w:r w:rsidR="00881950" w:rsidRPr="00207491">
        <w:rPr>
          <w:rFonts w:ascii="Calibri" w:hAnsi="Calibri" w:cs="Calibri"/>
          <w:bCs/>
        </w:rPr>
        <w:t xml:space="preserve">number and distribution of surveillance sites and representativeness of surveillance data, sampling bias, poor diagnostic capacity, measurements errors, issues with data management. </w:t>
      </w:r>
      <w:r>
        <w:rPr>
          <w:rFonts w:ascii="Calibri" w:hAnsi="Calibri" w:cs="Calibri"/>
          <w:bCs/>
        </w:rPr>
        <w:t xml:space="preserve">It is imperative that countries should have a functioning </w:t>
      </w:r>
      <w:r w:rsidRPr="00207491">
        <w:rPr>
          <w:rFonts w:ascii="Calibri" w:hAnsi="Calibri" w:cs="Calibri"/>
          <w:bCs/>
        </w:rPr>
        <w:t>national system</w:t>
      </w:r>
      <w:r>
        <w:rPr>
          <w:rFonts w:ascii="Calibri" w:hAnsi="Calibri" w:cs="Calibri"/>
          <w:bCs/>
        </w:rPr>
        <w:t xml:space="preserve"> to support AMR surveillance and </w:t>
      </w:r>
      <w:r w:rsidR="00F45D42">
        <w:rPr>
          <w:rFonts w:ascii="Calibri" w:hAnsi="Calibri" w:cs="Calibri"/>
          <w:bCs/>
        </w:rPr>
        <w:t>report to GLASS</w:t>
      </w:r>
      <w:r>
        <w:rPr>
          <w:rFonts w:ascii="Calibri" w:hAnsi="Calibri" w:cs="Calibri"/>
          <w:bCs/>
        </w:rPr>
        <w:t xml:space="preserve">. </w:t>
      </w:r>
      <w:r w:rsidRPr="00207491">
        <w:rPr>
          <w:rFonts w:ascii="Calibri" w:hAnsi="Calibri" w:cs="Calibri"/>
          <w:bCs/>
        </w:rPr>
        <w:t xml:space="preserve"> </w:t>
      </w:r>
      <w:r w:rsidR="00F45D42">
        <w:rPr>
          <w:rFonts w:ascii="Calibri" w:hAnsi="Calibri" w:cs="Calibri"/>
          <w:bCs/>
        </w:rPr>
        <w:t>More detailed</w:t>
      </w:r>
      <w:r>
        <w:rPr>
          <w:rFonts w:ascii="Calibri" w:hAnsi="Calibri" w:cs="Calibri"/>
          <w:bCs/>
        </w:rPr>
        <w:t xml:space="preserve"> </w:t>
      </w:r>
      <w:r w:rsidR="004B0EB4">
        <w:rPr>
          <w:rFonts w:ascii="Calibri" w:hAnsi="Calibri" w:cs="Calibri"/>
          <w:bCs/>
        </w:rPr>
        <w:t>GLASS methodology</w:t>
      </w:r>
      <w:r w:rsidR="00F45D42">
        <w:rPr>
          <w:rFonts w:ascii="Calibri" w:hAnsi="Calibri" w:cs="Calibri"/>
          <w:bCs/>
        </w:rPr>
        <w:t xml:space="preserve"> and limitations of data</w:t>
      </w:r>
      <w:r w:rsidR="004B0EB4">
        <w:rPr>
          <w:rFonts w:ascii="Calibri" w:hAnsi="Calibri" w:cs="Calibri"/>
          <w:bCs/>
        </w:rPr>
        <w:t xml:space="preserve"> </w:t>
      </w:r>
      <w:r w:rsidR="00F45D42">
        <w:rPr>
          <w:rFonts w:ascii="Calibri" w:hAnsi="Calibri" w:cs="Calibri"/>
          <w:bCs/>
        </w:rPr>
        <w:t>currently submitted by cou</w:t>
      </w:r>
      <w:r w:rsidR="00D26918">
        <w:rPr>
          <w:rFonts w:ascii="Calibri" w:hAnsi="Calibri" w:cs="Calibri"/>
          <w:bCs/>
        </w:rPr>
        <w:t>n</w:t>
      </w:r>
      <w:r w:rsidR="00F45D42">
        <w:rPr>
          <w:rFonts w:ascii="Calibri" w:hAnsi="Calibri" w:cs="Calibri"/>
          <w:bCs/>
        </w:rPr>
        <w:t xml:space="preserve">tries </w:t>
      </w:r>
      <w:r>
        <w:rPr>
          <w:rFonts w:ascii="Calibri" w:hAnsi="Calibri" w:cs="Calibri"/>
          <w:bCs/>
        </w:rPr>
        <w:t xml:space="preserve">can be found </w:t>
      </w:r>
      <w:r w:rsidR="004B0EB4">
        <w:rPr>
          <w:rFonts w:ascii="Calibri" w:hAnsi="Calibri" w:cs="Calibri"/>
          <w:bCs/>
        </w:rPr>
        <w:t>in the GLASS report</w:t>
      </w:r>
      <w:r w:rsidR="004B0EB4">
        <w:rPr>
          <w:rStyle w:val="FootnoteReference"/>
          <w:rFonts w:ascii="Calibri" w:hAnsi="Calibri" w:cs="Calibri"/>
          <w:bCs/>
        </w:rPr>
        <w:footnoteReference w:id="6"/>
      </w:r>
      <w:r w:rsidR="004B0EB4">
        <w:rPr>
          <w:rFonts w:ascii="Calibri" w:hAnsi="Calibri" w:cs="Calibri"/>
          <w:bCs/>
        </w:rPr>
        <w:t>.</w:t>
      </w:r>
      <w:r w:rsidR="00F2448A">
        <w:rPr>
          <w:rFonts w:ascii="Calibri" w:hAnsi="Calibri" w:cs="Calibri"/>
          <w:bCs/>
        </w:rPr>
        <w:t xml:space="preserve">  </w:t>
      </w:r>
      <w:r w:rsidR="00BE3A0C">
        <w:rPr>
          <w:rFonts w:ascii="Calibri" w:hAnsi="Calibri" w:cs="Calibri"/>
          <w:bCs/>
        </w:rPr>
        <w:t xml:space="preserve">AMR surveillance, country preparedness and response are now high priority for WHO and its Member States. </w:t>
      </w:r>
      <w:r w:rsidR="00F2448A">
        <w:rPr>
          <w:rFonts w:ascii="Calibri" w:hAnsi="Calibri" w:cs="Calibri"/>
          <w:bCs/>
        </w:rPr>
        <w:t xml:space="preserve">In the next five years, </w:t>
      </w:r>
      <w:r w:rsidR="00BE3A0C">
        <w:rPr>
          <w:rFonts w:ascii="Calibri" w:hAnsi="Calibri" w:cs="Calibri"/>
          <w:bCs/>
        </w:rPr>
        <w:t xml:space="preserve">WHO aims to provide intensified </w:t>
      </w:r>
      <w:r w:rsidR="00F2448A">
        <w:rPr>
          <w:rFonts w:ascii="Calibri" w:hAnsi="Calibri" w:cs="Calibri"/>
          <w:bCs/>
        </w:rPr>
        <w:t>technical assistance</w:t>
      </w:r>
      <w:r w:rsidR="00BE3A0C">
        <w:rPr>
          <w:rFonts w:ascii="Calibri" w:hAnsi="Calibri" w:cs="Calibri"/>
          <w:bCs/>
        </w:rPr>
        <w:t>.  E</w:t>
      </w:r>
      <w:r w:rsidR="00F2448A">
        <w:rPr>
          <w:rFonts w:ascii="Calibri" w:hAnsi="Calibri" w:cs="Calibri"/>
          <w:bCs/>
        </w:rPr>
        <w:t xml:space="preserve">xperience gained </w:t>
      </w:r>
      <w:r w:rsidR="00BE3A0C">
        <w:rPr>
          <w:rFonts w:ascii="Calibri" w:hAnsi="Calibri" w:cs="Calibri"/>
          <w:bCs/>
        </w:rPr>
        <w:t xml:space="preserve">and lessons learnt </w:t>
      </w:r>
      <w:r w:rsidR="00F2448A">
        <w:rPr>
          <w:rFonts w:ascii="Calibri" w:hAnsi="Calibri" w:cs="Calibri"/>
          <w:bCs/>
        </w:rPr>
        <w:t xml:space="preserve">from the </w:t>
      </w:r>
      <w:r w:rsidR="00BE3A0C">
        <w:rPr>
          <w:rFonts w:ascii="Calibri" w:hAnsi="Calibri" w:cs="Calibri"/>
          <w:bCs/>
        </w:rPr>
        <w:t xml:space="preserve">further implementation of the </w:t>
      </w:r>
      <w:r w:rsidR="00F2448A">
        <w:rPr>
          <w:rFonts w:ascii="Calibri" w:hAnsi="Calibri" w:cs="Calibri"/>
          <w:bCs/>
        </w:rPr>
        <w:t>national AMR surveillance systems</w:t>
      </w:r>
      <w:r w:rsidR="00BE3A0C">
        <w:rPr>
          <w:rFonts w:ascii="Calibri" w:hAnsi="Calibri" w:cs="Calibri"/>
          <w:bCs/>
        </w:rPr>
        <w:t xml:space="preserve"> will increase effectiveness</w:t>
      </w:r>
      <w:r w:rsidR="00F2448A">
        <w:rPr>
          <w:rFonts w:ascii="Calibri" w:hAnsi="Calibri" w:cs="Calibri"/>
          <w:bCs/>
        </w:rPr>
        <w:t xml:space="preserve">, </w:t>
      </w:r>
      <w:r w:rsidR="00BE3A0C">
        <w:rPr>
          <w:rFonts w:ascii="Calibri" w:hAnsi="Calibri" w:cs="Calibri"/>
          <w:bCs/>
        </w:rPr>
        <w:t xml:space="preserve">address </w:t>
      </w:r>
      <w:r w:rsidR="00F2448A">
        <w:rPr>
          <w:rFonts w:ascii="Calibri" w:hAnsi="Calibri" w:cs="Calibri"/>
          <w:bCs/>
        </w:rPr>
        <w:t>limitations</w:t>
      </w:r>
      <w:r w:rsidR="00BE3A0C">
        <w:rPr>
          <w:rFonts w:ascii="Calibri" w:hAnsi="Calibri" w:cs="Calibri"/>
          <w:bCs/>
        </w:rPr>
        <w:t xml:space="preserve">, and the make the data more robust. </w:t>
      </w:r>
      <w:r w:rsidR="00F2448A">
        <w:rPr>
          <w:rFonts w:ascii="Calibri" w:hAnsi="Calibri" w:cs="Calibri"/>
          <w:bCs/>
        </w:rPr>
        <w:t xml:space="preserve"> </w:t>
      </w:r>
    </w:p>
    <w:p w14:paraId="60ACF6BF" w14:textId="77777777" w:rsidR="00DF5DBC" w:rsidRDefault="00DF5DBC" w:rsidP="00207491">
      <w:pPr>
        <w:shd w:val="clear" w:color="auto" w:fill="FFFFFF"/>
        <w:spacing w:after="0"/>
        <w:contextualSpacing/>
        <w:jc w:val="both"/>
        <w:rPr>
          <w:rFonts w:ascii="Calibri" w:eastAsia="Times New Roman" w:hAnsi="Calibri" w:cs="Calibri"/>
          <w:color w:val="4A4A4A"/>
          <w:sz w:val="21"/>
          <w:szCs w:val="21"/>
          <w:lang w:eastAsia="en-GB"/>
        </w:rPr>
      </w:pPr>
    </w:p>
    <w:p w14:paraId="0F152510" w14:textId="77777777" w:rsidR="00F2448A" w:rsidRDefault="00F2448A" w:rsidP="00207491">
      <w:pPr>
        <w:shd w:val="clear" w:color="auto" w:fill="FFFFFF"/>
        <w:spacing w:after="0"/>
        <w:contextualSpacing/>
        <w:jc w:val="both"/>
        <w:rPr>
          <w:rFonts w:ascii="Calibri" w:eastAsia="Times New Roman" w:hAnsi="Calibri" w:cs="Calibri"/>
          <w:color w:val="4A4A4A"/>
          <w:sz w:val="21"/>
          <w:szCs w:val="21"/>
          <w:lang w:eastAsia="en-GB"/>
        </w:rPr>
      </w:pPr>
      <w:bookmarkStart w:id="0" w:name="_GoBack"/>
      <w:bookmarkEnd w:id="0"/>
    </w:p>
    <w:p w14:paraId="393B9D2C" w14:textId="77777777" w:rsidR="00DF5DBC" w:rsidRPr="00207491" w:rsidRDefault="00DF5DBC" w:rsidP="00207491">
      <w:pPr>
        <w:pBdr>
          <w:bottom w:val="single" w:sz="12" w:space="4" w:color="DDDDDD"/>
        </w:pBdr>
        <w:shd w:val="clear" w:color="auto" w:fill="FFFFFF"/>
        <w:spacing w:after="0"/>
        <w:contextualSpacing/>
        <w:jc w:val="both"/>
        <w:outlineLvl w:val="2"/>
        <w:rPr>
          <w:rFonts w:ascii="Calibri" w:eastAsia="Times New Roman" w:hAnsi="Calibri" w:cs="Calibri"/>
          <w:color w:val="1C75BC"/>
          <w:sz w:val="36"/>
          <w:szCs w:val="36"/>
          <w:lang w:eastAsia="en-GB"/>
        </w:rPr>
      </w:pPr>
      <w:r w:rsidRPr="00207491">
        <w:rPr>
          <w:rFonts w:ascii="Calibri" w:eastAsia="Times New Roman" w:hAnsi="Calibri" w:cs="Calibri"/>
          <w:color w:val="1C75BC"/>
          <w:sz w:val="36"/>
          <w:szCs w:val="36"/>
          <w:lang w:eastAsia="en-GB"/>
        </w:rPr>
        <w:t>Methodology</w:t>
      </w:r>
    </w:p>
    <w:p w14:paraId="3F0969F7" w14:textId="77777777" w:rsidR="00AA04D1" w:rsidRDefault="00AA04D1" w:rsidP="00207491">
      <w:pPr>
        <w:shd w:val="clear" w:color="auto" w:fill="FFFFFF"/>
        <w:spacing w:after="0"/>
        <w:contextualSpacing/>
        <w:jc w:val="both"/>
        <w:rPr>
          <w:rFonts w:ascii="Calibri" w:eastAsia="Times New Roman" w:hAnsi="Calibri" w:cs="Calibri"/>
          <w:b/>
          <w:bCs/>
          <w:color w:val="4A4A4A"/>
          <w:sz w:val="21"/>
          <w:szCs w:val="21"/>
          <w:lang w:eastAsia="en-GB"/>
        </w:rPr>
      </w:pPr>
    </w:p>
    <w:p w14:paraId="6732FF6C" w14:textId="77777777" w:rsidR="00DF5DBC" w:rsidRPr="00207491" w:rsidRDefault="00DF5DBC" w:rsidP="00207491">
      <w:pPr>
        <w:shd w:val="clear" w:color="auto" w:fill="FFFFFF"/>
        <w:spacing w:after="0"/>
        <w:contextualSpacing/>
        <w:jc w:val="both"/>
        <w:rPr>
          <w:rFonts w:ascii="Calibri" w:eastAsia="Times New Roman" w:hAnsi="Calibri" w:cs="Calibri"/>
          <w:color w:val="4A4A4A"/>
          <w:sz w:val="21"/>
          <w:szCs w:val="21"/>
          <w:lang w:eastAsia="en-GB"/>
        </w:rPr>
      </w:pPr>
      <w:r w:rsidRPr="00207491">
        <w:rPr>
          <w:rFonts w:ascii="Calibri" w:eastAsia="Times New Roman" w:hAnsi="Calibri" w:cs="Calibri"/>
          <w:b/>
          <w:bCs/>
          <w:color w:val="4A4A4A"/>
          <w:sz w:val="21"/>
          <w:szCs w:val="21"/>
          <w:lang w:eastAsia="en-GB"/>
        </w:rPr>
        <w:t>Computation Method:</w:t>
      </w:r>
    </w:p>
    <w:p w14:paraId="2A7DB225" w14:textId="7A35D08B" w:rsidR="00881950" w:rsidRDefault="00881950" w:rsidP="00207491">
      <w:pPr>
        <w:jc w:val="both"/>
        <w:rPr>
          <w:rFonts w:ascii="Calibri" w:hAnsi="Calibri" w:cs="Calibri"/>
          <w:bCs/>
        </w:rPr>
      </w:pPr>
      <w:r w:rsidRPr="00207491">
        <w:rPr>
          <w:rFonts w:ascii="Calibri" w:hAnsi="Calibri" w:cs="Calibri"/>
          <w:bCs/>
        </w:rPr>
        <w:t xml:space="preserve">The WHO Global AMR Surveillance System (GLASS) supports countries to implement an AMR standardized surveillance system. </w:t>
      </w:r>
      <w:r w:rsidR="006C38D5">
        <w:rPr>
          <w:rFonts w:ascii="Calibri" w:hAnsi="Calibri" w:cs="Calibri"/>
          <w:bCs/>
        </w:rPr>
        <w:t xml:space="preserve"> C</w:t>
      </w:r>
      <w:r w:rsidRPr="00207491">
        <w:rPr>
          <w:rFonts w:ascii="Calibri" w:hAnsi="Calibri" w:cs="Calibri"/>
          <w:bCs/>
        </w:rPr>
        <w:t>ases</w:t>
      </w:r>
      <w:r w:rsidR="006C38D5">
        <w:rPr>
          <w:rFonts w:ascii="Calibri" w:hAnsi="Calibri" w:cs="Calibri"/>
          <w:bCs/>
        </w:rPr>
        <w:t xml:space="preserve"> of AMR infection</w:t>
      </w:r>
      <w:r w:rsidRPr="00207491">
        <w:rPr>
          <w:rFonts w:ascii="Calibri" w:hAnsi="Calibri" w:cs="Calibri"/>
          <w:bCs/>
        </w:rPr>
        <w:t xml:space="preserve"> are found among patients from whom routine clinical samples have been collected for blood culture at surveillance sites </w:t>
      </w:r>
      <w:r w:rsidR="006C38D5">
        <w:rPr>
          <w:rFonts w:ascii="Calibri" w:hAnsi="Calibri" w:cs="Calibri"/>
          <w:bCs/>
        </w:rPr>
        <w:t xml:space="preserve">(health care facility) </w:t>
      </w:r>
      <w:r w:rsidRPr="00207491">
        <w:rPr>
          <w:rFonts w:ascii="Calibri" w:hAnsi="Calibri" w:cs="Calibri"/>
          <w:bCs/>
        </w:rPr>
        <w:t xml:space="preserve">according to local clinical practices, and antimicrobial susceptibility tests (AST) are performed for the </w:t>
      </w:r>
      <w:r w:rsidRPr="00207491">
        <w:rPr>
          <w:rFonts w:ascii="Calibri" w:hAnsi="Calibri" w:cs="Calibri"/>
          <w:bCs/>
        </w:rPr>
        <w:lastRenderedPageBreak/>
        <w:t>isolated blood pathogens</w:t>
      </w:r>
      <w:r w:rsidR="00D60151">
        <w:rPr>
          <w:rFonts w:ascii="Calibri" w:hAnsi="Calibri" w:cs="Calibri"/>
          <w:bCs/>
        </w:rPr>
        <w:t xml:space="preserve"> as per international standards</w:t>
      </w:r>
      <w:r w:rsidR="00D60151">
        <w:rPr>
          <w:rStyle w:val="FootnoteReference"/>
          <w:rFonts w:ascii="Calibri" w:hAnsi="Calibri" w:cs="Calibri"/>
          <w:bCs/>
        </w:rPr>
        <w:footnoteReference w:id="7"/>
      </w:r>
      <w:r w:rsidRPr="00207491">
        <w:rPr>
          <w:rFonts w:ascii="Calibri" w:hAnsi="Calibri" w:cs="Calibri"/>
          <w:bCs/>
        </w:rPr>
        <w:t>.</w:t>
      </w:r>
      <w:r w:rsidR="00D60151">
        <w:rPr>
          <w:rFonts w:ascii="Calibri" w:hAnsi="Calibri" w:cs="Calibri"/>
          <w:bCs/>
        </w:rPr>
        <w:t xml:space="preserve"> </w:t>
      </w:r>
      <w:r w:rsidRPr="00207491">
        <w:rPr>
          <w:rFonts w:ascii="Calibri" w:hAnsi="Calibri" w:cs="Calibri"/>
          <w:bCs/>
        </w:rPr>
        <w:t xml:space="preserve">The microbiological results (bacteria identification and AST) are </w:t>
      </w:r>
      <w:r w:rsidR="00254310" w:rsidRPr="00207491">
        <w:rPr>
          <w:rFonts w:ascii="Calibri" w:hAnsi="Calibri" w:cs="Calibri"/>
          <w:bCs/>
        </w:rPr>
        <w:t xml:space="preserve">de-duplicated and </w:t>
      </w:r>
      <w:r w:rsidRPr="00207491">
        <w:rPr>
          <w:rFonts w:ascii="Calibri" w:hAnsi="Calibri" w:cs="Calibri"/>
          <w:bCs/>
        </w:rPr>
        <w:t>combined with the patient data and related to population data from the surveillance sites. GLASS does collect information on the origin of the infection</w:t>
      </w:r>
      <w:r w:rsidR="001F32D9">
        <w:rPr>
          <w:rFonts w:ascii="Calibri" w:hAnsi="Calibri" w:cs="Calibri"/>
          <w:bCs/>
        </w:rPr>
        <w:t>,</w:t>
      </w:r>
      <w:r w:rsidRPr="00207491">
        <w:rPr>
          <w:rFonts w:ascii="Calibri" w:hAnsi="Calibri" w:cs="Calibri"/>
          <w:bCs/>
        </w:rPr>
        <w:t xml:space="preserve"> either community origin (less than 2 calendar days in hospital) or hospital origin (patients hospitalized for more than 2 calendar days). Data are collated and validated at national level and reported to GLASS where epidemiological statistics and metrics are generated.</w:t>
      </w:r>
      <w:r w:rsidR="000C3721" w:rsidRPr="00207491">
        <w:rPr>
          <w:rFonts w:ascii="Calibri" w:hAnsi="Calibri" w:cs="Calibri"/>
          <w:bCs/>
        </w:rPr>
        <w:t xml:space="preserve"> </w:t>
      </w:r>
      <w:r w:rsidR="008C41F6" w:rsidRPr="00207491">
        <w:rPr>
          <w:rFonts w:ascii="Calibri" w:hAnsi="Calibri" w:cs="Calibri"/>
          <w:bCs/>
        </w:rPr>
        <w:t xml:space="preserve">GLASS </w:t>
      </w:r>
      <w:r w:rsidR="002468CE" w:rsidRPr="00207491">
        <w:rPr>
          <w:rFonts w:ascii="Calibri" w:hAnsi="Calibri" w:cs="Calibri"/>
          <w:bCs/>
        </w:rPr>
        <w:t xml:space="preserve">has published guidelines on the set up of national </w:t>
      </w:r>
      <w:r w:rsidR="008C41F6" w:rsidRPr="00207491">
        <w:rPr>
          <w:rFonts w:ascii="Calibri" w:hAnsi="Calibri" w:cs="Calibri"/>
          <w:bCs/>
        </w:rPr>
        <w:t xml:space="preserve">AMR </w:t>
      </w:r>
      <w:r w:rsidR="002468CE" w:rsidRPr="00207491">
        <w:rPr>
          <w:rFonts w:ascii="Calibri" w:hAnsi="Calibri" w:cs="Calibri"/>
          <w:bCs/>
        </w:rPr>
        <w:t>surveillance system</w:t>
      </w:r>
      <w:r w:rsidR="008C41F6" w:rsidRPr="00207491">
        <w:rPr>
          <w:rFonts w:ascii="Calibri" w:hAnsi="Calibri" w:cs="Calibri"/>
          <w:bCs/>
        </w:rPr>
        <w:t>s</w:t>
      </w:r>
      <w:r w:rsidR="008C41F6" w:rsidRPr="00207491">
        <w:rPr>
          <w:rStyle w:val="FootnoteReference"/>
          <w:rFonts w:ascii="Calibri" w:hAnsi="Calibri" w:cs="Calibri"/>
          <w:bCs/>
        </w:rPr>
        <w:footnoteReference w:id="8"/>
      </w:r>
      <w:r w:rsidR="002468CE" w:rsidRPr="00207491">
        <w:rPr>
          <w:rFonts w:ascii="Calibri" w:hAnsi="Calibri" w:cs="Calibri"/>
          <w:bCs/>
        </w:rPr>
        <w:t xml:space="preserve"> and </w:t>
      </w:r>
      <w:r w:rsidR="008C41F6" w:rsidRPr="00207491">
        <w:rPr>
          <w:rFonts w:ascii="Calibri" w:hAnsi="Calibri" w:cs="Calibri"/>
          <w:bCs/>
        </w:rPr>
        <w:t>the GLASS methodology implementation</w:t>
      </w:r>
      <w:r w:rsidR="00BE3A0C">
        <w:rPr>
          <w:rFonts w:ascii="Calibri" w:hAnsi="Calibri" w:cs="Calibri"/>
          <w:bCs/>
        </w:rPr>
        <w:t xml:space="preserve"> manual</w:t>
      </w:r>
      <w:r w:rsidR="008C41F6" w:rsidRPr="00207491">
        <w:rPr>
          <w:rStyle w:val="FootnoteReference"/>
          <w:rFonts w:ascii="Calibri" w:hAnsi="Calibri" w:cs="Calibri"/>
          <w:bCs/>
        </w:rPr>
        <w:footnoteReference w:id="9"/>
      </w:r>
      <w:r w:rsidR="008C41F6" w:rsidRPr="00207491">
        <w:rPr>
          <w:rFonts w:ascii="Calibri" w:hAnsi="Calibri" w:cs="Calibri"/>
          <w:bCs/>
        </w:rPr>
        <w:t xml:space="preserve"> </w:t>
      </w:r>
      <w:r w:rsidR="00BE3A0C">
        <w:rPr>
          <w:rFonts w:ascii="Calibri" w:hAnsi="Calibri" w:cs="Calibri"/>
          <w:bCs/>
        </w:rPr>
        <w:t xml:space="preserve">is </w:t>
      </w:r>
      <w:r w:rsidR="008C41F6" w:rsidRPr="00207491">
        <w:rPr>
          <w:rFonts w:ascii="Calibri" w:hAnsi="Calibri" w:cs="Calibri"/>
          <w:bCs/>
        </w:rPr>
        <w:t>available to countries.</w:t>
      </w:r>
    </w:p>
    <w:p w14:paraId="3327FC1A" w14:textId="44532402" w:rsidR="00AA04D1" w:rsidRPr="00AA04D1" w:rsidRDefault="006C38D5" w:rsidP="00AA04D1">
      <w:pPr>
        <w:shd w:val="clear" w:color="auto" w:fill="FFFFFF"/>
        <w:spacing w:after="0"/>
        <w:contextualSpacing/>
        <w:jc w:val="both"/>
        <w:rPr>
          <w:rFonts w:ascii="Calibri" w:hAnsi="Calibri" w:cs="Calibri"/>
          <w:bCs/>
        </w:rPr>
      </w:pPr>
      <w:r>
        <w:rPr>
          <w:rFonts w:ascii="Calibri" w:hAnsi="Calibri" w:cs="Calibri"/>
          <w:bCs/>
        </w:rPr>
        <w:t>Although n</w:t>
      </w:r>
      <w:r w:rsidRPr="00AA04D1">
        <w:rPr>
          <w:rFonts w:ascii="Calibri" w:hAnsi="Calibri" w:cs="Calibri"/>
          <w:bCs/>
        </w:rPr>
        <w:t xml:space="preserve">ational </w:t>
      </w:r>
      <w:r w:rsidR="00AA04D1" w:rsidRPr="00AA04D1">
        <w:rPr>
          <w:rFonts w:ascii="Calibri" w:hAnsi="Calibri" w:cs="Calibri"/>
          <w:bCs/>
        </w:rPr>
        <w:t xml:space="preserve">representativeness </w:t>
      </w:r>
      <w:r w:rsidR="00AA04D1">
        <w:rPr>
          <w:rFonts w:ascii="Calibri" w:hAnsi="Calibri" w:cs="Calibri"/>
          <w:bCs/>
        </w:rPr>
        <w:t xml:space="preserve">of </w:t>
      </w:r>
      <w:r w:rsidR="001F32D9">
        <w:rPr>
          <w:rFonts w:ascii="Calibri" w:hAnsi="Calibri" w:cs="Calibri"/>
          <w:bCs/>
        </w:rPr>
        <w:t>generated AMR rates</w:t>
      </w:r>
      <w:r w:rsidR="00AA04D1">
        <w:rPr>
          <w:rFonts w:ascii="Calibri" w:hAnsi="Calibri" w:cs="Calibri"/>
          <w:bCs/>
        </w:rPr>
        <w:t xml:space="preserve"> </w:t>
      </w:r>
      <w:r w:rsidR="00AA04D1" w:rsidRPr="00AA04D1">
        <w:rPr>
          <w:rFonts w:ascii="Calibri" w:hAnsi="Calibri" w:cs="Calibri"/>
          <w:bCs/>
        </w:rPr>
        <w:t>is not a strict requirement</w:t>
      </w:r>
      <w:r>
        <w:rPr>
          <w:rFonts w:ascii="Calibri" w:hAnsi="Calibri" w:cs="Calibri"/>
          <w:bCs/>
        </w:rPr>
        <w:t>, GLASS encourage</w:t>
      </w:r>
      <w:r w:rsidR="00BE3A0C">
        <w:rPr>
          <w:rFonts w:ascii="Calibri" w:hAnsi="Calibri" w:cs="Calibri"/>
          <w:bCs/>
        </w:rPr>
        <w:t>s</w:t>
      </w:r>
      <w:r>
        <w:rPr>
          <w:rFonts w:ascii="Calibri" w:hAnsi="Calibri" w:cs="Calibri"/>
          <w:bCs/>
        </w:rPr>
        <w:t xml:space="preserve"> countries to </w:t>
      </w:r>
      <w:r w:rsidR="00BE3A0C">
        <w:rPr>
          <w:rFonts w:ascii="Calibri" w:hAnsi="Calibri" w:cs="Calibri"/>
          <w:bCs/>
        </w:rPr>
        <w:t xml:space="preserve">derive </w:t>
      </w:r>
      <w:r>
        <w:rPr>
          <w:rFonts w:ascii="Calibri" w:hAnsi="Calibri" w:cs="Calibri"/>
          <w:bCs/>
        </w:rPr>
        <w:t>representative national data</w:t>
      </w:r>
      <w:r w:rsidR="00AA04D1" w:rsidRPr="00AA04D1">
        <w:rPr>
          <w:rFonts w:ascii="Calibri" w:hAnsi="Calibri" w:cs="Calibri"/>
          <w:bCs/>
        </w:rPr>
        <w:t xml:space="preserve">. </w:t>
      </w:r>
      <w:r w:rsidR="005D53A4">
        <w:rPr>
          <w:rFonts w:ascii="Calibri" w:hAnsi="Calibri" w:cs="Calibri"/>
          <w:bCs/>
        </w:rPr>
        <w:t xml:space="preserve"> </w:t>
      </w:r>
    </w:p>
    <w:p w14:paraId="1FFF2FF0" w14:textId="77777777" w:rsidR="009764EB" w:rsidRDefault="009764EB" w:rsidP="00207491">
      <w:pPr>
        <w:shd w:val="clear" w:color="auto" w:fill="FFFFFF"/>
        <w:spacing w:after="0"/>
        <w:contextualSpacing/>
        <w:jc w:val="both"/>
        <w:rPr>
          <w:rFonts w:ascii="Calibri" w:eastAsia="Times New Roman" w:hAnsi="Calibri" w:cs="Calibri"/>
          <w:b/>
          <w:bCs/>
          <w:color w:val="4A4A4A"/>
          <w:szCs w:val="21"/>
          <w:lang w:eastAsia="en-GB"/>
        </w:rPr>
      </w:pPr>
    </w:p>
    <w:p w14:paraId="15D127B1" w14:textId="6E7C7D6B" w:rsidR="00895EDE" w:rsidRPr="00D50231" w:rsidRDefault="00895EDE" w:rsidP="00207491">
      <w:pPr>
        <w:shd w:val="clear" w:color="auto" w:fill="FFFFFF"/>
        <w:spacing w:after="0"/>
        <w:contextualSpacing/>
        <w:jc w:val="both"/>
        <w:rPr>
          <w:rFonts w:ascii="Calibri" w:hAnsi="Calibri" w:cs="Calibri"/>
          <w:b/>
          <w:bCs/>
        </w:rPr>
      </w:pPr>
      <w:r>
        <w:rPr>
          <w:rFonts w:ascii="Calibri" w:eastAsia="Times New Roman" w:hAnsi="Calibri" w:cs="Calibri"/>
          <w:b/>
          <w:bCs/>
          <w:color w:val="4A4A4A"/>
          <w:szCs w:val="21"/>
          <w:lang w:eastAsia="en-GB"/>
        </w:rPr>
        <w:t>Formulation of the</w:t>
      </w:r>
      <w:r w:rsidR="00A36C63">
        <w:rPr>
          <w:rFonts w:ascii="Calibri" w:eastAsia="Times New Roman" w:hAnsi="Calibri" w:cs="Calibri"/>
          <w:b/>
          <w:bCs/>
          <w:color w:val="4A4A4A"/>
          <w:szCs w:val="21"/>
          <w:lang w:eastAsia="en-GB"/>
        </w:rPr>
        <w:t xml:space="preserve"> proposed new</w:t>
      </w:r>
      <w:r>
        <w:rPr>
          <w:rFonts w:ascii="Calibri" w:eastAsia="Times New Roman" w:hAnsi="Calibri" w:cs="Calibri"/>
          <w:b/>
          <w:bCs/>
          <w:color w:val="4A4A4A"/>
          <w:szCs w:val="21"/>
          <w:lang w:eastAsia="en-GB"/>
        </w:rPr>
        <w:t xml:space="preserve"> indicator: </w:t>
      </w:r>
      <w:r w:rsidR="009822A2" w:rsidRPr="009822A2">
        <w:rPr>
          <w:bCs/>
          <w:lang w:val="en-US"/>
        </w:rPr>
        <w:t>Proportion of patients with</w:t>
      </w:r>
      <w:r w:rsidR="00D46888">
        <w:rPr>
          <w:bCs/>
          <w:lang w:val="en-US"/>
        </w:rPr>
        <w:t xml:space="preserve"> </w:t>
      </w:r>
      <w:r w:rsidR="001F32D9" w:rsidRPr="00D50231">
        <w:rPr>
          <w:b/>
          <w:bCs/>
          <w:lang w:val="en-US"/>
        </w:rPr>
        <w:t>Percentage of</w:t>
      </w:r>
      <w:r w:rsidR="009822A2" w:rsidRPr="00D50231">
        <w:rPr>
          <w:b/>
          <w:bCs/>
          <w:lang w:val="en-US"/>
        </w:rPr>
        <w:t xml:space="preserve"> bloodstream infections due to selected antimicrobial resistant organisms. </w:t>
      </w:r>
    </w:p>
    <w:p w14:paraId="3F3417E7" w14:textId="77777777" w:rsidR="009822A2" w:rsidRDefault="009822A2" w:rsidP="00207491">
      <w:pPr>
        <w:shd w:val="clear" w:color="auto" w:fill="FFFFFF"/>
        <w:spacing w:after="0"/>
        <w:contextualSpacing/>
        <w:jc w:val="both"/>
        <w:rPr>
          <w:rFonts w:ascii="Calibri" w:eastAsia="Times New Roman" w:hAnsi="Calibri" w:cs="Calibri"/>
          <w:bCs/>
          <w:color w:val="4A4A4A"/>
          <w:szCs w:val="21"/>
          <w:lang w:eastAsia="en-GB"/>
        </w:rPr>
      </w:pPr>
    </w:p>
    <w:p w14:paraId="1BDED066" w14:textId="3D99D79A" w:rsidR="008A59CC" w:rsidRPr="00C05421" w:rsidRDefault="00A36C63" w:rsidP="00207491">
      <w:pPr>
        <w:shd w:val="clear" w:color="auto" w:fill="FFFFFF"/>
        <w:spacing w:after="0"/>
        <w:contextualSpacing/>
        <w:jc w:val="both"/>
        <w:rPr>
          <w:rFonts w:ascii="Calibri" w:eastAsia="Times New Roman" w:hAnsi="Calibri" w:cs="Calibri"/>
          <w:b/>
          <w:bCs/>
          <w:color w:val="4A4A4A"/>
          <w:szCs w:val="21"/>
          <w:lang w:eastAsia="en-GB"/>
        </w:rPr>
      </w:pPr>
      <w:r w:rsidRPr="00DB53C9">
        <w:rPr>
          <w:rFonts w:ascii="Calibri" w:eastAsia="Times New Roman" w:hAnsi="Calibri" w:cs="Calibri"/>
          <w:bCs/>
          <w:color w:val="4A4A4A"/>
          <w:szCs w:val="21"/>
          <w:lang w:eastAsia="en-GB"/>
        </w:rPr>
        <w:t>This is derived from the following</w:t>
      </w:r>
      <w:r w:rsidR="00F139F2" w:rsidRPr="00C05421">
        <w:rPr>
          <w:rStyle w:val="FootnoteReference"/>
          <w:rFonts w:ascii="Calibri" w:eastAsia="Times New Roman" w:hAnsi="Calibri" w:cs="Calibri"/>
          <w:b/>
          <w:bCs/>
          <w:color w:val="4A4A4A"/>
          <w:szCs w:val="21"/>
          <w:lang w:eastAsia="en-GB"/>
        </w:rPr>
        <w:footnoteReference w:id="10"/>
      </w:r>
      <w:r w:rsidR="001F32D9">
        <w:rPr>
          <w:rFonts w:ascii="Calibri" w:eastAsia="Times New Roman" w:hAnsi="Calibri" w:cs="Calibri"/>
          <w:bCs/>
          <w:color w:val="4A4A4A"/>
          <w:szCs w:val="21"/>
          <w:lang w:eastAsia="en-GB"/>
        </w:rPr>
        <w:t xml:space="preserve"> and multiplied by 100</w:t>
      </w:r>
      <w:r w:rsidR="008A59CC" w:rsidRPr="00C05421">
        <w:rPr>
          <w:rFonts w:ascii="Calibri" w:eastAsia="Times New Roman" w:hAnsi="Calibri" w:cs="Calibri"/>
          <w:b/>
          <w:bCs/>
          <w:color w:val="4A4A4A"/>
          <w:szCs w:val="21"/>
          <w:lang w:eastAsia="en-GB"/>
        </w:rPr>
        <w:t>:</w:t>
      </w:r>
    </w:p>
    <w:p w14:paraId="4DED9419" w14:textId="77777777" w:rsidR="00EA57B9" w:rsidRPr="00207491" w:rsidRDefault="00EA57B9" w:rsidP="00207491">
      <w:pPr>
        <w:shd w:val="clear" w:color="auto" w:fill="FFFFFF"/>
        <w:spacing w:after="0"/>
        <w:contextualSpacing/>
        <w:jc w:val="both"/>
        <w:rPr>
          <w:rFonts w:ascii="Calibri" w:eastAsia="Times New Roman" w:hAnsi="Calibri" w:cs="Calibri"/>
          <w:b/>
          <w:bCs/>
          <w:color w:val="4A4A4A"/>
          <w:sz w:val="21"/>
          <w:szCs w:val="21"/>
          <w:lang w:eastAsia="en-GB"/>
        </w:rPr>
      </w:pPr>
    </w:p>
    <w:p w14:paraId="2E576205" w14:textId="55EBCEEE" w:rsidR="00881950" w:rsidRPr="00207491" w:rsidRDefault="00881950" w:rsidP="00207491">
      <w:pPr>
        <w:ind w:left="720"/>
        <w:jc w:val="both"/>
        <w:rPr>
          <w:rFonts w:ascii="Calibri" w:hAnsi="Calibri" w:cs="Calibri"/>
          <w:bCs/>
        </w:rPr>
      </w:pPr>
      <w:r w:rsidRPr="00EA57B9">
        <w:rPr>
          <w:rFonts w:ascii="Calibri" w:hAnsi="Calibri" w:cs="Calibri"/>
          <w:b/>
          <w:bCs/>
          <w:color w:val="4F81BD" w:themeColor="accent1"/>
        </w:rPr>
        <w:t>Numerator:</w:t>
      </w:r>
      <w:r w:rsidRPr="00EA57B9">
        <w:rPr>
          <w:rFonts w:ascii="Calibri" w:hAnsi="Calibri" w:cs="Calibri"/>
          <w:bCs/>
          <w:color w:val="4F81BD" w:themeColor="accent1"/>
        </w:rPr>
        <w:t xml:space="preserve"> </w:t>
      </w:r>
      <w:r w:rsidR="00F139F2">
        <w:t xml:space="preserve">Number of patients with growth of </w:t>
      </w:r>
      <w:r w:rsidR="00F139F2" w:rsidRPr="00207491">
        <w:rPr>
          <w:rFonts w:ascii="Calibri" w:hAnsi="Calibri" w:cs="Calibri"/>
          <w:color w:val="000000"/>
        </w:rPr>
        <w:t xml:space="preserve">methicillin-resistant </w:t>
      </w:r>
      <w:r w:rsidR="00F139F2" w:rsidRPr="00207491">
        <w:rPr>
          <w:rFonts w:ascii="Calibri" w:hAnsi="Calibri" w:cs="Calibri"/>
          <w:i/>
          <w:color w:val="000000"/>
        </w:rPr>
        <w:t>S. aureus</w:t>
      </w:r>
      <w:r w:rsidR="00F139F2">
        <w:rPr>
          <w:rFonts w:ascii="Calibri" w:hAnsi="Calibri" w:cs="Calibri"/>
          <w:i/>
        </w:rPr>
        <w:t xml:space="preserve"> </w:t>
      </w:r>
      <w:r w:rsidR="00F139F2" w:rsidRPr="004B0EB4">
        <w:rPr>
          <w:rFonts w:ascii="Calibri" w:hAnsi="Calibri" w:cs="Calibri"/>
        </w:rPr>
        <w:t>or</w:t>
      </w:r>
      <w:r w:rsidR="00F139F2">
        <w:rPr>
          <w:rFonts w:ascii="Calibri" w:hAnsi="Calibri" w:cs="Calibri"/>
          <w:i/>
        </w:rPr>
        <w:t xml:space="preserve"> </w:t>
      </w:r>
      <w:r w:rsidR="00F139F2" w:rsidRPr="00207491">
        <w:rPr>
          <w:rFonts w:ascii="Calibri" w:hAnsi="Calibri" w:cs="Calibri"/>
          <w:i/>
          <w:color w:val="000000"/>
        </w:rPr>
        <w:t>E. coli</w:t>
      </w:r>
      <w:r w:rsidR="00F139F2" w:rsidRPr="00207491">
        <w:rPr>
          <w:rFonts w:ascii="Calibri" w:hAnsi="Calibri" w:cs="Calibri"/>
          <w:color w:val="000000"/>
        </w:rPr>
        <w:t xml:space="preserve"> resistant to third generation cephalosporins</w:t>
      </w:r>
      <w:r w:rsidR="004B0EB4">
        <w:rPr>
          <w:rFonts w:ascii="Calibri" w:hAnsi="Calibri" w:cs="Calibri"/>
          <w:color w:val="000000"/>
        </w:rPr>
        <w:t xml:space="preserve"> in </w:t>
      </w:r>
      <w:r w:rsidR="00BE3A0C">
        <w:rPr>
          <w:rFonts w:ascii="Calibri" w:hAnsi="Calibri" w:cs="Calibri"/>
          <w:color w:val="000000"/>
        </w:rPr>
        <w:t xml:space="preserve">tested </w:t>
      </w:r>
      <w:r w:rsidR="004B0EB4">
        <w:rPr>
          <w:rFonts w:ascii="Calibri" w:hAnsi="Calibri" w:cs="Calibri"/>
          <w:color w:val="000000"/>
        </w:rPr>
        <w:t>blood samples</w:t>
      </w:r>
    </w:p>
    <w:p w14:paraId="6958129C" w14:textId="032D9CB0" w:rsidR="00F139F2" w:rsidRDefault="00881950" w:rsidP="00F139F2">
      <w:pPr>
        <w:ind w:left="720"/>
      </w:pPr>
      <w:r w:rsidRPr="00EA57B9">
        <w:rPr>
          <w:rFonts w:ascii="Calibri" w:hAnsi="Calibri" w:cs="Calibri"/>
          <w:b/>
          <w:bCs/>
          <w:color w:val="4F81BD" w:themeColor="accent1"/>
        </w:rPr>
        <w:t>Denominator:</w:t>
      </w:r>
      <w:r w:rsidRPr="00EA57B9">
        <w:rPr>
          <w:rFonts w:ascii="Calibri" w:eastAsia="Times New Roman" w:hAnsi="Calibri" w:cs="Calibri"/>
          <w:color w:val="4F81BD" w:themeColor="accent1"/>
          <w:sz w:val="18"/>
        </w:rPr>
        <w:t xml:space="preserve"> </w:t>
      </w:r>
      <w:r w:rsidR="00F139F2">
        <w:t xml:space="preserve">Total number of patients with growth of </w:t>
      </w:r>
      <w:r w:rsidR="00F139F2" w:rsidRPr="00104676">
        <w:rPr>
          <w:i/>
        </w:rPr>
        <w:t>S. aureus</w:t>
      </w:r>
      <w:r w:rsidR="00F139F2">
        <w:t xml:space="preserve"> or </w:t>
      </w:r>
      <w:r w:rsidR="00F139F2" w:rsidRPr="00104676">
        <w:rPr>
          <w:i/>
        </w:rPr>
        <w:t>E. coli</w:t>
      </w:r>
      <w:r w:rsidR="004B0EB4">
        <w:rPr>
          <w:i/>
        </w:rPr>
        <w:t xml:space="preserve"> </w:t>
      </w:r>
      <w:r w:rsidR="004B0EB4">
        <w:t xml:space="preserve">in </w:t>
      </w:r>
      <w:r w:rsidR="00BE3A0C">
        <w:t xml:space="preserve">tested </w:t>
      </w:r>
      <w:r w:rsidR="004B0EB4">
        <w:t>blood samples</w:t>
      </w:r>
    </w:p>
    <w:p w14:paraId="72CEDEBC" w14:textId="1BEDA09B" w:rsidR="009764EB" w:rsidRDefault="00895EDE" w:rsidP="00F2448A">
      <w:pPr>
        <w:keepNext/>
        <w:shd w:val="clear" w:color="auto" w:fill="FFFFFF"/>
        <w:spacing w:after="0"/>
        <w:contextualSpacing/>
        <w:jc w:val="center"/>
        <w:rPr>
          <w:rFonts w:ascii="Calibri" w:eastAsia="Times New Roman" w:hAnsi="Calibri" w:cs="Calibri"/>
          <w:b/>
          <w:bCs/>
          <w:color w:val="4A4A4A"/>
          <w:sz w:val="21"/>
          <w:szCs w:val="21"/>
          <w:lang w:eastAsia="en-GB"/>
        </w:rPr>
      </w:pPr>
      <w:r w:rsidRPr="00895EDE">
        <w:rPr>
          <w:rFonts w:ascii="Calibri" w:eastAsia="Times New Roman" w:hAnsi="Calibri" w:cs="Calibri"/>
          <w:b/>
          <w:bCs/>
          <w:noProof/>
          <w:color w:val="4A4A4A"/>
          <w:sz w:val="21"/>
          <w:szCs w:val="21"/>
          <w:lang w:eastAsia="en-GB"/>
        </w:rPr>
        <w:lastRenderedPageBreak/>
        <mc:AlternateContent>
          <mc:Choice Requires="wps">
            <w:drawing>
              <wp:anchor distT="0" distB="0" distL="114300" distR="114300" simplePos="0" relativeHeight="251659264" behindDoc="0" locked="0" layoutInCell="1" allowOverlap="1" wp14:anchorId="448BDFAE" wp14:editId="3969D238">
                <wp:simplePos x="0" y="0"/>
                <wp:positionH relativeFrom="margin">
                  <wp:posOffset>1778635</wp:posOffset>
                </wp:positionH>
                <wp:positionV relativeFrom="paragraph">
                  <wp:posOffset>2340546</wp:posOffset>
                </wp:positionV>
                <wp:extent cx="4181475" cy="981075"/>
                <wp:effectExtent l="38100" t="38100" r="47625" b="47625"/>
                <wp:wrapNone/>
                <wp:docPr id="3" name="Rectangle 2">
                  <a:extLst xmlns:a="http://schemas.openxmlformats.org/drawingml/2006/main">
                    <a:ext uri="{FF2B5EF4-FFF2-40B4-BE49-F238E27FC236}">
                      <a16:creationId xmlns:a16="http://schemas.microsoft.com/office/drawing/2014/main" id="{708D29EF-8C97-43B1-A176-35265CFC9DAB}"/>
                    </a:ext>
                  </a:extLst>
                </wp:docPr>
                <wp:cNvGraphicFramePr/>
                <a:graphic xmlns:a="http://schemas.openxmlformats.org/drawingml/2006/main">
                  <a:graphicData uri="http://schemas.microsoft.com/office/word/2010/wordprocessingShape">
                    <wps:wsp>
                      <wps:cNvSpPr/>
                      <wps:spPr>
                        <a:xfrm>
                          <a:off x="0" y="0"/>
                          <a:ext cx="4181475" cy="981075"/>
                        </a:xfrm>
                        <a:prstGeom prst="rect">
                          <a:avLst/>
                        </a:prstGeom>
                        <a:solidFill>
                          <a:srgbClr val="E62646">
                            <a:alpha val="7843"/>
                          </a:srgbClr>
                        </a:solidFill>
                        <a:ln w="76200">
                          <a:solidFill>
                            <a:srgbClr val="E6264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FA67262" id="Rectangle 2" o:spid="_x0000_s1026" style="position:absolute;margin-left:140.05pt;margin-top:184.3pt;width:329.2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" fillcolor="#e62646" strokecolor="#e62646" strokeweight="6pt">
                <v:fill opacity="5140f"/>
                <w10:wrap anchorx="margin"/>
              </v:rect>
            </w:pict>
          </mc:Fallback>
        </mc:AlternateContent>
      </w:r>
      <w:r w:rsidRPr="00895EDE">
        <w:rPr>
          <w:rFonts w:ascii="Calibri" w:eastAsia="Times New Roman" w:hAnsi="Calibri" w:cs="Calibri"/>
          <w:b/>
          <w:bCs/>
          <w:noProof/>
          <w:color w:val="4A4A4A"/>
          <w:sz w:val="21"/>
          <w:szCs w:val="21"/>
          <w:lang w:eastAsia="en-GB"/>
        </w:rPr>
        <w:drawing>
          <wp:inline distT="0" distB="0" distL="0" distR="0" wp14:anchorId="3B680486" wp14:editId="7FB30FB6">
            <wp:extent cx="5962650" cy="4733925"/>
            <wp:effectExtent l="0" t="0" r="762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543BA00" w14:textId="77777777" w:rsidR="00DF5DBC" w:rsidRPr="00207491" w:rsidRDefault="00254310" w:rsidP="000436E8">
      <w:pPr>
        <w:keepNext/>
        <w:shd w:val="clear" w:color="auto" w:fill="FFFFFF"/>
        <w:spacing w:after="0"/>
        <w:contextualSpacing/>
        <w:jc w:val="both"/>
        <w:rPr>
          <w:rFonts w:ascii="Calibri" w:eastAsia="Times New Roman" w:hAnsi="Calibri" w:cs="Calibri"/>
          <w:b/>
          <w:bCs/>
          <w:color w:val="4A4A4A"/>
          <w:sz w:val="21"/>
          <w:szCs w:val="21"/>
          <w:lang w:eastAsia="en-GB"/>
        </w:rPr>
      </w:pPr>
      <w:r w:rsidRPr="00207491">
        <w:rPr>
          <w:rFonts w:ascii="Calibri" w:eastAsia="Times New Roman" w:hAnsi="Calibri" w:cs="Calibri"/>
          <w:b/>
          <w:bCs/>
          <w:color w:val="4A4A4A"/>
          <w:sz w:val="21"/>
          <w:szCs w:val="21"/>
          <w:lang w:eastAsia="en-GB"/>
        </w:rPr>
        <w:t>Stratification</w:t>
      </w:r>
      <w:r w:rsidR="00DF5DBC" w:rsidRPr="00207491">
        <w:rPr>
          <w:rFonts w:ascii="Calibri" w:eastAsia="Times New Roman" w:hAnsi="Calibri" w:cs="Calibri"/>
          <w:b/>
          <w:bCs/>
          <w:color w:val="4A4A4A"/>
          <w:sz w:val="21"/>
          <w:szCs w:val="21"/>
          <w:lang w:eastAsia="en-GB"/>
        </w:rPr>
        <w:t>:</w:t>
      </w:r>
    </w:p>
    <w:p w14:paraId="12435477" w14:textId="44993459" w:rsidR="00DF5DBC" w:rsidRPr="00207491" w:rsidRDefault="00DF5DBC" w:rsidP="00207491">
      <w:pPr>
        <w:shd w:val="clear" w:color="auto" w:fill="FFFFFF"/>
        <w:spacing w:after="0"/>
        <w:contextualSpacing/>
        <w:jc w:val="both"/>
        <w:rPr>
          <w:rFonts w:ascii="Calibri" w:hAnsi="Calibri" w:cs="Calibri"/>
          <w:bCs/>
        </w:rPr>
      </w:pPr>
      <w:r w:rsidRPr="00207491">
        <w:rPr>
          <w:rFonts w:ascii="Calibri" w:hAnsi="Calibri" w:cs="Calibri"/>
          <w:bCs/>
        </w:rPr>
        <w:t xml:space="preserve">The data </w:t>
      </w:r>
      <w:r w:rsidR="006C38D5">
        <w:rPr>
          <w:rFonts w:ascii="Calibri" w:hAnsi="Calibri" w:cs="Calibri"/>
          <w:bCs/>
        </w:rPr>
        <w:t>are</w:t>
      </w:r>
      <w:r w:rsidR="006C38D5" w:rsidRPr="00207491">
        <w:rPr>
          <w:rFonts w:ascii="Calibri" w:hAnsi="Calibri" w:cs="Calibri"/>
          <w:bCs/>
        </w:rPr>
        <w:t xml:space="preserve"> </w:t>
      </w:r>
      <w:r w:rsidR="00254310" w:rsidRPr="00207491">
        <w:rPr>
          <w:rFonts w:ascii="Calibri" w:hAnsi="Calibri" w:cs="Calibri"/>
          <w:bCs/>
        </w:rPr>
        <w:t xml:space="preserve">stratified </w:t>
      </w:r>
      <w:r w:rsidRPr="00207491">
        <w:rPr>
          <w:rFonts w:ascii="Calibri" w:hAnsi="Calibri" w:cs="Calibri"/>
          <w:bCs/>
        </w:rPr>
        <w:t xml:space="preserve">by </w:t>
      </w:r>
      <w:r w:rsidR="001F32D9">
        <w:rPr>
          <w:rFonts w:ascii="Calibri" w:hAnsi="Calibri" w:cs="Calibri"/>
          <w:bCs/>
        </w:rPr>
        <w:t>gender</w:t>
      </w:r>
      <w:r w:rsidRPr="00207491">
        <w:rPr>
          <w:rFonts w:ascii="Calibri" w:hAnsi="Calibri" w:cs="Calibri"/>
          <w:bCs/>
        </w:rPr>
        <w:t>, and age group</w:t>
      </w:r>
      <w:r w:rsidR="00881950" w:rsidRPr="00207491">
        <w:rPr>
          <w:rFonts w:ascii="Calibri" w:hAnsi="Calibri" w:cs="Calibri"/>
          <w:bCs/>
        </w:rPr>
        <w:t xml:space="preserve">.  Data </w:t>
      </w:r>
      <w:r w:rsidR="006C38D5">
        <w:rPr>
          <w:rFonts w:ascii="Calibri" w:hAnsi="Calibri" w:cs="Calibri"/>
          <w:bCs/>
        </w:rPr>
        <w:t>are</w:t>
      </w:r>
      <w:r w:rsidR="00881950" w:rsidRPr="00207491">
        <w:rPr>
          <w:rFonts w:ascii="Calibri" w:hAnsi="Calibri" w:cs="Calibri"/>
          <w:bCs/>
        </w:rPr>
        <w:t xml:space="preserve"> aggregated at the country level. Data </w:t>
      </w:r>
      <w:r w:rsidR="006C38D5">
        <w:rPr>
          <w:rFonts w:ascii="Calibri" w:hAnsi="Calibri" w:cs="Calibri"/>
          <w:bCs/>
        </w:rPr>
        <w:t>are</w:t>
      </w:r>
      <w:r w:rsidR="00881950" w:rsidRPr="00207491">
        <w:rPr>
          <w:rFonts w:ascii="Calibri" w:hAnsi="Calibri" w:cs="Calibri"/>
          <w:bCs/>
        </w:rPr>
        <w:t xml:space="preserve"> </w:t>
      </w:r>
      <w:r w:rsidR="00207491" w:rsidRPr="00207491">
        <w:rPr>
          <w:rFonts w:ascii="Calibri" w:hAnsi="Calibri" w:cs="Calibri"/>
          <w:bCs/>
        </w:rPr>
        <w:t>analysed</w:t>
      </w:r>
      <w:r w:rsidR="00881950" w:rsidRPr="00207491">
        <w:rPr>
          <w:rFonts w:ascii="Calibri" w:hAnsi="Calibri" w:cs="Calibri"/>
          <w:bCs/>
        </w:rPr>
        <w:t xml:space="preserve"> and reported according to whether specimen is within 2 calendar days of admission (community origin) or after 2 calendar days of admission (hospital origin).</w:t>
      </w:r>
    </w:p>
    <w:p w14:paraId="3C0C1121" w14:textId="77777777" w:rsidR="00DF5DBC" w:rsidRPr="00207491" w:rsidRDefault="00DF5DBC" w:rsidP="00207491">
      <w:pPr>
        <w:shd w:val="clear" w:color="auto" w:fill="FFFFFF"/>
        <w:spacing w:after="0"/>
        <w:contextualSpacing/>
        <w:jc w:val="both"/>
        <w:rPr>
          <w:rFonts w:ascii="Calibri" w:eastAsia="Times New Roman" w:hAnsi="Calibri" w:cs="Calibri"/>
          <w:color w:val="4A4A4A"/>
          <w:sz w:val="21"/>
          <w:szCs w:val="21"/>
          <w:lang w:eastAsia="en-GB"/>
        </w:rPr>
      </w:pPr>
    </w:p>
    <w:p w14:paraId="35F9E5CC" w14:textId="77777777" w:rsidR="00DF5DBC" w:rsidRPr="00207491" w:rsidRDefault="00DF5DBC" w:rsidP="00207491">
      <w:pPr>
        <w:shd w:val="clear" w:color="auto" w:fill="FFFFFF"/>
        <w:spacing w:after="0"/>
        <w:contextualSpacing/>
        <w:jc w:val="both"/>
        <w:rPr>
          <w:rFonts w:ascii="Calibri" w:eastAsia="Times New Roman" w:hAnsi="Calibri" w:cs="Calibri"/>
          <w:b/>
          <w:bCs/>
          <w:color w:val="4A4A4A"/>
          <w:sz w:val="21"/>
          <w:szCs w:val="21"/>
          <w:lang w:eastAsia="en-GB"/>
        </w:rPr>
      </w:pPr>
      <w:r w:rsidRPr="00207491">
        <w:rPr>
          <w:rFonts w:ascii="Calibri" w:eastAsia="Times New Roman" w:hAnsi="Calibri" w:cs="Calibri"/>
          <w:b/>
          <w:color w:val="4A4A4A"/>
          <w:sz w:val="21"/>
          <w:szCs w:val="21"/>
          <w:lang w:eastAsia="en-GB"/>
        </w:rPr>
        <w:t>Treatment of missing values</w:t>
      </w:r>
      <w:r w:rsidRPr="00207491">
        <w:rPr>
          <w:rFonts w:ascii="Calibri" w:eastAsia="Times New Roman" w:hAnsi="Calibri" w:cs="Calibri"/>
          <w:b/>
          <w:bCs/>
          <w:color w:val="4A4A4A"/>
          <w:sz w:val="21"/>
          <w:szCs w:val="21"/>
          <w:lang w:eastAsia="en-GB"/>
        </w:rPr>
        <w:t>:</w:t>
      </w:r>
    </w:p>
    <w:p w14:paraId="4EF18F89" w14:textId="77777777" w:rsidR="00DF5DBC" w:rsidRPr="00207491" w:rsidRDefault="00DF5DBC" w:rsidP="00207491">
      <w:pPr>
        <w:numPr>
          <w:ilvl w:val="0"/>
          <w:numId w:val="5"/>
        </w:numPr>
        <w:shd w:val="clear" w:color="auto" w:fill="FFFFFF"/>
        <w:spacing w:after="0" w:line="240" w:lineRule="auto"/>
        <w:ind w:left="495"/>
        <w:contextualSpacing/>
        <w:jc w:val="both"/>
        <w:outlineLvl w:val="4"/>
        <w:rPr>
          <w:rFonts w:ascii="Calibri" w:eastAsia="Times New Roman" w:hAnsi="Calibri" w:cs="Calibri"/>
          <w:color w:val="1C75BC"/>
          <w:sz w:val="21"/>
          <w:szCs w:val="21"/>
          <w:lang w:eastAsia="en-GB"/>
        </w:rPr>
      </w:pPr>
      <w:r w:rsidRPr="00207491">
        <w:rPr>
          <w:rFonts w:ascii="Calibri" w:eastAsia="Times New Roman" w:hAnsi="Calibri" w:cs="Calibri"/>
          <w:color w:val="1C75BC"/>
          <w:sz w:val="21"/>
          <w:szCs w:val="21"/>
          <w:lang w:eastAsia="en-GB"/>
        </w:rPr>
        <w:t>At country level</w:t>
      </w:r>
    </w:p>
    <w:p w14:paraId="241C5F1A" w14:textId="77777777" w:rsidR="00207491" w:rsidRDefault="00DF5DBC" w:rsidP="00EA57B9">
      <w:pPr>
        <w:shd w:val="clear" w:color="auto" w:fill="FFFFFF"/>
        <w:spacing w:after="0"/>
        <w:ind w:left="135"/>
        <w:contextualSpacing/>
        <w:jc w:val="both"/>
        <w:rPr>
          <w:rFonts w:ascii="Calibri" w:hAnsi="Calibri" w:cs="Calibri"/>
          <w:bCs/>
        </w:rPr>
      </w:pPr>
      <w:r w:rsidRPr="00EA57B9">
        <w:rPr>
          <w:rFonts w:ascii="Calibri" w:hAnsi="Calibri" w:cs="Calibri"/>
          <w:bCs/>
        </w:rPr>
        <w:t>Countries with no data are reported as blank.</w:t>
      </w:r>
      <w:r w:rsidR="00207491" w:rsidRPr="00EA57B9">
        <w:rPr>
          <w:rFonts w:ascii="Calibri" w:hAnsi="Calibri" w:cs="Calibri"/>
          <w:bCs/>
        </w:rPr>
        <w:t xml:space="preserve"> </w:t>
      </w:r>
    </w:p>
    <w:p w14:paraId="6F79243C" w14:textId="77777777" w:rsidR="00C05421" w:rsidRPr="00EA57B9" w:rsidRDefault="00C05421" w:rsidP="00EA57B9">
      <w:pPr>
        <w:shd w:val="clear" w:color="auto" w:fill="FFFFFF"/>
        <w:spacing w:after="0"/>
        <w:ind w:left="135"/>
        <w:contextualSpacing/>
        <w:jc w:val="both"/>
        <w:rPr>
          <w:rFonts w:ascii="Calibri" w:hAnsi="Calibri" w:cs="Calibri"/>
          <w:bCs/>
        </w:rPr>
      </w:pPr>
    </w:p>
    <w:p w14:paraId="1570100E" w14:textId="77777777" w:rsidR="00DF5DBC" w:rsidRPr="00207491" w:rsidRDefault="00DF5DBC" w:rsidP="00207491">
      <w:pPr>
        <w:pBdr>
          <w:bottom w:val="single" w:sz="12" w:space="4" w:color="DDDDDD"/>
        </w:pBdr>
        <w:shd w:val="clear" w:color="auto" w:fill="FFFFFF"/>
        <w:spacing w:after="0"/>
        <w:contextualSpacing/>
        <w:jc w:val="both"/>
        <w:outlineLvl w:val="2"/>
        <w:rPr>
          <w:rFonts w:ascii="Calibri" w:eastAsia="Times New Roman" w:hAnsi="Calibri" w:cs="Calibri"/>
          <w:color w:val="1C75BC"/>
          <w:sz w:val="36"/>
          <w:szCs w:val="36"/>
          <w:lang w:eastAsia="en-GB"/>
        </w:rPr>
      </w:pPr>
      <w:r w:rsidRPr="00207491">
        <w:rPr>
          <w:rFonts w:ascii="Calibri" w:eastAsia="Times New Roman" w:hAnsi="Calibri" w:cs="Calibri"/>
          <w:color w:val="1C75BC"/>
          <w:sz w:val="36"/>
          <w:szCs w:val="36"/>
          <w:lang w:eastAsia="en-GB"/>
        </w:rPr>
        <w:t>Data Sources</w:t>
      </w:r>
    </w:p>
    <w:p w14:paraId="07249F1D" w14:textId="77777777" w:rsidR="00DF5DBC" w:rsidRPr="00207491" w:rsidRDefault="00DF5DBC" w:rsidP="00207491">
      <w:pPr>
        <w:shd w:val="clear" w:color="auto" w:fill="FFFFFF"/>
        <w:spacing w:after="0"/>
        <w:contextualSpacing/>
        <w:jc w:val="both"/>
        <w:rPr>
          <w:rFonts w:ascii="Calibri" w:eastAsia="Times New Roman" w:hAnsi="Calibri" w:cs="Calibri"/>
          <w:b/>
          <w:bCs/>
          <w:color w:val="4A4A4A"/>
          <w:sz w:val="21"/>
          <w:szCs w:val="21"/>
          <w:lang w:eastAsia="en-GB"/>
        </w:rPr>
      </w:pPr>
    </w:p>
    <w:p w14:paraId="22F8CD97" w14:textId="77777777" w:rsidR="00CB6AB2" w:rsidRPr="00516B6B" w:rsidRDefault="00881950" w:rsidP="00207491">
      <w:pPr>
        <w:pBdr>
          <w:bottom w:val="single" w:sz="12" w:space="4" w:color="DDDDDD"/>
        </w:pBdr>
        <w:shd w:val="clear" w:color="auto" w:fill="FFFFFF"/>
        <w:spacing w:after="0"/>
        <w:contextualSpacing/>
        <w:jc w:val="both"/>
        <w:outlineLvl w:val="2"/>
        <w:rPr>
          <w:rFonts w:ascii="Calibri" w:hAnsi="Calibri" w:cs="Calibri"/>
          <w:bCs/>
        </w:rPr>
      </w:pPr>
      <w:r w:rsidRPr="00207491">
        <w:rPr>
          <w:rFonts w:ascii="Calibri" w:eastAsia="Times New Roman" w:hAnsi="Calibri" w:cs="Calibri"/>
          <w:b/>
          <w:bCs/>
          <w:color w:val="4A4A4A"/>
          <w:sz w:val="21"/>
          <w:szCs w:val="21"/>
          <w:lang w:eastAsia="en-GB"/>
        </w:rPr>
        <w:t>Preferred sources:</w:t>
      </w:r>
      <w:r w:rsidRPr="00207491">
        <w:rPr>
          <w:rFonts w:ascii="Calibri" w:eastAsia="Times New Roman" w:hAnsi="Calibri" w:cs="Calibri"/>
          <w:bCs/>
          <w:color w:val="4A4A4A"/>
          <w:sz w:val="21"/>
          <w:szCs w:val="21"/>
          <w:lang w:eastAsia="en-GB"/>
        </w:rPr>
        <w:t xml:space="preserve"> N</w:t>
      </w:r>
      <w:r w:rsidRPr="00516B6B">
        <w:rPr>
          <w:rFonts w:ascii="Calibri" w:hAnsi="Calibri" w:cs="Calibri"/>
          <w:bCs/>
        </w:rPr>
        <w:t>ational AMR data collected through the national AMR surveillance system and reported to GLASS.</w:t>
      </w:r>
      <w:r w:rsidR="005C29EC" w:rsidRPr="00516B6B">
        <w:rPr>
          <w:rFonts w:ascii="Calibri" w:hAnsi="Calibri" w:cs="Calibri"/>
          <w:bCs/>
        </w:rPr>
        <w:t xml:space="preserve"> </w:t>
      </w:r>
    </w:p>
    <w:p w14:paraId="3DF3DA38" w14:textId="77777777" w:rsidR="00CB6AB2" w:rsidRPr="00516B6B" w:rsidRDefault="00CB6AB2" w:rsidP="00207491">
      <w:pPr>
        <w:pBdr>
          <w:bottom w:val="single" w:sz="12" w:space="4" w:color="DDDDDD"/>
        </w:pBdr>
        <w:shd w:val="clear" w:color="auto" w:fill="FFFFFF"/>
        <w:spacing w:after="0"/>
        <w:contextualSpacing/>
        <w:jc w:val="both"/>
        <w:outlineLvl w:val="2"/>
        <w:rPr>
          <w:rFonts w:ascii="Calibri" w:hAnsi="Calibri" w:cs="Calibri"/>
          <w:bCs/>
        </w:rPr>
      </w:pPr>
    </w:p>
    <w:p w14:paraId="4F07714E" w14:textId="77777777" w:rsidR="00DF5DBC" w:rsidRPr="00516B6B" w:rsidRDefault="005C29EC" w:rsidP="00207491">
      <w:pPr>
        <w:pBdr>
          <w:bottom w:val="single" w:sz="12" w:space="4" w:color="DDDDDD"/>
        </w:pBdr>
        <w:shd w:val="clear" w:color="auto" w:fill="FFFFFF"/>
        <w:spacing w:after="0"/>
        <w:contextualSpacing/>
        <w:jc w:val="both"/>
        <w:outlineLvl w:val="2"/>
        <w:rPr>
          <w:rFonts w:ascii="Calibri" w:hAnsi="Calibri" w:cs="Calibri"/>
          <w:bCs/>
        </w:rPr>
      </w:pPr>
      <w:r w:rsidRPr="00516B6B">
        <w:rPr>
          <w:rFonts w:ascii="Calibri" w:hAnsi="Calibri" w:cs="Calibri"/>
          <w:bCs/>
        </w:rPr>
        <w:t xml:space="preserve">GLASS provides a standardised approach to the collection, analysis, and sharing of AMR data by countries, and seeks to document the status of existing or newly developed national AMR surveillance systems. Furthermore, GLASS promotes a shift from surveillance approaches based solely on laboratory data to a system that includes epidemiological, clinical, and population-level data. GLASS also collaborates with regional and national AMR surveillance networks to produce timely and comprehensive data.  Collaboration with the UN Food and Agriculture Organization (FAO) and the </w:t>
      </w:r>
      <w:r w:rsidRPr="00516B6B">
        <w:rPr>
          <w:rFonts w:ascii="Calibri" w:hAnsi="Calibri" w:cs="Calibri"/>
          <w:bCs/>
        </w:rPr>
        <w:lastRenderedPageBreak/>
        <w:t>World Organisation for Animal Health (OIE) – which together with WHO form the Tripartite Collaboration – is ongoing to improve a comprehensive understanding of AMR across sectors and to promote the One Health Approach to AMR control.</w:t>
      </w:r>
      <w:r>
        <w:rPr>
          <w:rFonts w:ascii="Calibri" w:hAnsi="Calibri" w:cs="Calibri"/>
          <w:bCs/>
        </w:rPr>
        <w:t xml:space="preserve">  </w:t>
      </w:r>
    </w:p>
    <w:p w14:paraId="6B92AACE" w14:textId="77777777" w:rsidR="00881950" w:rsidRPr="00516B6B" w:rsidRDefault="00881950" w:rsidP="00207491">
      <w:pPr>
        <w:pBdr>
          <w:bottom w:val="single" w:sz="12" w:space="4" w:color="DDDDDD"/>
        </w:pBdr>
        <w:shd w:val="clear" w:color="auto" w:fill="FFFFFF"/>
        <w:spacing w:after="0"/>
        <w:contextualSpacing/>
        <w:jc w:val="both"/>
        <w:outlineLvl w:val="2"/>
        <w:rPr>
          <w:rFonts w:ascii="Calibri" w:hAnsi="Calibri" w:cs="Calibri"/>
          <w:bCs/>
        </w:rPr>
      </w:pPr>
    </w:p>
    <w:p w14:paraId="74AF8922" w14:textId="77777777" w:rsidR="00C05421" w:rsidRPr="00516B6B" w:rsidRDefault="00C05421" w:rsidP="00B15127">
      <w:pPr>
        <w:pBdr>
          <w:bottom w:val="single" w:sz="12" w:space="4" w:color="DDDDDD"/>
        </w:pBdr>
        <w:shd w:val="clear" w:color="auto" w:fill="FFFFFF"/>
        <w:spacing w:after="0"/>
        <w:contextualSpacing/>
        <w:jc w:val="both"/>
        <w:outlineLvl w:val="2"/>
        <w:rPr>
          <w:rFonts w:ascii="Calibri" w:hAnsi="Calibri" w:cs="Calibri"/>
          <w:bCs/>
        </w:rPr>
      </w:pPr>
      <w:r w:rsidRPr="00516B6B">
        <w:rPr>
          <w:rFonts w:ascii="Calibri" w:hAnsi="Calibri" w:cs="Calibri"/>
          <w:bCs/>
        </w:rPr>
        <w:t xml:space="preserve">GLASS </w:t>
      </w:r>
      <w:r w:rsidR="006C38D5" w:rsidRPr="00516B6B">
        <w:rPr>
          <w:rFonts w:ascii="Calibri" w:hAnsi="Calibri" w:cs="Calibri"/>
          <w:bCs/>
        </w:rPr>
        <w:t xml:space="preserve">also </w:t>
      </w:r>
      <w:r w:rsidRPr="00516B6B">
        <w:rPr>
          <w:rFonts w:ascii="Calibri" w:hAnsi="Calibri" w:cs="Calibri"/>
          <w:bCs/>
        </w:rPr>
        <w:t>collects information on the status of national AMR surveillance systems through a short</w:t>
      </w:r>
    </w:p>
    <w:p w14:paraId="0C566CAF" w14:textId="7AF799A0" w:rsidR="00C05421" w:rsidRPr="00516B6B" w:rsidRDefault="00C05421" w:rsidP="00B15127">
      <w:pPr>
        <w:pBdr>
          <w:bottom w:val="single" w:sz="12" w:space="4" w:color="DDDDDD"/>
        </w:pBdr>
        <w:shd w:val="clear" w:color="auto" w:fill="FFFFFF"/>
        <w:spacing w:after="0"/>
        <w:contextualSpacing/>
        <w:jc w:val="both"/>
        <w:outlineLvl w:val="2"/>
        <w:rPr>
          <w:rFonts w:ascii="Calibri" w:hAnsi="Calibri" w:cs="Calibri"/>
          <w:bCs/>
        </w:rPr>
      </w:pPr>
      <w:r w:rsidRPr="00516B6B">
        <w:rPr>
          <w:rFonts w:ascii="Calibri" w:hAnsi="Calibri" w:cs="Calibri"/>
          <w:bCs/>
        </w:rPr>
        <w:t>questionnaire completed by AMR national focal points (NFPs) in each country. The questionnaire covers three main areas: 1) overall coordination; 2) surveillance system; and 3) quality control. Each area</w:t>
      </w:r>
      <w:r w:rsidR="00516B6B">
        <w:rPr>
          <w:rFonts w:ascii="Calibri" w:hAnsi="Calibri" w:cs="Calibri"/>
          <w:bCs/>
        </w:rPr>
        <w:t xml:space="preserve"> </w:t>
      </w:r>
      <w:r w:rsidRPr="00516B6B">
        <w:rPr>
          <w:rFonts w:ascii="Calibri" w:hAnsi="Calibri" w:cs="Calibri"/>
          <w:bCs/>
        </w:rPr>
        <w:t>consists of a set of indicators developed to measure development and strengthening of national AMR</w:t>
      </w:r>
    </w:p>
    <w:p w14:paraId="6A941FFB" w14:textId="77777777" w:rsidR="00C05421" w:rsidRPr="00516B6B" w:rsidRDefault="00C05421" w:rsidP="00B15127">
      <w:pPr>
        <w:pBdr>
          <w:bottom w:val="single" w:sz="12" w:space="4" w:color="DDDDDD"/>
        </w:pBdr>
        <w:shd w:val="clear" w:color="auto" w:fill="FFFFFF"/>
        <w:spacing w:after="0"/>
        <w:contextualSpacing/>
        <w:jc w:val="both"/>
        <w:outlineLvl w:val="2"/>
        <w:rPr>
          <w:rFonts w:ascii="Calibri" w:hAnsi="Calibri" w:cs="Calibri"/>
          <w:bCs/>
        </w:rPr>
      </w:pPr>
      <w:r w:rsidRPr="00516B6B">
        <w:rPr>
          <w:rFonts w:ascii="Calibri" w:hAnsi="Calibri" w:cs="Calibri"/>
          <w:bCs/>
        </w:rPr>
        <w:t>surveillance.</w:t>
      </w:r>
    </w:p>
    <w:p w14:paraId="4F9BD90B" w14:textId="77777777" w:rsidR="00B15127" w:rsidRPr="00207491" w:rsidRDefault="00B15127" w:rsidP="00B15127">
      <w:pPr>
        <w:pBdr>
          <w:bottom w:val="single" w:sz="12" w:space="4" w:color="DDDDDD"/>
        </w:pBdr>
        <w:shd w:val="clear" w:color="auto" w:fill="FFFFFF"/>
        <w:spacing w:after="0"/>
        <w:contextualSpacing/>
        <w:jc w:val="both"/>
        <w:outlineLvl w:val="2"/>
        <w:rPr>
          <w:rFonts w:ascii="Calibri" w:eastAsia="Times New Roman" w:hAnsi="Calibri" w:cs="Calibri"/>
          <w:bCs/>
          <w:color w:val="4A4A4A"/>
          <w:sz w:val="21"/>
          <w:szCs w:val="21"/>
          <w:lang w:eastAsia="en-GB"/>
        </w:rPr>
      </w:pPr>
    </w:p>
    <w:p w14:paraId="28E25450" w14:textId="2227C8EA" w:rsidR="00881950" w:rsidRPr="00207491" w:rsidRDefault="00881950" w:rsidP="00207491">
      <w:pPr>
        <w:pBdr>
          <w:bottom w:val="single" w:sz="12" w:space="4" w:color="DDDDDD"/>
        </w:pBdr>
        <w:shd w:val="clear" w:color="auto" w:fill="FFFFFF"/>
        <w:spacing w:after="0"/>
        <w:contextualSpacing/>
        <w:jc w:val="both"/>
        <w:outlineLvl w:val="2"/>
        <w:rPr>
          <w:rFonts w:ascii="Calibri" w:eastAsia="Times New Roman" w:hAnsi="Calibri" w:cs="Calibri"/>
          <w:bCs/>
          <w:color w:val="4A4A4A"/>
          <w:sz w:val="21"/>
          <w:szCs w:val="21"/>
          <w:lang w:eastAsia="en-GB"/>
        </w:rPr>
      </w:pPr>
      <w:r w:rsidRPr="00207491">
        <w:rPr>
          <w:rFonts w:ascii="Calibri" w:eastAsia="Times New Roman" w:hAnsi="Calibri" w:cs="Calibri"/>
          <w:b/>
          <w:bCs/>
          <w:color w:val="4A4A4A"/>
          <w:sz w:val="21"/>
          <w:szCs w:val="21"/>
          <w:lang w:eastAsia="en-GB"/>
        </w:rPr>
        <w:t>Other possible data sources:</w:t>
      </w:r>
      <w:r w:rsidRPr="00207491">
        <w:rPr>
          <w:rFonts w:ascii="Calibri" w:eastAsia="Times New Roman" w:hAnsi="Calibri" w:cs="Calibri"/>
          <w:bCs/>
          <w:color w:val="4A4A4A"/>
          <w:sz w:val="21"/>
          <w:szCs w:val="21"/>
          <w:lang w:eastAsia="en-GB"/>
        </w:rPr>
        <w:t xml:space="preserve"> </w:t>
      </w:r>
      <w:r w:rsidRPr="00516B6B">
        <w:rPr>
          <w:rFonts w:ascii="Calibri" w:hAnsi="Calibri" w:cs="Calibri"/>
          <w:bCs/>
        </w:rPr>
        <w:t xml:space="preserve">Published and non-published data from national </w:t>
      </w:r>
      <w:r w:rsidR="005C29EC" w:rsidRPr="00516B6B">
        <w:rPr>
          <w:rFonts w:ascii="Calibri" w:hAnsi="Calibri" w:cs="Calibri"/>
          <w:bCs/>
        </w:rPr>
        <w:t>centres</w:t>
      </w:r>
      <w:r w:rsidRPr="00516B6B">
        <w:rPr>
          <w:rFonts w:ascii="Calibri" w:hAnsi="Calibri" w:cs="Calibri"/>
          <w:bCs/>
        </w:rPr>
        <w:t xml:space="preserve"> and research/academic institutions and from others regional surveillance networks.</w:t>
      </w:r>
    </w:p>
    <w:p w14:paraId="0DC94853" w14:textId="77777777" w:rsidR="003A76FA" w:rsidRDefault="003A76FA" w:rsidP="00207491">
      <w:pPr>
        <w:pBdr>
          <w:bottom w:val="single" w:sz="12" w:space="4" w:color="DDDDDD"/>
        </w:pBdr>
        <w:shd w:val="clear" w:color="auto" w:fill="FFFFFF"/>
        <w:spacing w:after="0"/>
        <w:contextualSpacing/>
        <w:jc w:val="both"/>
        <w:outlineLvl w:val="2"/>
        <w:rPr>
          <w:rFonts w:ascii="Calibri" w:eastAsia="Times New Roman" w:hAnsi="Calibri" w:cs="Calibri"/>
          <w:color w:val="1C75BC"/>
          <w:sz w:val="36"/>
          <w:szCs w:val="36"/>
          <w:lang w:eastAsia="en-GB"/>
        </w:rPr>
      </w:pPr>
    </w:p>
    <w:p w14:paraId="7DE841A9" w14:textId="77777777" w:rsidR="00DF5DBC" w:rsidRPr="00207491" w:rsidRDefault="00DF5DBC" w:rsidP="00207491">
      <w:pPr>
        <w:pBdr>
          <w:bottom w:val="single" w:sz="12" w:space="4" w:color="DDDDDD"/>
        </w:pBdr>
        <w:shd w:val="clear" w:color="auto" w:fill="FFFFFF"/>
        <w:spacing w:after="0"/>
        <w:contextualSpacing/>
        <w:jc w:val="both"/>
        <w:outlineLvl w:val="2"/>
        <w:rPr>
          <w:rFonts w:ascii="Calibri" w:eastAsia="Times New Roman" w:hAnsi="Calibri" w:cs="Calibri"/>
          <w:color w:val="1C75BC"/>
          <w:sz w:val="36"/>
          <w:szCs w:val="36"/>
          <w:lang w:eastAsia="en-GB"/>
        </w:rPr>
      </w:pPr>
      <w:r w:rsidRPr="00207491">
        <w:rPr>
          <w:rFonts w:ascii="Calibri" w:eastAsia="Times New Roman" w:hAnsi="Calibri" w:cs="Calibri"/>
          <w:color w:val="1C75BC"/>
          <w:sz w:val="36"/>
          <w:szCs w:val="36"/>
          <w:lang w:eastAsia="en-GB"/>
        </w:rPr>
        <w:t>Data Availability</w:t>
      </w:r>
    </w:p>
    <w:p w14:paraId="522BE25C" w14:textId="77777777" w:rsidR="00DF5DBC" w:rsidRPr="00207491" w:rsidRDefault="00DF5DBC" w:rsidP="00207491">
      <w:pPr>
        <w:shd w:val="clear" w:color="auto" w:fill="FFFFFF"/>
        <w:spacing w:after="0"/>
        <w:contextualSpacing/>
        <w:jc w:val="both"/>
        <w:rPr>
          <w:rFonts w:ascii="Calibri" w:eastAsia="Times New Roman" w:hAnsi="Calibri" w:cs="Calibri"/>
          <w:b/>
          <w:bCs/>
          <w:color w:val="4A4A4A"/>
          <w:sz w:val="21"/>
          <w:szCs w:val="21"/>
          <w:lang w:eastAsia="en-GB"/>
        </w:rPr>
      </w:pPr>
    </w:p>
    <w:p w14:paraId="7897C7E6" w14:textId="447A0915" w:rsidR="00DF5DBC" w:rsidRPr="00207491" w:rsidRDefault="00DF5DBC" w:rsidP="00207491">
      <w:pPr>
        <w:shd w:val="clear" w:color="auto" w:fill="FFFFFF"/>
        <w:spacing w:after="0"/>
        <w:contextualSpacing/>
        <w:jc w:val="both"/>
        <w:rPr>
          <w:rFonts w:ascii="Calibri" w:eastAsia="Times New Roman" w:hAnsi="Calibri" w:cs="Calibri"/>
          <w:color w:val="4A4A4A"/>
          <w:sz w:val="21"/>
          <w:szCs w:val="21"/>
          <w:lang w:eastAsia="en-GB"/>
        </w:rPr>
      </w:pPr>
      <w:r w:rsidRPr="00207491">
        <w:rPr>
          <w:rFonts w:ascii="Calibri" w:eastAsia="Times New Roman" w:hAnsi="Calibri" w:cs="Calibri"/>
          <w:color w:val="4A4A4A"/>
          <w:sz w:val="21"/>
          <w:szCs w:val="21"/>
          <w:lang w:eastAsia="en-GB"/>
        </w:rPr>
        <w:t xml:space="preserve">Data are available by country, </w:t>
      </w:r>
      <w:r w:rsidR="00516B6B">
        <w:rPr>
          <w:rFonts w:ascii="Calibri" w:eastAsia="Times New Roman" w:hAnsi="Calibri" w:cs="Calibri"/>
          <w:color w:val="4A4A4A"/>
          <w:sz w:val="21"/>
          <w:szCs w:val="21"/>
          <w:lang w:eastAsia="en-GB"/>
        </w:rPr>
        <w:t>gender</w:t>
      </w:r>
      <w:r w:rsidRPr="00207491">
        <w:rPr>
          <w:rFonts w:ascii="Calibri" w:eastAsia="Times New Roman" w:hAnsi="Calibri" w:cs="Calibri"/>
          <w:color w:val="4A4A4A"/>
          <w:sz w:val="21"/>
          <w:szCs w:val="21"/>
          <w:lang w:eastAsia="en-GB"/>
        </w:rPr>
        <w:t>, and age group</w:t>
      </w:r>
      <w:r w:rsidR="000A1B0D" w:rsidRPr="00207491">
        <w:rPr>
          <w:rFonts w:ascii="Calibri" w:eastAsia="Times New Roman" w:hAnsi="Calibri" w:cs="Calibri"/>
          <w:color w:val="4A4A4A"/>
          <w:sz w:val="21"/>
          <w:szCs w:val="21"/>
          <w:lang w:eastAsia="en-GB"/>
        </w:rPr>
        <w:t>, a</w:t>
      </w:r>
      <w:r w:rsidR="00895EDE">
        <w:rPr>
          <w:rFonts w:ascii="Calibri" w:eastAsia="Times New Roman" w:hAnsi="Calibri" w:cs="Calibri"/>
          <w:color w:val="4A4A4A"/>
          <w:sz w:val="21"/>
          <w:szCs w:val="21"/>
          <w:lang w:eastAsia="en-GB"/>
        </w:rPr>
        <w:t xml:space="preserve">s well as </w:t>
      </w:r>
      <w:r w:rsidR="000A1B0D" w:rsidRPr="00207491">
        <w:rPr>
          <w:rFonts w:ascii="Calibri" w:eastAsia="Times New Roman" w:hAnsi="Calibri" w:cs="Calibri"/>
          <w:color w:val="4A4A4A"/>
          <w:sz w:val="21"/>
          <w:szCs w:val="21"/>
          <w:lang w:eastAsia="en-GB"/>
        </w:rPr>
        <w:t>whether infection is of community or hospital origin.</w:t>
      </w:r>
    </w:p>
    <w:p w14:paraId="71DCB2A5" w14:textId="77777777" w:rsidR="00DF5DBC" w:rsidRPr="00207491" w:rsidRDefault="00DF5DBC" w:rsidP="00207491">
      <w:pPr>
        <w:shd w:val="clear" w:color="auto" w:fill="FFFFFF"/>
        <w:spacing w:after="0"/>
        <w:contextualSpacing/>
        <w:jc w:val="both"/>
        <w:rPr>
          <w:rFonts w:ascii="Calibri" w:eastAsia="Times New Roman" w:hAnsi="Calibri" w:cs="Calibri"/>
          <w:color w:val="4A4A4A"/>
          <w:sz w:val="21"/>
          <w:szCs w:val="21"/>
          <w:lang w:eastAsia="en-GB"/>
        </w:rPr>
      </w:pPr>
    </w:p>
    <w:p w14:paraId="3ABE59F4" w14:textId="77777777" w:rsidR="00DF5DBC" w:rsidRPr="00207491" w:rsidRDefault="00DF5DBC" w:rsidP="00207491">
      <w:pPr>
        <w:pBdr>
          <w:bottom w:val="single" w:sz="12" w:space="4" w:color="DDDDDD"/>
        </w:pBdr>
        <w:shd w:val="clear" w:color="auto" w:fill="FFFFFF"/>
        <w:spacing w:after="0"/>
        <w:contextualSpacing/>
        <w:jc w:val="both"/>
        <w:outlineLvl w:val="2"/>
        <w:rPr>
          <w:rFonts w:ascii="Calibri" w:eastAsia="Times New Roman" w:hAnsi="Calibri" w:cs="Calibri"/>
          <w:color w:val="1C75BC"/>
          <w:sz w:val="36"/>
          <w:szCs w:val="36"/>
          <w:lang w:eastAsia="en-GB"/>
        </w:rPr>
      </w:pPr>
      <w:r w:rsidRPr="00207491">
        <w:rPr>
          <w:rFonts w:ascii="Calibri" w:eastAsia="Times New Roman" w:hAnsi="Calibri" w:cs="Calibri"/>
          <w:color w:val="1C75BC"/>
          <w:sz w:val="36"/>
          <w:szCs w:val="36"/>
          <w:lang w:eastAsia="en-GB"/>
        </w:rPr>
        <w:t>Calendar</w:t>
      </w:r>
    </w:p>
    <w:p w14:paraId="338DC2C7" w14:textId="77777777" w:rsidR="00DF5DBC" w:rsidRPr="00207491" w:rsidRDefault="00DF5DBC" w:rsidP="00207491">
      <w:pPr>
        <w:shd w:val="clear" w:color="auto" w:fill="FFFFFF"/>
        <w:spacing w:after="0"/>
        <w:contextualSpacing/>
        <w:jc w:val="both"/>
        <w:rPr>
          <w:rFonts w:ascii="Calibri" w:eastAsia="Times New Roman" w:hAnsi="Calibri" w:cs="Calibri"/>
          <w:b/>
          <w:bCs/>
          <w:color w:val="4A4A4A"/>
          <w:sz w:val="21"/>
          <w:szCs w:val="21"/>
          <w:lang w:eastAsia="en-GB"/>
        </w:rPr>
      </w:pPr>
    </w:p>
    <w:p w14:paraId="60761DAA" w14:textId="77777777" w:rsidR="00DF5DBC" w:rsidRPr="00207491" w:rsidRDefault="000A1B0D" w:rsidP="00207491">
      <w:pPr>
        <w:shd w:val="clear" w:color="auto" w:fill="FFFFFF"/>
        <w:spacing w:after="0"/>
        <w:contextualSpacing/>
        <w:jc w:val="both"/>
        <w:rPr>
          <w:rFonts w:ascii="Calibri" w:eastAsia="Times New Roman" w:hAnsi="Calibri" w:cs="Calibri"/>
          <w:color w:val="4A4A4A"/>
          <w:sz w:val="21"/>
          <w:szCs w:val="21"/>
          <w:lang w:eastAsia="en-GB"/>
        </w:rPr>
      </w:pPr>
      <w:r w:rsidRPr="00207491">
        <w:rPr>
          <w:rFonts w:ascii="Calibri" w:eastAsia="Times New Roman" w:hAnsi="Calibri" w:cs="Calibri"/>
          <w:color w:val="4A4A4A"/>
          <w:sz w:val="21"/>
          <w:szCs w:val="21"/>
          <w:lang w:eastAsia="en-GB"/>
        </w:rPr>
        <w:t>Yearly</w:t>
      </w:r>
    </w:p>
    <w:p w14:paraId="2E5CE6A3" w14:textId="77777777" w:rsidR="00DF5DBC" w:rsidRPr="00207491" w:rsidRDefault="00DF5DBC" w:rsidP="00207491">
      <w:pPr>
        <w:shd w:val="clear" w:color="auto" w:fill="FFFFFF"/>
        <w:spacing w:after="0"/>
        <w:contextualSpacing/>
        <w:jc w:val="both"/>
        <w:rPr>
          <w:rFonts w:ascii="Calibri" w:eastAsia="Times New Roman" w:hAnsi="Calibri" w:cs="Calibri"/>
          <w:color w:val="4A4A4A"/>
          <w:sz w:val="21"/>
          <w:szCs w:val="21"/>
          <w:lang w:eastAsia="en-GB"/>
        </w:rPr>
      </w:pPr>
    </w:p>
    <w:p w14:paraId="3D08D9ED" w14:textId="77777777" w:rsidR="00DF5DBC" w:rsidRPr="00207491" w:rsidRDefault="00DF5DBC" w:rsidP="00207491">
      <w:pPr>
        <w:pBdr>
          <w:bottom w:val="single" w:sz="12" w:space="4" w:color="DDDDDD"/>
        </w:pBdr>
        <w:shd w:val="clear" w:color="auto" w:fill="FFFFFF"/>
        <w:spacing w:after="0"/>
        <w:contextualSpacing/>
        <w:jc w:val="both"/>
        <w:outlineLvl w:val="2"/>
        <w:rPr>
          <w:rFonts w:ascii="Calibri" w:eastAsia="Times New Roman" w:hAnsi="Calibri" w:cs="Calibri"/>
          <w:color w:val="1C75BC"/>
          <w:sz w:val="36"/>
          <w:szCs w:val="36"/>
          <w:lang w:eastAsia="en-GB"/>
        </w:rPr>
      </w:pPr>
      <w:r w:rsidRPr="00207491">
        <w:rPr>
          <w:rFonts w:ascii="Calibri" w:eastAsia="Times New Roman" w:hAnsi="Calibri" w:cs="Calibri"/>
          <w:color w:val="1C75BC"/>
          <w:sz w:val="36"/>
          <w:szCs w:val="36"/>
          <w:lang w:eastAsia="en-GB"/>
        </w:rPr>
        <w:t>Data providers</w:t>
      </w:r>
    </w:p>
    <w:p w14:paraId="179D235B" w14:textId="77777777" w:rsidR="00DF5DBC" w:rsidRPr="00207491" w:rsidRDefault="00DF5DBC" w:rsidP="00207491">
      <w:pPr>
        <w:shd w:val="clear" w:color="auto" w:fill="FFFFFF"/>
        <w:spacing w:after="0"/>
        <w:contextualSpacing/>
        <w:jc w:val="both"/>
        <w:rPr>
          <w:rFonts w:ascii="Calibri" w:eastAsia="Times New Roman" w:hAnsi="Calibri" w:cs="Calibri"/>
          <w:b/>
          <w:bCs/>
          <w:color w:val="4A4A4A"/>
          <w:sz w:val="21"/>
          <w:szCs w:val="21"/>
          <w:lang w:eastAsia="en-GB"/>
        </w:rPr>
      </w:pPr>
    </w:p>
    <w:p w14:paraId="02620DC3" w14:textId="77777777" w:rsidR="00DF5DBC" w:rsidRPr="00207491" w:rsidRDefault="00DF5DBC" w:rsidP="00207491">
      <w:pPr>
        <w:shd w:val="clear" w:color="auto" w:fill="FFFFFF"/>
        <w:spacing w:after="0"/>
        <w:contextualSpacing/>
        <w:jc w:val="both"/>
        <w:rPr>
          <w:rFonts w:ascii="Calibri" w:eastAsia="Times New Roman" w:hAnsi="Calibri" w:cs="Calibri"/>
          <w:color w:val="4A4A4A"/>
          <w:sz w:val="21"/>
          <w:szCs w:val="21"/>
          <w:lang w:eastAsia="en-GB"/>
        </w:rPr>
      </w:pPr>
      <w:r w:rsidRPr="00207491">
        <w:rPr>
          <w:rFonts w:ascii="Calibri" w:eastAsia="Times New Roman" w:hAnsi="Calibri" w:cs="Calibri"/>
          <w:color w:val="4A4A4A"/>
          <w:sz w:val="21"/>
          <w:szCs w:val="21"/>
          <w:lang w:eastAsia="en-GB"/>
        </w:rPr>
        <w:t>Ministr</w:t>
      </w:r>
      <w:r w:rsidR="00DE68CB" w:rsidRPr="00207491">
        <w:rPr>
          <w:rFonts w:ascii="Calibri" w:eastAsia="Times New Roman" w:hAnsi="Calibri" w:cs="Calibri"/>
          <w:color w:val="4A4A4A"/>
          <w:sz w:val="21"/>
          <w:szCs w:val="21"/>
          <w:lang w:eastAsia="en-GB"/>
        </w:rPr>
        <w:t>ies</w:t>
      </w:r>
      <w:r w:rsidR="000A1B0D" w:rsidRPr="00207491">
        <w:rPr>
          <w:rFonts w:ascii="Calibri" w:eastAsia="Times New Roman" w:hAnsi="Calibri" w:cs="Calibri"/>
          <w:color w:val="4A4A4A"/>
          <w:sz w:val="21"/>
          <w:szCs w:val="21"/>
          <w:lang w:eastAsia="en-GB"/>
        </w:rPr>
        <w:t xml:space="preserve"> of Health</w:t>
      </w:r>
    </w:p>
    <w:p w14:paraId="06B6B20F" w14:textId="77777777" w:rsidR="00DF5DBC" w:rsidRPr="00207491" w:rsidRDefault="00DF5DBC" w:rsidP="00207491">
      <w:pPr>
        <w:shd w:val="clear" w:color="auto" w:fill="FFFFFF"/>
        <w:spacing w:after="0"/>
        <w:contextualSpacing/>
        <w:jc w:val="both"/>
        <w:rPr>
          <w:rFonts w:ascii="Calibri" w:eastAsia="Times New Roman" w:hAnsi="Calibri" w:cs="Calibri"/>
          <w:color w:val="4A4A4A"/>
          <w:sz w:val="21"/>
          <w:szCs w:val="21"/>
          <w:lang w:eastAsia="en-GB"/>
        </w:rPr>
      </w:pPr>
    </w:p>
    <w:p w14:paraId="29D9901E" w14:textId="77777777" w:rsidR="00DF5DBC" w:rsidRPr="00207491" w:rsidRDefault="00DF5DBC" w:rsidP="00207491">
      <w:pPr>
        <w:pBdr>
          <w:bottom w:val="single" w:sz="12" w:space="4" w:color="DDDDDD"/>
        </w:pBdr>
        <w:shd w:val="clear" w:color="auto" w:fill="FFFFFF"/>
        <w:spacing w:after="0"/>
        <w:contextualSpacing/>
        <w:jc w:val="both"/>
        <w:outlineLvl w:val="2"/>
        <w:rPr>
          <w:rFonts w:ascii="Calibri" w:eastAsia="Times New Roman" w:hAnsi="Calibri" w:cs="Calibri"/>
          <w:color w:val="1C75BC"/>
          <w:sz w:val="36"/>
          <w:szCs w:val="36"/>
          <w:lang w:eastAsia="en-GB"/>
        </w:rPr>
      </w:pPr>
      <w:r w:rsidRPr="00207491">
        <w:rPr>
          <w:rFonts w:ascii="Calibri" w:eastAsia="Times New Roman" w:hAnsi="Calibri" w:cs="Calibri"/>
          <w:color w:val="1C75BC"/>
          <w:sz w:val="36"/>
          <w:szCs w:val="36"/>
          <w:lang w:eastAsia="en-GB"/>
        </w:rPr>
        <w:t>Data compilers</w:t>
      </w:r>
    </w:p>
    <w:p w14:paraId="1A7A8EE1" w14:textId="77777777" w:rsidR="00DF5DBC" w:rsidRPr="00207491" w:rsidRDefault="00DF5DBC" w:rsidP="00207491">
      <w:pPr>
        <w:shd w:val="clear" w:color="auto" w:fill="FFFFFF"/>
        <w:spacing w:after="0"/>
        <w:contextualSpacing/>
        <w:jc w:val="both"/>
        <w:rPr>
          <w:rFonts w:ascii="Calibri" w:eastAsia="Times New Roman" w:hAnsi="Calibri" w:cs="Calibri"/>
          <w:b/>
          <w:bCs/>
          <w:color w:val="4A4A4A"/>
          <w:sz w:val="21"/>
          <w:szCs w:val="21"/>
          <w:lang w:eastAsia="en-GB"/>
        </w:rPr>
      </w:pPr>
    </w:p>
    <w:p w14:paraId="6AC81CF9" w14:textId="77777777" w:rsidR="00DF5DBC" w:rsidRPr="00207491" w:rsidRDefault="00DF5DBC" w:rsidP="00207491">
      <w:pPr>
        <w:shd w:val="clear" w:color="auto" w:fill="FFFFFF"/>
        <w:spacing w:after="0"/>
        <w:contextualSpacing/>
        <w:jc w:val="both"/>
        <w:rPr>
          <w:rFonts w:ascii="Calibri" w:eastAsia="Times New Roman" w:hAnsi="Calibri" w:cs="Calibri"/>
          <w:color w:val="4A4A4A"/>
          <w:sz w:val="21"/>
          <w:szCs w:val="21"/>
          <w:lang w:eastAsia="en-GB"/>
        </w:rPr>
      </w:pPr>
      <w:r w:rsidRPr="00207491">
        <w:rPr>
          <w:rFonts w:ascii="Calibri" w:eastAsia="Times New Roman" w:hAnsi="Calibri" w:cs="Calibri"/>
          <w:color w:val="4A4A4A"/>
          <w:sz w:val="21"/>
          <w:szCs w:val="21"/>
          <w:lang w:eastAsia="en-GB"/>
        </w:rPr>
        <w:t>WHO</w:t>
      </w:r>
    </w:p>
    <w:p w14:paraId="1A0C6CBD" w14:textId="77777777" w:rsidR="00DF5DBC" w:rsidRPr="00207491" w:rsidRDefault="00DF5DBC" w:rsidP="00207491">
      <w:pPr>
        <w:shd w:val="clear" w:color="auto" w:fill="FFFFFF"/>
        <w:spacing w:after="0"/>
        <w:contextualSpacing/>
        <w:jc w:val="both"/>
        <w:rPr>
          <w:rFonts w:ascii="Calibri" w:eastAsia="Times New Roman" w:hAnsi="Calibri" w:cs="Calibri"/>
          <w:b/>
          <w:bCs/>
          <w:color w:val="4A4A4A"/>
          <w:sz w:val="21"/>
          <w:szCs w:val="21"/>
          <w:lang w:eastAsia="en-GB"/>
        </w:rPr>
      </w:pPr>
    </w:p>
    <w:p w14:paraId="69B45CA9" w14:textId="77777777" w:rsidR="00DF5DBC" w:rsidRPr="00207491" w:rsidRDefault="00DF5DBC" w:rsidP="00207491">
      <w:pPr>
        <w:keepNext/>
        <w:keepLines/>
        <w:pBdr>
          <w:bottom w:val="single" w:sz="12" w:space="4" w:color="DDDDDD"/>
        </w:pBdr>
        <w:shd w:val="clear" w:color="auto" w:fill="FFFFFF"/>
        <w:spacing w:after="0"/>
        <w:contextualSpacing/>
        <w:jc w:val="both"/>
        <w:outlineLvl w:val="2"/>
        <w:rPr>
          <w:rFonts w:ascii="Calibri" w:eastAsia="Times New Roman" w:hAnsi="Calibri" w:cs="Calibri"/>
          <w:color w:val="1C75BC"/>
          <w:sz w:val="36"/>
          <w:szCs w:val="36"/>
          <w:lang w:eastAsia="en-GB"/>
        </w:rPr>
      </w:pPr>
      <w:r w:rsidRPr="00207491">
        <w:rPr>
          <w:rFonts w:ascii="Calibri" w:eastAsia="Times New Roman" w:hAnsi="Calibri" w:cs="Calibri"/>
          <w:color w:val="1C75BC"/>
          <w:sz w:val="36"/>
          <w:szCs w:val="36"/>
          <w:lang w:eastAsia="en-GB"/>
        </w:rPr>
        <w:t>References</w:t>
      </w:r>
    </w:p>
    <w:p w14:paraId="47539C9B" w14:textId="77777777" w:rsidR="00DF5DBC" w:rsidRPr="00207491" w:rsidRDefault="00DF5DBC" w:rsidP="00207491">
      <w:pPr>
        <w:spacing w:after="0"/>
        <w:jc w:val="both"/>
        <w:rPr>
          <w:rFonts w:ascii="Calibri" w:hAnsi="Calibri" w:cs="Calibri"/>
          <w:sz w:val="21"/>
          <w:szCs w:val="21"/>
          <w:lang w:eastAsia="en-GB"/>
        </w:rPr>
      </w:pPr>
    </w:p>
    <w:p w14:paraId="6DABBEA6" w14:textId="77777777" w:rsidR="000A1B0D" w:rsidRPr="00207491" w:rsidRDefault="00DF5DBC" w:rsidP="00207491">
      <w:pPr>
        <w:spacing w:after="0" w:line="240" w:lineRule="auto"/>
        <w:jc w:val="both"/>
        <w:rPr>
          <w:rFonts w:ascii="Calibri" w:eastAsia="Times New Roman" w:hAnsi="Calibri" w:cs="Calibri"/>
          <w:sz w:val="18"/>
          <w:szCs w:val="18"/>
        </w:rPr>
      </w:pPr>
      <w:r w:rsidRPr="00207491">
        <w:rPr>
          <w:rFonts w:ascii="Calibri" w:hAnsi="Calibri" w:cs="Calibri"/>
          <w:b/>
          <w:bCs/>
          <w:color w:val="404040" w:themeColor="text1" w:themeTint="BF"/>
          <w:sz w:val="21"/>
          <w:szCs w:val="21"/>
          <w:lang w:eastAsia="en-GB"/>
        </w:rPr>
        <w:t>URL:</w:t>
      </w:r>
      <w:r w:rsidR="000A1B0D" w:rsidRPr="00207491">
        <w:rPr>
          <w:rFonts w:ascii="Calibri" w:hAnsi="Calibri" w:cs="Calibri"/>
        </w:rPr>
        <w:t xml:space="preserve"> </w:t>
      </w:r>
      <w:hyperlink r:id="rId16" w:history="1">
        <w:r w:rsidR="000A1B0D" w:rsidRPr="00207491">
          <w:rPr>
            <w:rStyle w:val="Hyperlink"/>
            <w:rFonts w:ascii="Calibri" w:eastAsia="Times New Roman" w:hAnsi="Calibri" w:cs="Calibri"/>
            <w:sz w:val="18"/>
            <w:szCs w:val="18"/>
          </w:rPr>
          <w:t>http://www.who.int/glass/en/</w:t>
        </w:r>
      </w:hyperlink>
      <w:r w:rsidR="000A1B0D" w:rsidRPr="00207491">
        <w:rPr>
          <w:rFonts w:ascii="Calibri" w:eastAsia="Times New Roman" w:hAnsi="Calibri" w:cs="Calibri"/>
          <w:sz w:val="18"/>
          <w:szCs w:val="18"/>
        </w:rPr>
        <w:t xml:space="preserve"> ; </w:t>
      </w:r>
      <w:hyperlink r:id="rId17" w:history="1">
        <w:r w:rsidR="000A1B0D" w:rsidRPr="00207491">
          <w:rPr>
            <w:rStyle w:val="Hyperlink"/>
            <w:rFonts w:ascii="Calibri" w:eastAsia="Times New Roman" w:hAnsi="Calibri" w:cs="Calibri"/>
            <w:sz w:val="18"/>
            <w:szCs w:val="18"/>
          </w:rPr>
          <w:t>http://www.who.int/gho/glass/en/</w:t>
        </w:r>
      </w:hyperlink>
      <w:r w:rsidR="000A1B0D" w:rsidRPr="00207491">
        <w:rPr>
          <w:rFonts w:ascii="Calibri" w:eastAsia="Times New Roman" w:hAnsi="Calibri" w:cs="Calibri"/>
          <w:sz w:val="18"/>
          <w:szCs w:val="18"/>
        </w:rPr>
        <w:t xml:space="preserve"> </w:t>
      </w:r>
    </w:p>
    <w:p w14:paraId="70BDC60F" w14:textId="77777777" w:rsidR="00DF5DBC" w:rsidRPr="00207491" w:rsidRDefault="00DF5DBC" w:rsidP="00207491">
      <w:pPr>
        <w:spacing w:after="0"/>
        <w:jc w:val="both"/>
        <w:rPr>
          <w:rFonts w:ascii="Calibri" w:hAnsi="Calibri" w:cs="Calibri"/>
          <w:b/>
          <w:bCs/>
          <w:color w:val="404040" w:themeColor="text1" w:themeTint="BF"/>
          <w:sz w:val="21"/>
          <w:szCs w:val="21"/>
          <w:lang w:eastAsia="en-GB"/>
        </w:rPr>
      </w:pPr>
    </w:p>
    <w:p w14:paraId="3B64330C" w14:textId="77777777" w:rsidR="00DF5DBC" w:rsidRPr="00207491" w:rsidRDefault="00DF5DBC" w:rsidP="00207491">
      <w:pPr>
        <w:spacing w:after="0"/>
        <w:jc w:val="both"/>
        <w:rPr>
          <w:rFonts w:ascii="Calibri" w:hAnsi="Calibri" w:cs="Calibri"/>
          <w:sz w:val="21"/>
          <w:szCs w:val="21"/>
          <w:lang w:eastAsia="en-GB"/>
        </w:rPr>
      </w:pPr>
    </w:p>
    <w:sectPr w:rsidR="00DF5DBC" w:rsidRPr="00207491">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3A24A" w14:textId="77777777" w:rsidR="00E72253" w:rsidRDefault="00E72253" w:rsidP="00573C0B">
      <w:pPr>
        <w:spacing w:after="0" w:line="240" w:lineRule="auto"/>
      </w:pPr>
      <w:r>
        <w:separator/>
      </w:r>
    </w:p>
  </w:endnote>
  <w:endnote w:type="continuationSeparator" w:id="0">
    <w:p w14:paraId="13BCEAD0" w14:textId="77777777" w:rsidR="00E72253" w:rsidRDefault="00E72253" w:rsidP="0057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242389"/>
      <w:docPartObj>
        <w:docPartGallery w:val="Page Numbers (Bottom of Page)"/>
        <w:docPartUnique/>
      </w:docPartObj>
    </w:sdtPr>
    <w:sdtEndPr>
      <w:rPr>
        <w:noProof/>
      </w:rPr>
    </w:sdtEndPr>
    <w:sdtContent>
      <w:p w14:paraId="0EF09FBE" w14:textId="34BDEECC" w:rsidR="00D50231" w:rsidRDefault="00D50231">
        <w:pPr>
          <w:pStyle w:val="Footer"/>
          <w:jc w:val="right"/>
        </w:pPr>
        <w:r>
          <w:fldChar w:fldCharType="begin"/>
        </w:r>
        <w:r>
          <w:instrText xml:space="preserve"> PAGE   \* MERGEFORMAT </w:instrText>
        </w:r>
        <w:r>
          <w:fldChar w:fldCharType="separate"/>
        </w:r>
        <w:r w:rsidR="000F2722">
          <w:rPr>
            <w:noProof/>
          </w:rPr>
          <w:t>1</w:t>
        </w:r>
        <w:r>
          <w:rPr>
            <w:noProof/>
          </w:rPr>
          <w:fldChar w:fldCharType="end"/>
        </w:r>
      </w:p>
    </w:sdtContent>
  </w:sdt>
  <w:p w14:paraId="5C05633C" w14:textId="77777777" w:rsidR="00D50231" w:rsidRDefault="00D50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906D1" w14:textId="77777777" w:rsidR="00E72253" w:rsidRDefault="00E72253" w:rsidP="00573C0B">
      <w:pPr>
        <w:spacing w:after="0" w:line="240" w:lineRule="auto"/>
      </w:pPr>
      <w:r>
        <w:separator/>
      </w:r>
    </w:p>
  </w:footnote>
  <w:footnote w:type="continuationSeparator" w:id="0">
    <w:p w14:paraId="06E25515" w14:textId="77777777" w:rsidR="00E72253" w:rsidRDefault="00E72253" w:rsidP="00573C0B">
      <w:pPr>
        <w:spacing w:after="0" w:line="240" w:lineRule="auto"/>
      </w:pPr>
      <w:r>
        <w:continuationSeparator/>
      </w:r>
    </w:p>
  </w:footnote>
  <w:footnote w:id="1">
    <w:p w14:paraId="0EE07ECE" w14:textId="0F34A121" w:rsidR="006C38D5" w:rsidRPr="009822A2" w:rsidRDefault="00207491" w:rsidP="006C38D5">
      <w:pPr>
        <w:autoSpaceDE w:val="0"/>
        <w:autoSpaceDN w:val="0"/>
        <w:adjustRightInd w:val="0"/>
        <w:spacing w:before="120" w:after="0" w:line="240" w:lineRule="auto"/>
        <w:rPr>
          <w:lang w:val="fr-CH"/>
        </w:rPr>
      </w:pPr>
      <w:r w:rsidRPr="00207491">
        <w:rPr>
          <w:rStyle w:val="FootnoteReference"/>
          <w:rFonts w:cstheme="minorHAnsi"/>
        </w:rPr>
        <w:footnoteRef/>
      </w:r>
      <w:r w:rsidRPr="00DB53C9">
        <w:rPr>
          <w:rFonts w:cstheme="minorHAnsi"/>
          <w:lang w:val="en-US"/>
        </w:rPr>
        <w:t xml:space="preserve"> </w:t>
      </w:r>
      <w:r w:rsidR="006C38D5" w:rsidRPr="006C38D5">
        <w:t xml:space="preserve"> </w:t>
      </w:r>
      <w:r w:rsidR="006C38D5">
        <w:t xml:space="preserve">EUCAST guidelines for detection of resistance mechanisms and specific resistances of clinical and/or epidemiological importance. </w:t>
      </w:r>
      <w:r w:rsidR="006C38D5" w:rsidRPr="009822A2">
        <w:rPr>
          <w:lang w:val="fr-CH"/>
        </w:rPr>
        <w:t xml:space="preserve">Version 2.0. 2017. </w:t>
      </w:r>
      <w:hyperlink r:id="rId1" w:history="1">
        <w:r w:rsidR="006C38D5" w:rsidRPr="009822A2">
          <w:rPr>
            <w:rStyle w:val="Hyperlink"/>
            <w:lang w:val="fr-CH"/>
          </w:rPr>
          <w:t>http://www.eucast.org/fileadmin/src/media/PDFs/EUCAST_files/Resistance_mechanisms/EUCAST_detection_of_resistance_mechanisms_170711.pdf</w:t>
        </w:r>
      </w:hyperlink>
    </w:p>
    <w:p w14:paraId="556D5816" w14:textId="77777777" w:rsidR="006C38D5" w:rsidRDefault="006C38D5" w:rsidP="006C38D5">
      <w:r>
        <w:t>CLSI. M100 Performance Standards for Antimicrobial Susceptibility Testing. 29th ed2018</w:t>
      </w:r>
      <w:r w:rsidRPr="00221855">
        <w:t xml:space="preserve"> </w:t>
      </w:r>
      <w:hyperlink r:id="rId2" w:history="1">
        <w:r>
          <w:rPr>
            <w:rStyle w:val="Hyperlink"/>
          </w:rPr>
          <w:t>https://clsi.org/standards/products/microbiology/documents/m100/</w:t>
        </w:r>
      </w:hyperlink>
    </w:p>
    <w:p w14:paraId="5ED9271F" w14:textId="77777777" w:rsidR="00207491" w:rsidRPr="00207491" w:rsidRDefault="00207491" w:rsidP="00207491">
      <w:pPr>
        <w:autoSpaceDE w:val="0"/>
        <w:autoSpaceDN w:val="0"/>
        <w:adjustRightInd w:val="0"/>
        <w:spacing w:before="120" w:after="0" w:line="240" w:lineRule="auto"/>
        <w:jc w:val="both"/>
        <w:rPr>
          <w:rFonts w:eastAsia="Candara" w:cstheme="minorHAnsi"/>
          <w:noProof/>
        </w:rPr>
      </w:pPr>
    </w:p>
  </w:footnote>
  <w:footnote w:id="2">
    <w:p w14:paraId="6E59848D" w14:textId="77777777" w:rsidR="004B0EB4" w:rsidRDefault="004B0EB4">
      <w:pPr>
        <w:pStyle w:val="FootnoteText"/>
      </w:pPr>
      <w:r>
        <w:rPr>
          <w:rStyle w:val="FootnoteReference"/>
        </w:rPr>
        <w:footnoteRef/>
      </w:r>
      <w:r w:rsidRPr="0056490D">
        <w:rPr>
          <w:lang w:val="fr-CH"/>
        </w:rPr>
        <w:t xml:space="preserve"> </w:t>
      </w:r>
      <w:r w:rsidRPr="0056490D">
        <w:rPr>
          <w:rFonts w:eastAsia="Candara" w:cstheme="minorHAnsi"/>
          <w:noProof/>
          <w:lang w:val="fr-CH"/>
        </w:rPr>
        <w:t xml:space="preserve">Retrospective cohort study. Euro surveillance : bulletin Europeen sur les maladies transmissibles = European communicable disease bulletin. </w:t>
      </w:r>
      <w:r w:rsidRPr="00712551">
        <w:rPr>
          <w:rFonts w:eastAsia="Candara" w:cstheme="minorHAnsi"/>
          <w:noProof/>
        </w:rPr>
        <w:t>2016;21. doi: 10.2807/1560-7917.ES.2016.21.33.30319</w:t>
      </w:r>
    </w:p>
  </w:footnote>
  <w:footnote w:id="3">
    <w:p w14:paraId="7B3F11E6" w14:textId="77777777" w:rsidR="008233B2" w:rsidRPr="004801A9" w:rsidRDefault="008233B2" w:rsidP="008233B2">
      <w:pPr>
        <w:pStyle w:val="FootnoteText"/>
        <w:rPr>
          <w:lang w:val="en-US"/>
        </w:rPr>
      </w:pPr>
      <w:r>
        <w:rPr>
          <w:rStyle w:val="FootnoteReference"/>
        </w:rPr>
        <w:footnoteRef/>
      </w:r>
      <w:r>
        <w:t xml:space="preserve"> </w:t>
      </w:r>
      <w:r>
        <w:rPr>
          <w:sz w:val="17"/>
          <w:szCs w:val="17"/>
        </w:rPr>
        <w:t xml:space="preserve">World Bank Group, </w:t>
      </w:r>
      <w:r>
        <w:rPr>
          <w:i/>
          <w:iCs/>
          <w:sz w:val="17"/>
          <w:szCs w:val="17"/>
        </w:rPr>
        <w:t xml:space="preserve">Drug-resistant Infections: A Threat to Our Economic Future – Final Report </w:t>
      </w:r>
      <w:r>
        <w:rPr>
          <w:sz w:val="17"/>
          <w:szCs w:val="17"/>
        </w:rPr>
        <w:t xml:space="preserve">(Washington, D.C., March 2017). </w:t>
      </w:r>
      <w:r>
        <w:t xml:space="preserve"> </w:t>
      </w:r>
    </w:p>
  </w:footnote>
  <w:footnote w:id="4">
    <w:p w14:paraId="55738677" w14:textId="2F5235E4" w:rsidR="00C92D5E" w:rsidRPr="00C92D5E" w:rsidRDefault="00C92D5E">
      <w:pPr>
        <w:pStyle w:val="FootnoteText"/>
      </w:pPr>
      <w:r>
        <w:rPr>
          <w:rStyle w:val="FootnoteReference"/>
        </w:rPr>
        <w:footnoteRef/>
      </w:r>
      <w:r>
        <w:t xml:space="preserve"> </w:t>
      </w:r>
      <w:r w:rsidRPr="00DB53C9">
        <w:rPr>
          <w:rFonts w:eastAsia="Times New Roman" w:cs="Arial"/>
          <w:color w:val="4A4A4A"/>
          <w:lang w:eastAsia="en-GB"/>
        </w:rPr>
        <w:t>(1) Legislation and financing; (2) IHR Coordination and National Focal Point</w:t>
      </w:r>
      <w:r>
        <w:rPr>
          <w:rFonts w:eastAsia="Times New Roman" w:cs="Arial"/>
          <w:color w:val="4A4A4A"/>
          <w:lang w:eastAsia="en-GB"/>
        </w:rPr>
        <w:t xml:space="preserve"> </w:t>
      </w:r>
      <w:r w:rsidRPr="00DB53C9">
        <w:rPr>
          <w:rFonts w:eastAsia="Times New Roman" w:cs="Arial"/>
          <w:color w:val="4A4A4A"/>
          <w:lang w:eastAsia="en-GB"/>
        </w:rPr>
        <w:t>Functions; (3)Zoonotic events and the Human-Animal Health Interface; (4) Food safety; (5) Laboratory;; (6) Surveillance; (7) Human resources; (8) National Health Emergency Framework; (9) Health Service Provision; (10) Risk communication; (11) Points of entry; (12) Chemical events; (13) Radiation emergencies.</w:t>
      </w:r>
    </w:p>
  </w:footnote>
  <w:footnote w:id="5">
    <w:p w14:paraId="3D9EAE59" w14:textId="77777777" w:rsidR="00346EDB" w:rsidRPr="00346EDB" w:rsidRDefault="00346EDB">
      <w:pPr>
        <w:pStyle w:val="FootnoteText"/>
        <w:rPr>
          <w:lang w:val="en-US"/>
        </w:rPr>
      </w:pPr>
      <w:r>
        <w:rPr>
          <w:rStyle w:val="FootnoteReference"/>
        </w:rPr>
        <w:footnoteRef/>
      </w:r>
      <w:r>
        <w:t xml:space="preserve"> </w:t>
      </w:r>
      <w:hyperlink r:id="rId3" w:history="1">
        <w:r w:rsidRPr="00346EDB">
          <w:rPr>
            <w:rStyle w:val="Hyperlink"/>
          </w:rPr>
          <w:t>https://www.who.int/glass/en/</w:t>
        </w:r>
      </w:hyperlink>
    </w:p>
  </w:footnote>
  <w:footnote w:id="6">
    <w:p w14:paraId="0B9367AC" w14:textId="77777777" w:rsidR="004B0EB4" w:rsidRPr="00F139F2" w:rsidRDefault="004B0EB4" w:rsidP="004B0EB4">
      <w:pPr>
        <w:pStyle w:val="FootnoteText"/>
        <w:rPr>
          <w:b/>
          <w:bCs/>
          <w:lang w:val="en-US"/>
        </w:rPr>
      </w:pPr>
      <w:r>
        <w:rPr>
          <w:rStyle w:val="FootnoteReference"/>
        </w:rPr>
        <w:footnoteRef/>
      </w:r>
      <w:r>
        <w:t xml:space="preserve"> </w:t>
      </w:r>
      <w:r w:rsidRPr="00F139F2">
        <w:rPr>
          <w:b/>
          <w:bCs/>
          <w:lang w:val="en-US"/>
        </w:rPr>
        <w:t>Global antimicrobial resistance surveillance system (GLASS) report</w:t>
      </w:r>
      <w:r>
        <w:rPr>
          <w:b/>
          <w:bCs/>
          <w:lang w:val="en-US"/>
        </w:rPr>
        <w:t xml:space="preserve">: </w:t>
      </w:r>
      <w:r w:rsidRPr="00F139F2">
        <w:rPr>
          <w:lang w:val="en-US"/>
        </w:rPr>
        <w:t>Early implementation 2017-2018</w:t>
      </w:r>
      <w:r>
        <w:rPr>
          <w:lang w:val="en-US"/>
        </w:rPr>
        <w:t xml:space="preserve"> (2019).</w:t>
      </w:r>
      <w:r w:rsidRPr="00F139F2">
        <w:t xml:space="preserve"> </w:t>
      </w:r>
      <w:hyperlink r:id="rId4" w:history="1">
        <w:r>
          <w:rPr>
            <w:rStyle w:val="Hyperlink"/>
          </w:rPr>
          <w:t>https://apps.who.int/iris/bitstream/handle/10665/279656/9789241515061-eng.pdf</w:t>
        </w:r>
      </w:hyperlink>
    </w:p>
    <w:p w14:paraId="30FCF512" w14:textId="77777777" w:rsidR="004B0EB4" w:rsidRDefault="004B0EB4">
      <w:pPr>
        <w:pStyle w:val="FootnoteText"/>
      </w:pPr>
    </w:p>
  </w:footnote>
  <w:footnote w:id="7">
    <w:p w14:paraId="7352873B" w14:textId="77777777" w:rsidR="00D60151" w:rsidRPr="00B143A0" w:rsidRDefault="00D60151" w:rsidP="00B143A0">
      <w:pPr>
        <w:pStyle w:val="FootnoteText"/>
        <w:rPr>
          <w:lang w:val="en-US"/>
        </w:rPr>
      </w:pPr>
      <w:r w:rsidRPr="00D60151">
        <w:rPr>
          <w:rStyle w:val="FootnoteReference"/>
          <w:rFonts w:cstheme="minorHAnsi"/>
        </w:rPr>
        <w:footnoteRef/>
      </w:r>
      <w:r w:rsidRPr="00D60151">
        <w:rPr>
          <w:rFonts w:cstheme="minorHAnsi"/>
        </w:rPr>
        <w:t xml:space="preserve"> </w:t>
      </w:r>
      <w:r w:rsidRPr="00B143A0">
        <w:rPr>
          <w:lang w:val="en-US"/>
        </w:rPr>
        <w:t xml:space="preserve">EUCAST, </w:t>
      </w:r>
      <w:r w:rsidRPr="00B143A0">
        <w:rPr>
          <w:rFonts w:ascii="Cambria Math" w:hAnsi="Cambria Math" w:cs="Cambria Math"/>
          <w:lang w:val="en-US"/>
        </w:rPr>
        <w:t>≪</w:t>
      </w:r>
      <w:r w:rsidRPr="00B143A0">
        <w:rPr>
          <w:lang w:val="en-US"/>
        </w:rPr>
        <w:t>EUCAST guidelines for detection of resistance mechanisms and specific resistances of clinical</w:t>
      </w:r>
    </w:p>
    <w:p w14:paraId="401ADE84" w14:textId="77777777" w:rsidR="00D60151" w:rsidRPr="00B143A0" w:rsidRDefault="00D60151" w:rsidP="00B143A0">
      <w:pPr>
        <w:pStyle w:val="FootnoteText"/>
        <w:rPr>
          <w:lang w:val="en-US"/>
        </w:rPr>
      </w:pPr>
      <w:r w:rsidRPr="00B143A0">
        <w:rPr>
          <w:lang w:val="en-US"/>
        </w:rPr>
        <w:t>and/or epidemiological importance,</w:t>
      </w:r>
      <w:r w:rsidRPr="00B143A0">
        <w:rPr>
          <w:rFonts w:ascii="Cambria Math" w:hAnsi="Cambria Math" w:cs="Cambria Math"/>
          <w:lang w:val="en-US"/>
        </w:rPr>
        <w:t>≫</w:t>
      </w:r>
      <w:r w:rsidRPr="00B143A0">
        <w:rPr>
          <w:lang w:val="en-US"/>
        </w:rPr>
        <w:t xml:space="preserve"> 2013, Available: http://www.amcli.it/wp-content/uploads/2015/10/</w:t>
      </w:r>
    </w:p>
    <w:p w14:paraId="61D73FFF" w14:textId="77777777" w:rsidR="00D60151" w:rsidRPr="00B143A0" w:rsidRDefault="00D60151" w:rsidP="00B143A0">
      <w:pPr>
        <w:pStyle w:val="FootnoteText"/>
        <w:rPr>
          <w:lang w:val="en-US"/>
        </w:rPr>
      </w:pPr>
      <w:r w:rsidRPr="00B143A0">
        <w:rPr>
          <w:lang w:val="en-US"/>
        </w:rPr>
        <w:t>EUCAST_detection_resistance_mechanisms_V1.pdf</w:t>
      </w:r>
      <w:r w:rsidR="00B143A0">
        <w:rPr>
          <w:lang w:val="en-US"/>
        </w:rPr>
        <w:t xml:space="preserve"> </w:t>
      </w:r>
      <w:r w:rsidRPr="00B143A0">
        <w:rPr>
          <w:lang w:val="en-US"/>
        </w:rPr>
        <w:t>.</w:t>
      </w:r>
      <w:r w:rsidR="000436E8" w:rsidRPr="00B143A0">
        <w:rPr>
          <w:lang w:val="en-US"/>
        </w:rPr>
        <w:t xml:space="preserve"> </w:t>
      </w:r>
    </w:p>
    <w:p w14:paraId="19BF15DF" w14:textId="77777777" w:rsidR="00D60151" w:rsidRPr="00D60151" w:rsidRDefault="00D60151">
      <w:pPr>
        <w:pStyle w:val="FootnoteText"/>
      </w:pPr>
      <w:r w:rsidRPr="00D60151">
        <w:rPr>
          <w:rFonts w:cstheme="minorHAnsi"/>
          <w:lang w:val="en-US"/>
        </w:rPr>
        <w:t xml:space="preserve">CLSI, </w:t>
      </w:r>
      <w:r w:rsidRPr="00D60151">
        <w:rPr>
          <w:rFonts w:ascii="Cambria Math" w:hAnsi="Cambria Math" w:cs="Cambria Math"/>
          <w:lang w:val="en-US"/>
        </w:rPr>
        <w:t>≪</w:t>
      </w:r>
      <w:r w:rsidRPr="00D60151">
        <w:rPr>
          <w:rFonts w:cstheme="minorHAnsi"/>
          <w:lang w:val="en-US"/>
        </w:rPr>
        <w:t>M100 Performance Standards for Antimicrobial Susceptibility Testing,</w:t>
      </w:r>
      <w:r w:rsidRPr="00D60151">
        <w:rPr>
          <w:rFonts w:ascii="Cambria Math" w:hAnsi="Cambria Math" w:cs="Cambria Math"/>
          <w:lang w:val="en-US"/>
        </w:rPr>
        <w:t>≫</w:t>
      </w:r>
      <w:r w:rsidRPr="00D60151">
        <w:rPr>
          <w:rFonts w:cstheme="minorHAnsi"/>
          <w:lang w:val="en-US"/>
        </w:rPr>
        <w:t xml:space="preserve"> 27th ed, 2017.</w:t>
      </w:r>
    </w:p>
  </w:footnote>
  <w:footnote w:id="8">
    <w:p w14:paraId="52B6C5A1" w14:textId="77777777" w:rsidR="008C41F6" w:rsidRPr="00F139F2" w:rsidRDefault="008C41F6">
      <w:pPr>
        <w:pStyle w:val="FootnoteText"/>
        <w:rPr>
          <w:b/>
          <w:bCs/>
          <w:lang w:val="en-US"/>
        </w:rPr>
      </w:pPr>
      <w:r>
        <w:rPr>
          <w:rStyle w:val="FootnoteReference"/>
        </w:rPr>
        <w:footnoteRef/>
      </w:r>
      <w:r>
        <w:t xml:space="preserve"> </w:t>
      </w:r>
      <w:r w:rsidR="00AB5964" w:rsidRPr="00AB5964">
        <w:rPr>
          <w:b/>
          <w:bCs/>
          <w:lang w:val="en-US"/>
        </w:rPr>
        <w:t>National antimicrobial resistance surveillance systems and participation in the Global Antimicrobial Resistance Surveillance System (GLASS)</w:t>
      </w:r>
      <w:r w:rsidR="00AB5964">
        <w:rPr>
          <w:b/>
          <w:bCs/>
          <w:lang w:val="en-US"/>
        </w:rPr>
        <w:t xml:space="preserve">: </w:t>
      </w:r>
      <w:r w:rsidR="00AB5964" w:rsidRPr="00AB5964">
        <w:rPr>
          <w:lang w:val="en-US"/>
        </w:rPr>
        <w:t>A guide to planning, implementation, and monitoring and evaluation</w:t>
      </w:r>
      <w:r w:rsidR="00AB5964">
        <w:rPr>
          <w:lang w:val="en-US"/>
        </w:rPr>
        <w:t xml:space="preserve"> (2016). </w:t>
      </w:r>
      <w:hyperlink r:id="rId5" w:history="1">
        <w:r w:rsidR="00AB5964">
          <w:rPr>
            <w:rStyle w:val="Hyperlink"/>
          </w:rPr>
          <w:t>https://www.who.int/glass/resources/publications/national-surveillance-guide/en/</w:t>
        </w:r>
      </w:hyperlink>
    </w:p>
  </w:footnote>
  <w:footnote w:id="9">
    <w:p w14:paraId="48C8A57A" w14:textId="77777777" w:rsidR="008C41F6" w:rsidRPr="00F139F2" w:rsidRDefault="008C41F6">
      <w:pPr>
        <w:pStyle w:val="FootnoteText"/>
        <w:rPr>
          <w:b/>
          <w:bCs/>
          <w:lang w:val="en-US"/>
        </w:rPr>
      </w:pPr>
      <w:r>
        <w:rPr>
          <w:rStyle w:val="FootnoteReference"/>
        </w:rPr>
        <w:footnoteRef/>
      </w:r>
      <w:r>
        <w:t xml:space="preserve"> </w:t>
      </w:r>
      <w:r w:rsidR="00AB5964" w:rsidRPr="00AB5964">
        <w:rPr>
          <w:b/>
          <w:bCs/>
          <w:lang w:val="en-US"/>
        </w:rPr>
        <w:t>Global Antimicrobial Resistance Surveillance System</w:t>
      </w:r>
      <w:r w:rsidR="00AB5964">
        <w:rPr>
          <w:b/>
          <w:bCs/>
          <w:lang w:val="en-US"/>
        </w:rPr>
        <w:t xml:space="preserve">: </w:t>
      </w:r>
      <w:r w:rsidR="00AB5964" w:rsidRPr="00AB5964">
        <w:rPr>
          <w:lang w:val="en-US"/>
        </w:rPr>
        <w:t>Manual for Early Implementation</w:t>
      </w:r>
      <w:r w:rsidR="00AB5964">
        <w:rPr>
          <w:lang w:val="en-US"/>
        </w:rPr>
        <w:t xml:space="preserve"> (2015). </w:t>
      </w:r>
      <w:hyperlink r:id="rId6" w:history="1">
        <w:r w:rsidR="00AB5964">
          <w:rPr>
            <w:rStyle w:val="Hyperlink"/>
          </w:rPr>
          <w:t>https://www.who.int/antimicrobial-resistance/publications/surveillance-system-manual/en/</w:t>
        </w:r>
      </w:hyperlink>
    </w:p>
  </w:footnote>
  <w:footnote w:id="10">
    <w:p w14:paraId="54811A0D" w14:textId="77777777" w:rsidR="00F139F2" w:rsidRPr="00F139F2" w:rsidRDefault="00F139F2" w:rsidP="00F139F2">
      <w:pPr>
        <w:pStyle w:val="FootnoteText"/>
        <w:rPr>
          <w:b/>
          <w:bCs/>
          <w:lang w:val="en-US"/>
        </w:rPr>
      </w:pPr>
      <w:r>
        <w:rPr>
          <w:rStyle w:val="FootnoteReference"/>
        </w:rPr>
        <w:footnoteRef/>
      </w:r>
      <w:r>
        <w:t xml:space="preserve"> </w:t>
      </w:r>
      <w:r w:rsidRPr="00F139F2">
        <w:rPr>
          <w:b/>
          <w:bCs/>
          <w:lang w:val="en-US"/>
        </w:rPr>
        <w:t>Global antimicrobial resistance surveillance system (GLASS) report</w:t>
      </w:r>
      <w:r>
        <w:rPr>
          <w:b/>
          <w:bCs/>
          <w:lang w:val="en-US"/>
        </w:rPr>
        <w:t xml:space="preserve">: </w:t>
      </w:r>
      <w:r w:rsidRPr="00F139F2">
        <w:rPr>
          <w:lang w:val="en-US"/>
        </w:rPr>
        <w:t>Early implementation 2017-2018</w:t>
      </w:r>
      <w:r>
        <w:rPr>
          <w:lang w:val="en-US"/>
        </w:rPr>
        <w:t xml:space="preserve"> (2019).</w:t>
      </w:r>
      <w:r w:rsidRPr="00F139F2">
        <w:t xml:space="preserve"> </w:t>
      </w:r>
      <w:hyperlink r:id="rId7" w:history="1">
        <w:r>
          <w:rPr>
            <w:rStyle w:val="Hyperlink"/>
          </w:rPr>
          <w:t>https://apps.who.int/iris/bitstream/handle/10665/279656/9789241515061-eng.pdf</w:t>
        </w:r>
      </w:hyperlink>
    </w:p>
    <w:p w14:paraId="77D151AA" w14:textId="77777777" w:rsidR="00F139F2" w:rsidRDefault="00F139F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1B4B6" w14:textId="35BE12E7" w:rsidR="000F2722" w:rsidRPr="00757E8A" w:rsidRDefault="000F2722" w:rsidP="000F2722">
    <w:pPr>
      <w:pStyle w:val="Header"/>
      <w:jc w:val="right"/>
      <w:rPr>
        <w:color w:val="404040" w:themeColor="text1" w:themeTint="BF"/>
        <w:sz w:val="18"/>
        <w:szCs w:val="18"/>
      </w:rPr>
    </w:pPr>
    <w:bookmarkStart w:id="1" w:name="_Hlk506197003"/>
    <w:bookmarkStart w:id="2" w:name="_Hlk506197004"/>
    <w:bookmarkStart w:id="3" w:name="_Hlk506197005"/>
    <w:bookmarkStart w:id="4" w:name="_Hlk516233502"/>
    <w:bookmarkStart w:id="5" w:name="_Hlk516233503"/>
    <w:bookmarkStart w:id="6" w:name="_Hlk516233504"/>
    <w:r w:rsidRPr="00757E8A">
      <w:rPr>
        <w:color w:val="404040" w:themeColor="text1" w:themeTint="BF"/>
        <w:sz w:val="18"/>
        <w:szCs w:val="18"/>
      </w:rPr>
      <w:t xml:space="preserve">Last updated: </w:t>
    </w:r>
    <w:bookmarkEnd w:id="1"/>
    <w:bookmarkEnd w:id="2"/>
    <w:bookmarkEnd w:id="3"/>
    <w:bookmarkEnd w:id="4"/>
    <w:bookmarkEnd w:id="5"/>
    <w:bookmarkEnd w:id="6"/>
    <w:r>
      <w:rPr>
        <w:color w:val="404040" w:themeColor="text1" w:themeTint="BF"/>
        <w:sz w:val="18"/>
        <w:szCs w:val="18"/>
      </w:rPr>
      <w:t>September 2020</w:t>
    </w:r>
  </w:p>
  <w:p w14:paraId="35A80362" w14:textId="5B3FAC53" w:rsidR="000F2722" w:rsidRPr="000F2722" w:rsidRDefault="000F2722" w:rsidP="000F2722">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61D10"/>
    <w:multiLevelType w:val="hybridMultilevel"/>
    <w:tmpl w:val="6DCC94F8"/>
    <w:lvl w:ilvl="0" w:tplc="95AA07DE">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16149"/>
    <w:multiLevelType w:val="multilevel"/>
    <w:tmpl w:val="13E0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171BC"/>
    <w:multiLevelType w:val="multilevel"/>
    <w:tmpl w:val="0092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6D"/>
    <w:rsid w:val="00005AA6"/>
    <w:rsid w:val="000070BA"/>
    <w:rsid w:val="000173F9"/>
    <w:rsid w:val="00031028"/>
    <w:rsid w:val="0003140E"/>
    <w:rsid w:val="00033F25"/>
    <w:rsid w:val="00037584"/>
    <w:rsid w:val="000436E8"/>
    <w:rsid w:val="000478D1"/>
    <w:rsid w:val="00047DDA"/>
    <w:rsid w:val="000500EE"/>
    <w:rsid w:val="00071F07"/>
    <w:rsid w:val="0007759D"/>
    <w:rsid w:val="000777AB"/>
    <w:rsid w:val="00077F46"/>
    <w:rsid w:val="00090FB1"/>
    <w:rsid w:val="00096186"/>
    <w:rsid w:val="000A0067"/>
    <w:rsid w:val="000A1B0D"/>
    <w:rsid w:val="000A72E4"/>
    <w:rsid w:val="000B0E2F"/>
    <w:rsid w:val="000B2430"/>
    <w:rsid w:val="000B6025"/>
    <w:rsid w:val="000C3721"/>
    <w:rsid w:val="000D0B30"/>
    <w:rsid w:val="000F2722"/>
    <w:rsid w:val="000F703E"/>
    <w:rsid w:val="001112FD"/>
    <w:rsid w:val="001203F3"/>
    <w:rsid w:val="00120E86"/>
    <w:rsid w:val="00125DE9"/>
    <w:rsid w:val="001332E0"/>
    <w:rsid w:val="00134DE7"/>
    <w:rsid w:val="00150338"/>
    <w:rsid w:val="00185354"/>
    <w:rsid w:val="001854DC"/>
    <w:rsid w:val="00194D09"/>
    <w:rsid w:val="001B60AA"/>
    <w:rsid w:val="001C421F"/>
    <w:rsid w:val="001D360D"/>
    <w:rsid w:val="001F32D9"/>
    <w:rsid w:val="00207491"/>
    <w:rsid w:val="0021198A"/>
    <w:rsid w:val="00223018"/>
    <w:rsid w:val="002468CE"/>
    <w:rsid w:val="00254310"/>
    <w:rsid w:val="00261A8D"/>
    <w:rsid w:val="00267026"/>
    <w:rsid w:val="002703D3"/>
    <w:rsid w:val="00283C1C"/>
    <w:rsid w:val="00291A00"/>
    <w:rsid w:val="00291A11"/>
    <w:rsid w:val="002A315C"/>
    <w:rsid w:val="002A3342"/>
    <w:rsid w:val="002A64BA"/>
    <w:rsid w:val="002A732E"/>
    <w:rsid w:val="002B0A48"/>
    <w:rsid w:val="002B4989"/>
    <w:rsid w:val="002C01BE"/>
    <w:rsid w:val="002C6B4C"/>
    <w:rsid w:val="002D714E"/>
    <w:rsid w:val="002E53C3"/>
    <w:rsid w:val="003065CD"/>
    <w:rsid w:val="0034329E"/>
    <w:rsid w:val="00343FAA"/>
    <w:rsid w:val="00346EDB"/>
    <w:rsid w:val="00347EA4"/>
    <w:rsid w:val="00353C98"/>
    <w:rsid w:val="00371A20"/>
    <w:rsid w:val="00385A83"/>
    <w:rsid w:val="00386835"/>
    <w:rsid w:val="00387CE1"/>
    <w:rsid w:val="00391C7E"/>
    <w:rsid w:val="00395ACB"/>
    <w:rsid w:val="003A76FA"/>
    <w:rsid w:val="003A7CEA"/>
    <w:rsid w:val="003B4936"/>
    <w:rsid w:val="003D1458"/>
    <w:rsid w:val="003F0BD3"/>
    <w:rsid w:val="003F278A"/>
    <w:rsid w:val="003F34F4"/>
    <w:rsid w:val="00422EA5"/>
    <w:rsid w:val="00422EFA"/>
    <w:rsid w:val="004342D1"/>
    <w:rsid w:val="004456ED"/>
    <w:rsid w:val="004841B8"/>
    <w:rsid w:val="004930F2"/>
    <w:rsid w:val="004B0EB4"/>
    <w:rsid w:val="004B0F1C"/>
    <w:rsid w:val="004C239B"/>
    <w:rsid w:val="00502DBA"/>
    <w:rsid w:val="005040C4"/>
    <w:rsid w:val="00507637"/>
    <w:rsid w:val="00507852"/>
    <w:rsid w:val="00514DBF"/>
    <w:rsid w:val="005152DD"/>
    <w:rsid w:val="00516B6B"/>
    <w:rsid w:val="00530EED"/>
    <w:rsid w:val="0054343B"/>
    <w:rsid w:val="00545FFC"/>
    <w:rsid w:val="00550921"/>
    <w:rsid w:val="00563712"/>
    <w:rsid w:val="0056490D"/>
    <w:rsid w:val="00573631"/>
    <w:rsid w:val="00573C0B"/>
    <w:rsid w:val="00583B40"/>
    <w:rsid w:val="0058556D"/>
    <w:rsid w:val="00587B36"/>
    <w:rsid w:val="005940AC"/>
    <w:rsid w:val="0059678C"/>
    <w:rsid w:val="00597748"/>
    <w:rsid w:val="005979E8"/>
    <w:rsid w:val="005B0ADA"/>
    <w:rsid w:val="005C29EC"/>
    <w:rsid w:val="005D0AF4"/>
    <w:rsid w:val="005D53A4"/>
    <w:rsid w:val="005E54BD"/>
    <w:rsid w:val="005F6CCA"/>
    <w:rsid w:val="006104AF"/>
    <w:rsid w:val="006209F9"/>
    <w:rsid w:val="00621893"/>
    <w:rsid w:val="00622DE9"/>
    <w:rsid w:val="006351E1"/>
    <w:rsid w:val="006573C4"/>
    <w:rsid w:val="00662775"/>
    <w:rsid w:val="006852FC"/>
    <w:rsid w:val="006900D9"/>
    <w:rsid w:val="006927FB"/>
    <w:rsid w:val="006A1587"/>
    <w:rsid w:val="006B40AB"/>
    <w:rsid w:val="006B5DC5"/>
    <w:rsid w:val="006C38D5"/>
    <w:rsid w:val="006C7D30"/>
    <w:rsid w:val="006E36D7"/>
    <w:rsid w:val="006E3754"/>
    <w:rsid w:val="006E3C08"/>
    <w:rsid w:val="00700A6E"/>
    <w:rsid w:val="00700ACF"/>
    <w:rsid w:val="00712423"/>
    <w:rsid w:val="00712487"/>
    <w:rsid w:val="007530CA"/>
    <w:rsid w:val="007578D9"/>
    <w:rsid w:val="00757E8A"/>
    <w:rsid w:val="00763E43"/>
    <w:rsid w:val="00764EB5"/>
    <w:rsid w:val="00777A95"/>
    <w:rsid w:val="00794549"/>
    <w:rsid w:val="007C0661"/>
    <w:rsid w:val="007D0981"/>
    <w:rsid w:val="007D1929"/>
    <w:rsid w:val="007D27A1"/>
    <w:rsid w:val="00803CF1"/>
    <w:rsid w:val="00806C5E"/>
    <w:rsid w:val="008233B2"/>
    <w:rsid w:val="008249C5"/>
    <w:rsid w:val="00841DFA"/>
    <w:rsid w:val="00850A31"/>
    <w:rsid w:val="008526F9"/>
    <w:rsid w:val="008534D4"/>
    <w:rsid w:val="00855CD2"/>
    <w:rsid w:val="00881950"/>
    <w:rsid w:val="00881E28"/>
    <w:rsid w:val="00894C4B"/>
    <w:rsid w:val="00895EDE"/>
    <w:rsid w:val="008A12E3"/>
    <w:rsid w:val="008A42FA"/>
    <w:rsid w:val="008A59CC"/>
    <w:rsid w:val="008C2335"/>
    <w:rsid w:val="008C41F6"/>
    <w:rsid w:val="008C67C1"/>
    <w:rsid w:val="008E720E"/>
    <w:rsid w:val="008F07D2"/>
    <w:rsid w:val="008F1120"/>
    <w:rsid w:val="009143FB"/>
    <w:rsid w:val="00916682"/>
    <w:rsid w:val="00917F65"/>
    <w:rsid w:val="009311E7"/>
    <w:rsid w:val="009351FA"/>
    <w:rsid w:val="009363F3"/>
    <w:rsid w:val="009764EB"/>
    <w:rsid w:val="009822A2"/>
    <w:rsid w:val="00995E06"/>
    <w:rsid w:val="009A7E3A"/>
    <w:rsid w:val="009B1265"/>
    <w:rsid w:val="009B5693"/>
    <w:rsid w:val="009C78E4"/>
    <w:rsid w:val="009D3F60"/>
    <w:rsid w:val="009D687E"/>
    <w:rsid w:val="009E62C1"/>
    <w:rsid w:val="009E69B3"/>
    <w:rsid w:val="009F6DE7"/>
    <w:rsid w:val="00A04198"/>
    <w:rsid w:val="00A13590"/>
    <w:rsid w:val="00A36C63"/>
    <w:rsid w:val="00A37FCB"/>
    <w:rsid w:val="00A50BD2"/>
    <w:rsid w:val="00A54863"/>
    <w:rsid w:val="00A61D74"/>
    <w:rsid w:val="00A8688B"/>
    <w:rsid w:val="00A87754"/>
    <w:rsid w:val="00A9286F"/>
    <w:rsid w:val="00AA04D1"/>
    <w:rsid w:val="00AA67FF"/>
    <w:rsid w:val="00AB3FDE"/>
    <w:rsid w:val="00AB5964"/>
    <w:rsid w:val="00AB6A7A"/>
    <w:rsid w:val="00AB79A7"/>
    <w:rsid w:val="00AC6E7D"/>
    <w:rsid w:val="00AF5CB4"/>
    <w:rsid w:val="00AF71D6"/>
    <w:rsid w:val="00B0122F"/>
    <w:rsid w:val="00B0265C"/>
    <w:rsid w:val="00B143A0"/>
    <w:rsid w:val="00B15127"/>
    <w:rsid w:val="00B2068D"/>
    <w:rsid w:val="00B3175F"/>
    <w:rsid w:val="00B402D8"/>
    <w:rsid w:val="00B4237C"/>
    <w:rsid w:val="00B42FE8"/>
    <w:rsid w:val="00B4320B"/>
    <w:rsid w:val="00B43FE2"/>
    <w:rsid w:val="00B52AFD"/>
    <w:rsid w:val="00B54077"/>
    <w:rsid w:val="00B74C89"/>
    <w:rsid w:val="00B8087E"/>
    <w:rsid w:val="00BB646E"/>
    <w:rsid w:val="00BC69FA"/>
    <w:rsid w:val="00BD1BA1"/>
    <w:rsid w:val="00BE3A0C"/>
    <w:rsid w:val="00C027F3"/>
    <w:rsid w:val="00C05421"/>
    <w:rsid w:val="00C260EC"/>
    <w:rsid w:val="00C3196E"/>
    <w:rsid w:val="00C35BC4"/>
    <w:rsid w:val="00C43F5B"/>
    <w:rsid w:val="00C44F11"/>
    <w:rsid w:val="00C45B27"/>
    <w:rsid w:val="00C64AD0"/>
    <w:rsid w:val="00C92D5E"/>
    <w:rsid w:val="00CB4371"/>
    <w:rsid w:val="00CB5EBA"/>
    <w:rsid w:val="00CB6AB2"/>
    <w:rsid w:val="00CC48CC"/>
    <w:rsid w:val="00CD3E5C"/>
    <w:rsid w:val="00CD78EF"/>
    <w:rsid w:val="00D123E1"/>
    <w:rsid w:val="00D13FA0"/>
    <w:rsid w:val="00D25112"/>
    <w:rsid w:val="00D26918"/>
    <w:rsid w:val="00D31542"/>
    <w:rsid w:val="00D31E19"/>
    <w:rsid w:val="00D40056"/>
    <w:rsid w:val="00D43F90"/>
    <w:rsid w:val="00D46888"/>
    <w:rsid w:val="00D50231"/>
    <w:rsid w:val="00D54F29"/>
    <w:rsid w:val="00D60151"/>
    <w:rsid w:val="00D70AD9"/>
    <w:rsid w:val="00D72152"/>
    <w:rsid w:val="00D94BA5"/>
    <w:rsid w:val="00D9510F"/>
    <w:rsid w:val="00DB53C9"/>
    <w:rsid w:val="00DD1BC6"/>
    <w:rsid w:val="00DD60D6"/>
    <w:rsid w:val="00DE202C"/>
    <w:rsid w:val="00DE5DC3"/>
    <w:rsid w:val="00DE600D"/>
    <w:rsid w:val="00DE68CB"/>
    <w:rsid w:val="00DF5DBC"/>
    <w:rsid w:val="00E00D8A"/>
    <w:rsid w:val="00E11604"/>
    <w:rsid w:val="00E11D92"/>
    <w:rsid w:val="00E130A0"/>
    <w:rsid w:val="00E1567D"/>
    <w:rsid w:val="00E210C4"/>
    <w:rsid w:val="00E22130"/>
    <w:rsid w:val="00E23614"/>
    <w:rsid w:val="00E66409"/>
    <w:rsid w:val="00E72253"/>
    <w:rsid w:val="00E81D5B"/>
    <w:rsid w:val="00E976B9"/>
    <w:rsid w:val="00EA446A"/>
    <w:rsid w:val="00EA4E88"/>
    <w:rsid w:val="00EA57B9"/>
    <w:rsid w:val="00EB19AD"/>
    <w:rsid w:val="00EB6493"/>
    <w:rsid w:val="00EC32EB"/>
    <w:rsid w:val="00ED05A9"/>
    <w:rsid w:val="00ED3523"/>
    <w:rsid w:val="00F139F2"/>
    <w:rsid w:val="00F17257"/>
    <w:rsid w:val="00F2448A"/>
    <w:rsid w:val="00F34D24"/>
    <w:rsid w:val="00F44B26"/>
    <w:rsid w:val="00F45D42"/>
    <w:rsid w:val="00F461A2"/>
    <w:rsid w:val="00F556A2"/>
    <w:rsid w:val="00F64C56"/>
    <w:rsid w:val="00F8149A"/>
    <w:rsid w:val="00F87203"/>
    <w:rsid w:val="00F878B9"/>
    <w:rsid w:val="00FB24E8"/>
    <w:rsid w:val="00FB3B2B"/>
    <w:rsid w:val="00FC18DA"/>
    <w:rsid w:val="00FC3917"/>
    <w:rsid w:val="00FD3CAF"/>
    <w:rsid w:val="00FD60DA"/>
    <w:rsid w:val="00FE59A8"/>
    <w:rsid w:val="00FF0241"/>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E043C"/>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C0B"/>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AB59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573C0B"/>
    <w:pPr>
      <w:pBdr>
        <w:bottom w:val="single" w:sz="12" w:space="4" w:color="DDDDDD"/>
      </w:pBdr>
      <w:shd w:val="clear" w:color="auto" w:fill="FFFFFF"/>
      <w:spacing w:after="0"/>
      <w:outlineLvl w:val="2"/>
    </w:pPr>
    <w:rPr>
      <w:rFonts w:eastAsia="Times New Roman" w:cs="Times New Roman"/>
      <w:color w:val="1C75BC"/>
      <w:sz w:val="36"/>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573C0B"/>
    <w:rPr>
      <w:rFonts w:eastAsia="Times New Roman" w:cs="Times New Roman"/>
      <w:color w:val="1C75BC"/>
      <w:sz w:val="36"/>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573C0B"/>
    <w:pPr>
      <w:shd w:val="clear" w:color="auto" w:fill="F5F5F5"/>
      <w:spacing w:after="0"/>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573C0B"/>
    <w:pPr>
      <w:shd w:val="clear" w:color="auto" w:fill="F5F5F5"/>
      <w:spacing w:after="0"/>
      <w:outlineLvl w:val="1"/>
    </w:pPr>
    <w:rPr>
      <w:rFonts w:eastAsia="Times New Roman" w:cs="Times New Roman"/>
      <w:color w:val="1C75BC"/>
      <w:lang w:eastAsia="en-GB"/>
    </w:rPr>
  </w:style>
  <w:style w:type="character" w:customStyle="1" w:styleId="MGTHeaderChar">
    <w:name w:val="M.G+T.Header Char"/>
    <w:basedOn w:val="DefaultParagraphFont"/>
    <w:link w:val="MGTHeader"/>
    <w:rsid w:val="00573C0B"/>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573C0B"/>
    <w:rPr>
      <w:rFonts w:eastAsia="Times New Roman" w:cs="Times New Roman"/>
      <w:color w:val="1C75BC"/>
      <w:shd w:val="clear" w:color="auto" w:fill="F5F5F5"/>
      <w:lang w:eastAsia="en-GB"/>
    </w:rPr>
  </w:style>
  <w:style w:type="paragraph" w:customStyle="1" w:styleId="EndNoteBibliography">
    <w:name w:val="EndNote Bibliography"/>
    <w:basedOn w:val="Normal"/>
    <w:link w:val="EndNoteBibliographyChar"/>
    <w:rsid w:val="00DF5DB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F5DBC"/>
    <w:rPr>
      <w:rFonts w:ascii="Calibri" w:hAnsi="Calibri" w:cs="Calibri"/>
      <w:noProof/>
    </w:rPr>
  </w:style>
  <w:style w:type="character" w:styleId="Strong">
    <w:name w:val="Strong"/>
    <w:basedOn w:val="DefaultParagraphFont"/>
    <w:uiPriority w:val="22"/>
    <w:qFormat/>
    <w:rsid w:val="00DF5DBC"/>
    <w:rPr>
      <w:b/>
      <w:bCs/>
    </w:rPr>
  </w:style>
  <w:style w:type="character" w:customStyle="1" w:styleId="person">
    <w:name w:val="person"/>
    <w:basedOn w:val="DefaultParagraphFont"/>
    <w:rsid w:val="00DF5DBC"/>
  </w:style>
  <w:style w:type="paragraph" w:styleId="FootnoteText">
    <w:name w:val="footnote text"/>
    <w:basedOn w:val="Normal"/>
    <w:link w:val="FootnoteTextChar"/>
    <w:uiPriority w:val="99"/>
    <w:semiHidden/>
    <w:unhideWhenUsed/>
    <w:rsid w:val="00823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3B2"/>
    <w:rPr>
      <w:sz w:val="20"/>
      <w:szCs w:val="20"/>
    </w:rPr>
  </w:style>
  <w:style w:type="character" w:styleId="FootnoteReference">
    <w:name w:val="footnote reference"/>
    <w:basedOn w:val="DefaultParagraphFont"/>
    <w:uiPriority w:val="99"/>
    <w:semiHidden/>
    <w:unhideWhenUsed/>
    <w:rsid w:val="008233B2"/>
    <w:rPr>
      <w:vertAlign w:val="superscript"/>
    </w:rPr>
  </w:style>
  <w:style w:type="character" w:customStyle="1" w:styleId="Heading2Char">
    <w:name w:val="Heading 2 Char"/>
    <w:basedOn w:val="DefaultParagraphFont"/>
    <w:link w:val="Heading2"/>
    <w:uiPriority w:val="9"/>
    <w:semiHidden/>
    <w:rsid w:val="00AB5964"/>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7C0661"/>
    <w:pPr>
      <w:spacing w:after="0" w:line="240" w:lineRule="auto"/>
    </w:pPr>
  </w:style>
  <w:style w:type="character" w:styleId="FollowedHyperlink">
    <w:name w:val="FollowedHyperlink"/>
    <w:basedOn w:val="DefaultParagraphFont"/>
    <w:uiPriority w:val="99"/>
    <w:semiHidden/>
    <w:unhideWhenUsed/>
    <w:rsid w:val="00C05421"/>
    <w:rPr>
      <w:color w:val="800080" w:themeColor="followedHyperlink"/>
      <w:u w:val="single"/>
    </w:rPr>
  </w:style>
  <w:style w:type="character" w:styleId="UnresolvedMention">
    <w:name w:val="Unresolved Mention"/>
    <w:basedOn w:val="DefaultParagraphFont"/>
    <w:uiPriority w:val="99"/>
    <w:semiHidden/>
    <w:unhideWhenUsed/>
    <w:rsid w:val="00346E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9381">
      <w:bodyDiv w:val="1"/>
      <w:marLeft w:val="0"/>
      <w:marRight w:val="0"/>
      <w:marTop w:val="0"/>
      <w:marBottom w:val="0"/>
      <w:divBdr>
        <w:top w:val="none" w:sz="0" w:space="0" w:color="auto"/>
        <w:left w:val="none" w:sz="0" w:space="0" w:color="auto"/>
        <w:bottom w:val="none" w:sz="0" w:space="0" w:color="auto"/>
        <w:right w:val="none" w:sz="0" w:space="0" w:color="auto"/>
      </w:divBdr>
    </w:div>
    <w:div w:id="1244102258">
      <w:bodyDiv w:val="1"/>
      <w:marLeft w:val="0"/>
      <w:marRight w:val="0"/>
      <w:marTop w:val="0"/>
      <w:marBottom w:val="0"/>
      <w:divBdr>
        <w:top w:val="none" w:sz="0" w:space="0" w:color="auto"/>
        <w:left w:val="none" w:sz="0" w:space="0" w:color="auto"/>
        <w:bottom w:val="none" w:sz="0" w:space="0" w:color="auto"/>
        <w:right w:val="none" w:sz="0" w:space="0" w:color="auto"/>
      </w:divBdr>
    </w:div>
    <w:div w:id="1777865297">
      <w:bodyDiv w:val="1"/>
      <w:marLeft w:val="0"/>
      <w:marRight w:val="0"/>
      <w:marTop w:val="0"/>
      <w:marBottom w:val="0"/>
      <w:divBdr>
        <w:top w:val="none" w:sz="0" w:space="0" w:color="auto"/>
        <w:left w:val="none" w:sz="0" w:space="0" w:color="auto"/>
        <w:bottom w:val="none" w:sz="0" w:space="0" w:color="auto"/>
        <w:right w:val="none" w:sz="0" w:space="0" w:color="auto"/>
      </w:divBdr>
    </w:div>
    <w:div w:id="18091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www.who.int/gho/glass/en/" TargetMode="External"/><Relationship Id="rId2" Type="http://schemas.openxmlformats.org/officeDocument/2006/relationships/customXml" Target="../customXml/item2.xml"/><Relationship Id="rId16" Type="http://schemas.openxmlformats.org/officeDocument/2006/relationships/hyperlink" Target="http://www.who.int/glass/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glass/en/" TargetMode="External"/><Relationship Id="rId7" Type="http://schemas.openxmlformats.org/officeDocument/2006/relationships/hyperlink" Target="https://apps.who.int/iris/bitstream/handle/10665/279656/9789241515061-eng.pdf" TargetMode="External"/><Relationship Id="rId2" Type="http://schemas.openxmlformats.org/officeDocument/2006/relationships/hyperlink" Target="https://clsi.org/standards/products/microbiology/documents/m100/" TargetMode="External"/><Relationship Id="rId1" Type="http://schemas.openxmlformats.org/officeDocument/2006/relationships/hyperlink" Target="http://www.eucast.org/fileadmin/src/media/PDFs/EUCAST_files/Resistance_mechanisms/EUCAST_detection_of_resistance_mechanisms_170711.pdf" TargetMode="External"/><Relationship Id="rId6" Type="http://schemas.openxmlformats.org/officeDocument/2006/relationships/hyperlink" Target="https://www.who.int/antimicrobial-resistance/publications/surveillance-system-manual/en/" TargetMode="External"/><Relationship Id="rId5" Type="http://schemas.openxmlformats.org/officeDocument/2006/relationships/hyperlink" Target="https://www.who.int/glass/resources/publications/national-surveillance-guide/en/" TargetMode="External"/><Relationship Id="rId4" Type="http://schemas.openxmlformats.org/officeDocument/2006/relationships/hyperlink" Target="https://apps.who.int/iris/bitstream/handle/10665/279656/9789241515061-eng.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C90C95-A314-4023-A091-AB1E7BF32798}" type="doc">
      <dgm:prSet loTypeId="urn:microsoft.com/office/officeart/2005/8/layout/target3" loCatId="relationship" qsTypeId="urn:microsoft.com/office/officeart/2005/8/quickstyle/simple1" qsCatId="simple" csTypeId="urn:microsoft.com/office/officeart/2005/8/colors/colorful5" csCatId="colorful" phldr="1"/>
      <dgm:spPr/>
      <dgm:t>
        <a:bodyPr/>
        <a:lstStyle/>
        <a:p>
          <a:endParaRPr lang="en-GB"/>
        </a:p>
      </dgm:t>
    </dgm:pt>
    <dgm:pt modelId="{BAD1CFC2-D6E9-4CD1-988C-174EAF0BE62C}">
      <dgm:prSet phldrT="[Text]" custT="1"/>
      <dgm:spPr/>
      <dgm:t>
        <a:bodyPr/>
        <a:lstStyle/>
        <a:p>
          <a:r>
            <a:rPr lang="en-GB" sz="1400" b="1" dirty="0"/>
            <a:t>Total population = total population in the catchment area</a:t>
          </a:r>
        </a:p>
      </dgm:t>
    </dgm:pt>
    <dgm:pt modelId="{A46C0290-E912-42AA-82EE-0269F38FDEE9}" type="parTrans" cxnId="{543B6F41-382A-45A9-A353-B10E7D1ACF48}">
      <dgm:prSet/>
      <dgm:spPr/>
      <dgm:t>
        <a:bodyPr/>
        <a:lstStyle/>
        <a:p>
          <a:endParaRPr lang="en-GB" sz="2400" b="1"/>
        </a:p>
      </dgm:t>
    </dgm:pt>
    <dgm:pt modelId="{687FD526-0CC5-4A04-B05C-4324FBD8ADE6}" type="sibTrans" cxnId="{543B6F41-382A-45A9-A353-B10E7D1ACF48}">
      <dgm:prSet/>
      <dgm:spPr/>
      <dgm:t>
        <a:bodyPr/>
        <a:lstStyle/>
        <a:p>
          <a:endParaRPr lang="en-GB" sz="2400" b="1"/>
        </a:p>
      </dgm:t>
    </dgm:pt>
    <dgm:pt modelId="{FAB60642-F2E5-495A-AC2B-BC3E53C8BFEB}">
      <dgm:prSet phldrT="[Text]" custT="1"/>
      <dgm:spPr/>
      <dgm:t>
        <a:bodyPr/>
        <a:lstStyle/>
        <a:p>
          <a:r>
            <a:rPr lang="en-GB" sz="1400" b="1" dirty="0"/>
            <a:t>Patients w/ symptoms = those that seek care at healthcare facilities (HCF) + those who don't</a:t>
          </a:r>
        </a:p>
      </dgm:t>
    </dgm:pt>
    <dgm:pt modelId="{705A026E-4E81-4608-8297-A7B2F0259AD0}" type="parTrans" cxnId="{D782E4ED-11AE-4C4D-A5A2-8ABD0CFA63B8}">
      <dgm:prSet/>
      <dgm:spPr/>
      <dgm:t>
        <a:bodyPr/>
        <a:lstStyle/>
        <a:p>
          <a:endParaRPr lang="en-GB" sz="2400" b="1"/>
        </a:p>
      </dgm:t>
    </dgm:pt>
    <dgm:pt modelId="{32871175-C1A6-4F5E-9C0C-E149189D6974}" type="sibTrans" cxnId="{D782E4ED-11AE-4C4D-A5A2-8ABD0CFA63B8}">
      <dgm:prSet/>
      <dgm:spPr/>
      <dgm:t>
        <a:bodyPr/>
        <a:lstStyle/>
        <a:p>
          <a:endParaRPr lang="en-GB" sz="2400" b="1"/>
        </a:p>
      </dgm:t>
    </dgm:pt>
    <dgm:pt modelId="{20B9781C-78F4-4411-9BA1-7E23002EF054}">
      <dgm:prSet phldrT="[Text]" custT="1"/>
      <dgm:spPr/>
      <dgm:t>
        <a:bodyPr/>
        <a:lstStyle/>
        <a:p>
          <a:r>
            <a:rPr lang="en-GB" sz="1400" b="1" dirty="0"/>
            <a:t>Patients with symptoms seeking care at HCF</a:t>
          </a:r>
        </a:p>
      </dgm:t>
    </dgm:pt>
    <dgm:pt modelId="{930A78C8-2B35-4E71-B931-2FA4734621F5}" type="parTrans" cxnId="{8272B4D5-24C2-4579-98C1-ED2BC5D74E7A}">
      <dgm:prSet/>
      <dgm:spPr/>
      <dgm:t>
        <a:bodyPr/>
        <a:lstStyle/>
        <a:p>
          <a:endParaRPr lang="en-GB" sz="2400" b="1"/>
        </a:p>
      </dgm:t>
    </dgm:pt>
    <dgm:pt modelId="{92861449-75EA-4252-85BF-7FC19AA04A92}" type="sibTrans" cxnId="{8272B4D5-24C2-4579-98C1-ED2BC5D74E7A}">
      <dgm:prSet/>
      <dgm:spPr/>
      <dgm:t>
        <a:bodyPr/>
        <a:lstStyle/>
        <a:p>
          <a:endParaRPr lang="en-GB" sz="2400" b="1"/>
        </a:p>
      </dgm:t>
    </dgm:pt>
    <dgm:pt modelId="{F2E6B0E9-1822-40D7-84D5-EA22F8766E5C}">
      <dgm:prSet phldrT="[Text]" custT="1"/>
      <dgm:spPr/>
      <dgm:t>
        <a:bodyPr/>
        <a:lstStyle/>
        <a:p>
          <a:r>
            <a:rPr lang="en-GB" sz="1400" b="1" dirty="0"/>
            <a:t>Patients cared for at HCF that has had blood samples taken and tested</a:t>
          </a:r>
        </a:p>
      </dgm:t>
    </dgm:pt>
    <dgm:pt modelId="{E9321F6F-AE1E-4142-B597-27E101119804}" type="parTrans" cxnId="{3E216031-0022-4356-925A-59A5B888088E}">
      <dgm:prSet/>
      <dgm:spPr/>
      <dgm:t>
        <a:bodyPr/>
        <a:lstStyle/>
        <a:p>
          <a:endParaRPr lang="en-GB" sz="2400" b="1"/>
        </a:p>
      </dgm:t>
    </dgm:pt>
    <dgm:pt modelId="{F37F5067-9EAD-4770-9730-7E7D2F0C06CE}" type="sibTrans" cxnId="{3E216031-0022-4356-925A-59A5B888088E}">
      <dgm:prSet/>
      <dgm:spPr/>
      <dgm:t>
        <a:bodyPr/>
        <a:lstStyle/>
        <a:p>
          <a:endParaRPr lang="en-GB" sz="2400" b="1"/>
        </a:p>
      </dgm:t>
    </dgm:pt>
    <dgm:pt modelId="{86DAFBDB-B14A-4FFA-BA8F-9A936B6B74F8}">
      <dgm:prSet phldrT="[Text]" custT="1"/>
      <dgm:spPr/>
      <dgm:t>
        <a:bodyPr/>
        <a:lstStyle/>
        <a:p>
          <a:r>
            <a:rPr lang="en-GB" sz="1400" b="1"/>
            <a:t>Patients with growth of </a:t>
          </a:r>
          <a:r>
            <a:rPr lang="en-GB" sz="1400" b="1" i="1"/>
            <a:t>S. aureus </a:t>
          </a:r>
          <a:r>
            <a:rPr lang="en-GB" sz="1400" b="1"/>
            <a:t>or</a:t>
          </a:r>
          <a:r>
            <a:rPr lang="en-GB" sz="1400" b="1" i="1"/>
            <a:t> E. coli</a:t>
          </a:r>
          <a:r>
            <a:rPr lang="en-GB" sz="1400" b="1"/>
            <a:t> in tested blood samples (denominator)</a:t>
          </a:r>
          <a:endParaRPr lang="en-GB" sz="1400" b="1" dirty="0"/>
        </a:p>
      </dgm:t>
    </dgm:pt>
    <dgm:pt modelId="{ED9FB0B2-7A71-4C49-82AA-906C5249857F}" type="parTrans" cxnId="{02BCAFAD-FA11-46F5-9754-F527B2946832}">
      <dgm:prSet/>
      <dgm:spPr/>
      <dgm:t>
        <a:bodyPr/>
        <a:lstStyle/>
        <a:p>
          <a:endParaRPr lang="en-US"/>
        </a:p>
      </dgm:t>
    </dgm:pt>
    <dgm:pt modelId="{E4367403-EE7D-4C03-A276-F89FF3C6FF07}" type="sibTrans" cxnId="{02BCAFAD-FA11-46F5-9754-F527B2946832}">
      <dgm:prSet/>
      <dgm:spPr/>
      <dgm:t>
        <a:bodyPr/>
        <a:lstStyle/>
        <a:p>
          <a:endParaRPr lang="en-US"/>
        </a:p>
      </dgm:t>
    </dgm:pt>
    <dgm:pt modelId="{3C427096-F3F3-4B34-BFCE-FF56269CEF1E}">
      <dgm:prSet phldrT="[Text]" custT="1"/>
      <dgm:spPr/>
      <dgm:t>
        <a:bodyPr/>
        <a:lstStyle/>
        <a:p>
          <a:r>
            <a:rPr lang="en-GB" sz="1400" b="1"/>
            <a:t>Patients with growth of resistant </a:t>
          </a:r>
          <a:r>
            <a:rPr lang="en-GB" sz="1400" b="1" i="1"/>
            <a:t>S. aureus </a:t>
          </a:r>
          <a:r>
            <a:rPr lang="en-GB" sz="1400" b="1"/>
            <a:t>or</a:t>
          </a:r>
          <a:r>
            <a:rPr lang="en-GB" sz="1400" b="1" i="1"/>
            <a:t> E. coli</a:t>
          </a:r>
          <a:r>
            <a:rPr lang="en-GB" sz="1400" b="1"/>
            <a:t> in tested blood samples (numerator)</a:t>
          </a:r>
          <a:endParaRPr lang="en-GB" sz="1400" b="1" dirty="0"/>
        </a:p>
      </dgm:t>
    </dgm:pt>
    <dgm:pt modelId="{07180C91-FE98-48E3-9B0A-7ED02FFA2B6A}" type="parTrans" cxnId="{DB6687FF-F409-4CE1-BD45-6D2FCF66B1B9}">
      <dgm:prSet/>
      <dgm:spPr/>
      <dgm:t>
        <a:bodyPr/>
        <a:lstStyle/>
        <a:p>
          <a:endParaRPr lang="en-US"/>
        </a:p>
      </dgm:t>
    </dgm:pt>
    <dgm:pt modelId="{ADE9F3D5-1B71-419A-909D-4536017D99B0}" type="sibTrans" cxnId="{DB6687FF-F409-4CE1-BD45-6D2FCF66B1B9}">
      <dgm:prSet/>
      <dgm:spPr/>
      <dgm:t>
        <a:bodyPr/>
        <a:lstStyle/>
        <a:p>
          <a:endParaRPr lang="en-US"/>
        </a:p>
      </dgm:t>
    </dgm:pt>
    <dgm:pt modelId="{A115EC4A-ADB8-405F-AE88-535C33CB32C5}" type="pres">
      <dgm:prSet presAssocID="{4FC90C95-A314-4023-A091-AB1E7BF32798}" presName="Name0" presStyleCnt="0">
        <dgm:presLayoutVars>
          <dgm:chMax val="7"/>
          <dgm:dir/>
          <dgm:animLvl val="lvl"/>
          <dgm:resizeHandles val="exact"/>
        </dgm:presLayoutVars>
      </dgm:prSet>
      <dgm:spPr/>
    </dgm:pt>
    <dgm:pt modelId="{6FE3EA94-4352-4B4E-857C-643538FCF659}" type="pres">
      <dgm:prSet presAssocID="{BAD1CFC2-D6E9-4CD1-988C-174EAF0BE62C}" presName="circle1" presStyleLbl="node1" presStyleIdx="0" presStyleCnt="6" custScaleY="103890"/>
      <dgm:spPr/>
    </dgm:pt>
    <dgm:pt modelId="{A5505BFA-DFA1-4489-AD3D-142495D5AE86}" type="pres">
      <dgm:prSet presAssocID="{BAD1CFC2-D6E9-4CD1-988C-174EAF0BE62C}" presName="space" presStyleCnt="0"/>
      <dgm:spPr/>
    </dgm:pt>
    <dgm:pt modelId="{9E42D7A6-17E2-4342-918D-7DA65CA743E6}" type="pres">
      <dgm:prSet presAssocID="{BAD1CFC2-D6E9-4CD1-988C-174EAF0BE62C}" presName="rect1" presStyleLbl="alignAcc1" presStyleIdx="0" presStyleCnt="6" custScaleY="101920"/>
      <dgm:spPr/>
    </dgm:pt>
    <dgm:pt modelId="{7933388C-9D2B-4474-922F-293454552038}" type="pres">
      <dgm:prSet presAssocID="{FAB60642-F2E5-495A-AC2B-BC3E53C8BFEB}" presName="vertSpace2" presStyleLbl="node1" presStyleIdx="0" presStyleCnt="6"/>
      <dgm:spPr/>
    </dgm:pt>
    <dgm:pt modelId="{E0BC40F0-5CC5-4015-A92D-D2BC2570D7A6}" type="pres">
      <dgm:prSet presAssocID="{FAB60642-F2E5-495A-AC2B-BC3E53C8BFEB}" presName="circle2" presStyleLbl="node1" presStyleIdx="1" presStyleCnt="6"/>
      <dgm:spPr/>
    </dgm:pt>
    <dgm:pt modelId="{58B11A80-A042-464C-810F-88AFE1D88946}" type="pres">
      <dgm:prSet presAssocID="{FAB60642-F2E5-495A-AC2B-BC3E53C8BFEB}" presName="rect2" presStyleLbl="alignAcc1" presStyleIdx="1" presStyleCnt="6" custScaleY="99990"/>
      <dgm:spPr/>
    </dgm:pt>
    <dgm:pt modelId="{76BD143E-3792-46B8-BF3C-340C6D67C3C5}" type="pres">
      <dgm:prSet presAssocID="{20B9781C-78F4-4411-9BA1-7E23002EF054}" presName="vertSpace3" presStyleLbl="node1" presStyleIdx="1" presStyleCnt="6"/>
      <dgm:spPr/>
    </dgm:pt>
    <dgm:pt modelId="{B3D61EB8-2742-42EA-84A1-366F5125E6FD}" type="pres">
      <dgm:prSet presAssocID="{20B9781C-78F4-4411-9BA1-7E23002EF054}" presName="circle3" presStyleLbl="node1" presStyleIdx="2" presStyleCnt="6"/>
      <dgm:spPr/>
    </dgm:pt>
    <dgm:pt modelId="{76CF3D19-9B06-4A02-A09E-0F7098C71039}" type="pres">
      <dgm:prSet presAssocID="{20B9781C-78F4-4411-9BA1-7E23002EF054}" presName="rect3" presStyleLbl="alignAcc1" presStyleIdx="2" presStyleCnt="6"/>
      <dgm:spPr/>
    </dgm:pt>
    <dgm:pt modelId="{10A46DE4-F803-46B9-BCDE-01E0509503AC}" type="pres">
      <dgm:prSet presAssocID="{F2E6B0E9-1822-40D7-84D5-EA22F8766E5C}" presName="vertSpace4" presStyleLbl="node1" presStyleIdx="2" presStyleCnt="6"/>
      <dgm:spPr/>
    </dgm:pt>
    <dgm:pt modelId="{15211B09-23CD-4B47-A8A0-F2C28CA634D3}" type="pres">
      <dgm:prSet presAssocID="{F2E6B0E9-1822-40D7-84D5-EA22F8766E5C}" presName="circle4" presStyleLbl="node1" presStyleIdx="3" presStyleCnt="6"/>
      <dgm:spPr/>
    </dgm:pt>
    <dgm:pt modelId="{DA841ABB-7388-4723-8293-D336503C7278}" type="pres">
      <dgm:prSet presAssocID="{F2E6B0E9-1822-40D7-84D5-EA22F8766E5C}" presName="rect4" presStyleLbl="alignAcc1" presStyleIdx="3" presStyleCnt="6"/>
      <dgm:spPr/>
    </dgm:pt>
    <dgm:pt modelId="{B655500C-B1D0-4727-8AEC-27766363BB32}" type="pres">
      <dgm:prSet presAssocID="{86DAFBDB-B14A-4FFA-BA8F-9A936B6B74F8}" presName="vertSpace5" presStyleLbl="node1" presStyleIdx="3" presStyleCnt="6"/>
      <dgm:spPr/>
    </dgm:pt>
    <dgm:pt modelId="{A580774E-18D0-42F5-883A-841E35BF8211}" type="pres">
      <dgm:prSet presAssocID="{86DAFBDB-B14A-4FFA-BA8F-9A936B6B74F8}" presName="circle5" presStyleLbl="node1" presStyleIdx="4" presStyleCnt="6"/>
      <dgm:spPr/>
    </dgm:pt>
    <dgm:pt modelId="{016A8C9C-16C7-4DF8-AA38-4747EF8061A4}" type="pres">
      <dgm:prSet presAssocID="{86DAFBDB-B14A-4FFA-BA8F-9A936B6B74F8}" presName="rect5" presStyleLbl="alignAcc1" presStyleIdx="4" presStyleCnt="6"/>
      <dgm:spPr/>
    </dgm:pt>
    <dgm:pt modelId="{3428A479-BA08-4655-A953-51DD42F9CD2F}" type="pres">
      <dgm:prSet presAssocID="{3C427096-F3F3-4B34-BFCE-FF56269CEF1E}" presName="vertSpace6" presStyleLbl="node1" presStyleIdx="4" presStyleCnt="6"/>
      <dgm:spPr/>
    </dgm:pt>
    <dgm:pt modelId="{FD914F9A-BDEE-4DF9-AC06-EE1141EBD06E}" type="pres">
      <dgm:prSet presAssocID="{3C427096-F3F3-4B34-BFCE-FF56269CEF1E}" presName="circle6" presStyleLbl="node1" presStyleIdx="5" presStyleCnt="6"/>
      <dgm:spPr/>
    </dgm:pt>
    <dgm:pt modelId="{819ECDB8-1363-4276-A8D3-35CFE96CDBAD}" type="pres">
      <dgm:prSet presAssocID="{3C427096-F3F3-4B34-BFCE-FF56269CEF1E}" presName="rect6" presStyleLbl="alignAcc1" presStyleIdx="5" presStyleCnt="6" custLinFactNeighborY="2692"/>
      <dgm:spPr/>
    </dgm:pt>
    <dgm:pt modelId="{D6A0E0D9-26DF-4AAE-9539-8333D805A2E9}" type="pres">
      <dgm:prSet presAssocID="{BAD1CFC2-D6E9-4CD1-988C-174EAF0BE62C}" presName="rect1ParTxNoCh" presStyleLbl="alignAcc1" presStyleIdx="5" presStyleCnt="6">
        <dgm:presLayoutVars>
          <dgm:chMax val="1"/>
          <dgm:bulletEnabled val="1"/>
        </dgm:presLayoutVars>
      </dgm:prSet>
      <dgm:spPr/>
    </dgm:pt>
    <dgm:pt modelId="{323CE37F-8F5A-4781-961C-EBE46FECD819}" type="pres">
      <dgm:prSet presAssocID="{FAB60642-F2E5-495A-AC2B-BC3E53C8BFEB}" presName="rect2ParTxNoCh" presStyleLbl="alignAcc1" presStyleIdx="5" presStyleCnt="6">
        <dgm:presLayoutVars>
          <dgm:chMax val="1"/>
          <dgm:bulletEnabled val="1"/>
        </dgm:presLayoutVars>
      </dgm:prSet>
      <dgm:spPr/>
    </dgm:pt>
    <dgm:pt modelId="{1A176538-3B36-410C-9647-1B8953ECDE61}" type="pres">
      <dgm:prSet presAssocID="{20B9781C-78F4-4411-9BA1-7E23002EF054}" presName="rect3ParTxNoCh" presStyleLbl="alignAcc1" presStyleIdx="5" presStyleCnt="6">
        <dgm:presLayoutVars>
          <dgm:chMax val="1"/>
          <dgm:bulletEnabled val="1"/>
        </dgm:presLayoutVars>
      </dgm:prSet>
      <dgm:spPr/>
    </dgm:pt>
    <dgm:pt modelId="{FA6BE9CF-3595-46E7-9B4E-A46A4E224F2C}" type="pres">
      <dgm:prSet presAssocID="{F2E6B0E9-1822-40D7-84D5-EA22F8766E5C}" presName="rect4ParTxNoCh" presStyleLbl="alignAcc1" presStyleIdx="5" presStyleCnt="6">
        <dgm:presLayoutVars>
          <dgm:chMax val="1"/>
          <dgm:bulletEnabled val="1"/>
        </dgm:presLayoutVars>
      </dgm:prSet>
      <dgm:spPr/>
    </dgm:pt>
    <dgm:pt modelId="{98D963EB-E364-4A2A-B4BF-023B2AFC5824}" type="pres">
      <dgm:prSet presAssocID="{86DAFBDB-B14A-4FFA-BA8F-9A936B6B74F8}" presName="rect5ParTxNoCh" presStyleLbl="alignAcc1" presStyleIdx="5" presStyleCnt="6">
        <dgm:presLayoutVars>
          <dgm:chMax val="1"/>
          <dgm:bulletEnabled val="1"/>
        </dgm:presLayoutVars>
      </dgm:prSet>
      <dgm:spPr/>
    </dgm:pt>
    <dgm:pt modelId="{178B2FFE-E114-48E7-AA7B-B13E4C189EEC}" type="pres">
      <dgm:prSet presAssocID="{3C427096-F3F3-4B34-BFCE-FF56269CEF1E}" presName="rect6ParTxNoCh" presStyleLbl="alignAcc1" presStyleIdx="5" presStyleCnt="6">
        <dgm:presLayoutVars>
          <dgm:chMax val="1"/>
          <dgm:bulletEnabled val="1"/>
        </dgm:presLayoutVars>
      </dgm:prSet>
      <dgm:spPr/>
    </dgm:pt>
  </dgm:ptLst>
  <dgm:cxnLst>
    <dgm:cxn modelId="{A40C270B-D12D-4E62-9221-A1194A81C5B3}" type="presOf" srcId="{FAB60642-F2E5-495A-AC2B-BC3E53C8BFEB}" destId="{58B11A80-A042-464C-810F-88AFE1D88946}" srcOrd="0" destOrd="0" presId="urn:microsoft.com/office/officeart/2005/8/layout/target3"/>
    <dgm:cxn modelId="{3E216031-0022-4356-925A-59A5B888088E}" srcId="{4FC90C95-A314-4023-A091-AB1E7BF32798}" destId="{F2E6B0E9-1822-40D7-84D5-EA22F8766E5C}" srcOrd="3" destOrd="0" parTransId="{E9321F6F-AE1E-4142-B597-27E101119804}" sibTransId="{F37F5067-9EAD-4770-9730-7E7D2F0C06CE}"/>
    <dgm:cxn modelId="{543B6F41-382A-45A9-A353-B10E7D1ACF48}" srcId="{4FC90C95-A314-4023-A091-AB1E7BF32798}" destId="{BAD1CFC2-D6E9-4CD1-988C-174EAF0BE62C}" srcOrd="0" destOrd="0" parTransId="{A46C0290-E912-42AA-82EE-0269F38FDEE9}" sibTransId="{687FD526-0CC5-4A04-B05C-4324FBD8ADE6}"/>
    <dgm:cxn modelId="{0488EE47-552B-467B-8201-FB71F22B63CF}" type="presOf" srcId="{86DAFBDB-B14A-4FFA-BA8F-9A936B6B74F8}" destId="{016A8C9C-16C7-4DF8-AA38-4747EF8061A4}" srcOrd="0" destOrd="0" presId="urn:microsoft.com/office/officeart/2005/8/layout/target3"/>
    <dgm:cxn modelId="{6291A768-8294-49FD-BD46-754246227AB1}" type="presOf" srcId="{20B9781C-78F4-4411-9BA1-7E23002EF054}" destId="{76CF3D19-9B06-4A02-A09E-0F7098C71039}" srcOrd="0" destOrd="0" presId="urn:microsoft.com/office/officeart/2005/8/layout/target3"/>
    <dgm:cxn modelId="{BD541C53-3DD6-4C9A-9EFD-EF154950B43B}" type="presOf" srcId="{3C427096-F3F3-4B34-BFCE-FF56269CEF1E}" destId="{178B2FFE-E114-48E7-AA7B-B13E4C189EEC}" srcOrd="1" destOrd="0" presId="urn:microsoft.com/office/officeart/2005/8/layout/target3"/>
    <dgm:cxn modelId="{16ED1875-987D-4763-B563-8DCA203B46AB}" type="presOf" srcId="{BAD1CFC2-D6E9-4CD1-988C-174EAF0BE62C}" destId="{9E42D7A6-17E2-4342-918D-7DA65CA743E6}" srcOrd="0" destOrd="0" presId="urn:microsoft.com/office/officeart/2005/8/layout/target3"/>
    <dgm:cxn modelId="{DA0A4B55-12C8-447A-A7EF-9FD169CDD4E3}" type="presOf" srcId="{86DAFBDB-B14A-4FFA-BA8F-9A936B6B74F8}" destId="{98D963EB-E364-4A2A-B4BF-023B2AFC5824}" srcOrd="1" destOrd="0" presId="urn:microsoft.com/office/officeart/2005/8/layout/target3"/>
    <dgm:cxn modelId="{4597F876-DEBB-429E-8346-3335B55E75ED}" type="presOf" srcId="{4FC90C95-A314-4023-A091-AB1E7BF32798}" destId="{A115EC4A-ADB8-405F-AE88-535C33CB32C5}" srcOrd="0" destOrd="0" presId="urn:microsoft.com/office/officeart/2005/8/layout/target3"/>
    <dgm:cxn modelId="{D3CDFE7B-B403-4456-A381-2F3F999A0FAC}" type="presOf" srcId="{BAD1CFC2-D6E9-4CD1-988C-174EAF0BE62C}" destId="{D6A0E0D9-26DF-4AAE-9539-8333D805A2E9}" srcOrd="1" destOrd="0" presId="urn:microsoft.com/office/officeart/2005/8/layout/target3"/>
    <dgm:cxn modelId="{360C8087-DCD6-40EF-8CDA-12F6C7DD46CA}" type="presOf" srcId="{FAB60642-F2E5-495A-AC2B-BC3E53C8BFEB}" destId="{323CE37F-8F5A-4781-961C-EBE46FECD819}" srcOrd="1" destOrd="0" presId="urn:microsoft.com/office/officeart/2005/8/layout/target3"/>
    <dgm:cxn modelId="{02BCAFAD-FA11-46F5-9754-F527B2946832}" srcId="{4FC90C95-A314-4023-A091-AB1E7BF32798}" destId="{86DAFBDB-B14A-4FFA-BA8F-9A936B6B74F8}" srcOrd="4" destOrd="0" parTransId="{ED9FB0B2-7A71-4C49-82AA-906C5249857F}" sibTransId="{E4367403-EE7D-4C03-A276-F89FF3C6FF07}"/>
    <dgm:cxn modelId="{413AEBAF-8B43-4734-A1AA-956F60D99F41}" type="presOf" srcId="{F2E6B0E9-1822-40D7-84D5-EA22F8766E5C}" destId="{DA841ABB-7388-4723-8293-D336503C7278}" srcOrd="0" destOrd="0" presId="urn:microsoft.com/office/officeart/2005/8/layout/target3"/>
    <dgm:cxn modelId="{3B330DB4-1227-40CE-A9C4-2B334D1013C3}" type="presOf" srcId="{F2E6B0E9-1822-40D7-84D5-EA22F8766E5C}" destId="{FA6BE9CF-3595-46E7-9B4E-A46A4E224F2C}" srcOrd="1" destOrd="0" presId="urn:microsoft.com/office/officeart/2005/8/layout/target3"/>
    <dgm:cxn modelId="{776DDFB9-9B2B-4E4B-BC15-F5EE177533E8}" type="presOf" srcId="{3C427096-F3F3-4B34-BFCE-FF56269CEF1E}" destId="{819ECDB8-1363-4276-A8D3-35CFE96CDBAD}" srcOrd="0" destOrd="0" presId="urn:microsoft.com/office/officeart/2005/8/layout/target3"/>
    <dgm:cxn modelId="{A13DC2D1-9C08-4BBE-A78D-516005371571}" type="presOf" srcId="{20B9781C-78F4-4411-9BA1-7E23002EF054}" destId="{1A176538-3B36-410C-9647-1B8953ECDE61}" srcOrd="1" destOrd="0" presId="urn:microsoft.com/office/officeart/2005/8/layout/target3"/>
    <dgm:cxn modelId="{8272B4D5-24C2-4579-98C1-ED2BC5D74E7A}" srcId="{4FC90C95-A314-4023-A091-AB1E7BF32798}" destId="{20B9781C-78F4-4411-9BA1-7E23002EF054}" srcOrd="2" destOrd="0" parTransId="{930A78C8-2B35-4E71-B931-2FA4734621F5}" sibTransId="{92861449-75EA-4252-85BF-7FC19AA04A92}"/>
    <dgm:cxn modelId="{D782E4ED-11AE-4C4D-A5A2-8ABD0CFA63B8}" srcId="{4FC90C95-A314-4023-A091-AB1E7BF32798}" destId="{FAB60642-F2E5-495A-AC2B-BC3E53C8BFEB}" srcOrd="1" destOrd="0" parTransId="{705A026E-4E81-4608-8297-A7B2F0259AD0}" sibTransId="{32871175-C1A6-4F5E-9C0C-E149189D6974}"/>
    <dgm:cxn modelId="{DB6687FF-F409-4CE1-BD45-6D2FCF66B1B9}" srcId="{4FC90C95-A314-4023-A091-AB1E7BF32798}" destId="{3C427096-F3F3-4B34-BFCE-FF56269CEF1E}" srcOrd="5" destOrd="0" parTransId="{07180C91-FE98-48E3-9B0A-7ED02FFA2B6A}" sibTransId="{ADE9F3D5-1B71-419A-909D-4536017D99B0}"/>
    <dgm:cxn modelId="{46BC8015-8334-4239-937A-E78574B5283A}" type="presParOf" srcId="{A115EC4A-ADB8-405F-AE88-535C33CB32C5}" destId="{6FE3EA94-4352-4B4E-857C-643538FCF659}" srcOrd="0" destOrd="0" presId="urn:microsoft.com/office/officeart/2005/8/layout/target3"/>
    <dgm:cxn modelId="{7F16757A-2EF2-43A1-BA09-B2C3906E71D8}" type="presParOf" srcId="{A115EC4A-ADB8-405F-AE88-535C33CB32C5}" destId="{A5505BFA-DFA1-4489-AD3D-142495D5AE86}" srcOrd="1" destOrd="0" presId="urn:microsoft.com/office/officeart/2005/8/layout/target3"/>
    <dgm:cxn modelId="{55EF4F7F-0252-468B-870B-CA4791A801AC}" type="presParOf" srcId="{A115EC4A-ADB8-405F-AE88-535C33CB32C5}" destId="{9E42D7A6-17E2-4342-918D-7DA65CA743E6}" srcOrd="2" destOrd="0" presId="urn:microsoft.com/office/officeart/2005/8/layout/target3"/>
    <dgm:cxn modelId="{488FAC98-B0BA-4BEF-91EB-4AD97BDFBEFC}" type="presParOf" srcId="{A115EC4A-ADB8-405F-AE88-535C33CB32C5}" destId="{7933388C-9D2B-4474-922F-293454552038}" srcOrd="3" destOrd="0" presId="urn:microsoft.com/office/officeart/2005/8/layout/target3"/>
    <dgm:cxn modelId="{87E9F3ED-9E74-4F96-BEBD-876BC6262E78}" type="presParOf" srcId="{A115EC4A-ADB8-405F-AE88-535C33CB32C5}" destId="{E0BC40F0-5CC5-4015-A92D-D2BC2570D7A6}" srcOrd="4" destOrd="0" presId="urn:microsoft.com/office/officeart/2005/8/layout/target3"/>
    <dgm:cxn modelId="{C47DEF76-7F2F-42DA-AA8A-1C107287375D}" type="presParOf" srcId="{A115EC4A-ADB8-405F-AE88-535C33CB32C5}" destId="{58B11A80-A042-464C-810F-88AFE1D88946}" srcOrd="5" destOrd="0" presId="urn:microsoft.com/office/officeart/2005/8/layout/target3"/>
    <dgm:cxn modelId="{67E8CD09-0DDE-4930-B684-1D517DFCB883}" type="presParOf" srcId="{A115EC4A-ADB8-405F-AE88-535C33CB32C5}" destId="{76BD143E-3792-46B8-BF3C-340C6D67C3C5}" srcOrd="6" destOrd="0" presId="urn:microsoft.com/office/officeart/2005/8/layout/target3"/>
    <dgm:cxn modelId="{828191F8-1AD8-4D74-8474-5E2696A87529}" type="presParOf" srcId="{A115EC4A-ADB8-405F-AE88-535C33CB32C5}" destId="{B3D61EB8-2742-42EA-84A1-366F5125E6FD}" srcOrd="7" destOrd="0" presId="urn:microsoft.com/office/officeart/2005/8/layout/target3"/>
    <dgm:cxn modelId="{939E3FBD-BDFF-46C4-A068-A8D95B7827C0}" type="presParOf" srcId="{A115EC4A-ADB8-405F-AE88-535C33CB32C5}" destId="{76CF3D19-9B06-4A02-A09E-0F7098C71039}" srcOrd="8" destOrd="0" presId="urn:microsoft.com/office/officeart/2005/8/layout/target3"/>
    <dgm:cxn modelId="{66250B71-6B3A-46D0-AE2B-3E8D59846062}" type="presParOf" srcId="{A115EC4A-ADB8-405F-AE88-535C33CB32C5}" destId="{10A46DE4-F803-46B9-BCDE-01E0509503AC}" srcOrd="9" destOrd="0" presId="urn:microsoft.com/office/officeart/2005/8/layout/target3"/>
    <dgm:cxn modelId="{2816857F-5296-4659-8EC3-84EDF5437298}" type="presParOf" srcId="{A115EC4A-ADB8-405F-AE88-535C33CB32C5}" destId="{15211B09-23CD-4B47-A8A0-F2C28CA634D3}" srcOrd="10" destOrd="0" presId="urn:microsoft.com/office/officeart/2005/8/layout/target3"/>
    <dgm:cxn modelId="{37ECAF80-2ABF-4979-A44F-587EFCF110BA}" type="presParOf" srcId="{A115EC4A-ADB8-405F-AE88-535C33CB32C5}" destId="{DA841ABB-7388-4723-8293-D336503C7278}" srcOrd="11" destOrd="0" presId="urn:microsoft.com/office/officeart/2005/8/layout/target3"/>
    <dgm:cxn modelId="{FAD45C47-0FBE-4C0F-BDF1-637AB33153D3}" type="presParOf" srcId="{A115EC4A-ADB8-405F-AE88-535C33CB32C5}" destId="{B655500C-B1D0-4727-8AEC-27766363BB32}" srcOrd="12" destOrd="0" presId="urn:microsoft.com/office/officeart/2005/8/layout/target3"/>
    <dgm:cxn modelId="{D3C1FB56-F10B-4F02-B066-D6C5BAB1C26E}" type="presParOf" srcId="{A115EC4A-ADB8-405F-AE88-535C33CB32C5}" destId="{A580774E-18D0-42F5-883A-841E35BF8211}" srcOrd="13" destOrd="0" presId="urn:microsoft.com/office/officeart/2005/8/layout/target3"/>
    <dgm:cxn modelId="{6BD2F734-2A67-4A5C-9D79-36FB249D735B}" type="presParOf" srcId="{A115EC4A-ADB8-405F-AE88-535C33CB32C5}" destId="{016A8C9C-16C7-4DF8-AA38-4747EF8061A4}" srcOrd="14" destOrd="0" presId="urn:microsoft.com/office/officeart/2005/8/layout/target3"/>
    <dgm:cxn modelId="{70A4E04A-6D4F-4F5C-9258-5E71B2AB6492}" type="presParOf" srcId="{A115EC4A-ADB8-405F-AE88-535C33CB32C5}" destId="{3428A479-BA08-4655-A953-51DD42F9CD2F}" srcOrd="15" destOrd="0" presId="urn:microsoft.com/office/officeart/2005/8/layout/target3"/>
    <dgm:cxn modelId="{A84C6C5F-A93D-4BBF-A31C-04E3E15E6E30}" type="presParOf" srcId="{A115EC4A-ADB8-405F-AE88-535C33CB32C5}" destId="{FD914F9A-BDEE-4DF9-AC06-EE1141EBD06E}" srcOrd="16" destOrd="0" presId="urn:microsoft.com/office/officeart/2005/8/layout/target3"/>
    <dgm:cxn modelId="{BCE4DC04-39A9-4E14-B4FB-C36967E895F5}" type="presParOf" srcId="{A115EC4A-ADB8-405F-AE88-535C33CB32C5}" destId="{819ECDB8-1363-4276-A8D3-35CFE96CDBAD}" srcOrd="17" destOrd="0" presId="urn:microsoft.com/office/officeart/2005/8/layout/target3"/>
    <dgm:cxn modelId="{41382320-9E68-4C2D-8786-EFAC71040F06}" type="presParOf" srcId="{A115EC4A-ADB8-405F-AE88-535C33CB32C5}" destId="{D6A0E0D9-26DF-4AAE-9539-8333D805A2E9}" srcOrd="18" destOrd="0" presId="urn:microsoft.com/office/officeart/2005/8/layout/target3"/>
    <dgm:cxn modelId="{3291BD41-3196-4951-859F-F8B8F5680D57}" type="presParOf" srcId="{A115EC4A-ADB8-405F-AE88-535C33CB32C5}" destId="{323CE37F-8F5A-4781-961C-EBE46FECD819}" srcOrd="19" destOrd="0" presId="urn:microsoft.com/office/officeart/2005/8/layout/target3"/>
    <dgm:cxn modelId="{EBA36F38-864B-4694-8B52-EB550453A97D}" type="presParOf" srcId="{A115EC4A-ADB8-405F-AE88-535C33CB32C5}" destId="{1A176538-3B36-410C-9647-1B8953ECDE61}" srcOrd="20" destOrd="0" presId="urn:microsoft.com/office/officeart/2005/8/layout/target3"/>
    <dgm:cxn modelId="{BD1495A8-D540-41CB-8645-3564C68615CE}" type="presParOf" srcId="{A115EC4A-ADB8-405F-AE88-535C33CB32C5}" destId="{FA6BE9CF-3595-46E7-9B4E-A46A4E224F2C}" srcOrd="21" destOrd="0" presId="urn:microsoft.com/office/officeart/2005/8/layout/target3"/>
    <dgm:cxn modelId="{449105F9-4490-4449-8CF5-037568A4CC35}" type="presParOf" srcId="{A115EC4A-ADB8-405F-AE88-535C33CB32C5}" destId="{98D963EB-E364-4A2A-B4BF-023B2AFC5824}" srcOrd="22" destOrd="0" presId="urn:microsoft.com/office/officeart/2005/8/layout/target3"/>
    <dgm:cxn modelId="{1AE61928-8E97-4AC1-9B3E-294A3FDF9C1C}" type="presParOf" srcId="{A115EC4A-ADB8-405F-AE88-535C33CB32C5}" destId="{178B2FFE-E114-48E7-AA7B-B13E4C189EEC}" srcOrd="23" destOrd="0" presId="urn:microsoft.com/office/officeart/2005/8/layout/targe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E3EA94-4352-4B4E-857C-643538FCF659}">
      <dsp:nvSpPr>
        <dsp:cNvPr id="0" name=""/>
        <dsp:cNvSpPr/>
      </dsp:nvSpPr>
      <dsp:spPr>
        <a:xfrm>
          <a:off x="0" y="508583"/>
          <a:ext cx="3577590" cy="3716758"/>
        </a:xfrm>
        <a:prstGeom prst="pie">
          <a:avLst>
            <a:gd name="adj1" fmla="val 5400000"/>
            <a:gd name="adj2" fmla="val 1620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2D7A6-17E2-4342-918D-7DA65CA743E6}">
      <dsp:nvSpPr>
        <dsp:cNvPr id="0" name=""/>
        <dsp:cNvSpPr/>
      </dsp:nvSpPr>
      <dsp:spPr>
        <a:xfrm>
          <a:off x="1788795" y="543822"/>
          <a:ext cx="4173855" cy="3646279"/>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dirty="0"/>
            <a:t>Total population = total population in the catchment area</a:t>
          </a:r>
        </a:p>
      </dsp:txBody>
      <dsp:txXfrm>
        <a:off x="1788795" y="543822"/>
        <a:ext cx="4173855" cy="455786"/>
      </dsp:txXfrm>
    </dsp:sp>
    <dsp:sp modelId="{E0BC40F0-5CC5-4015-A92D-D2BC2570D7A6}">
      <dsp:nvSpPr>
        <dsp:cNvPr id="0" name=""/>
        <dsp:cNvSpPr/>
      </dsp:nvSpPr>
      <dsp:spPr>
        <a:xfrm>
          <a:off x="313039" y="1025367"/>
          <a:ext cx="2951510" cy="2951510"/>
        </a:xfrm>
        <a:prstGeom prst="pie">
          <a:avLst>
            <a:gd name="adj1" fmla="val 5400000"/>
            <a:gd name="adj2" fmla="val 16200000"/>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B11A80-A042-464C-810F-88AFE1D88946}">
      <dsp:nvSpPr>
        <dsp:cNvPr id="0" name=""/>
        <dsp:cNvSpPr/>
      </dsp:nvSpPr>
      <dsp:spPr>
        <a:xfrm>
          <a:off x="1788795" y="1025514"/>
          <a:ext cx="4173855" cy="2951215"/>
        </a:xfrm>
        <a:prstGeom prst="rect">
          <a:avLst/>
        </a:prstGeom>
        <a:solidFill>
          <a:schemeClr val="lt1">
            <a:alpha val="90000"/>
            <a:hueOff val="0"/>
            <a:satOff val="0"/>
            <a:lumOff val="0"/>
            <a:alphaOff val="0"/>
          </a:schemeClr>
        </a:solidFill>
        <a:ln w="25400" cap="flat" cmpd="sng" algn="ctr">
          <a:solidFill>
            <a:schemeClr val="accent5">
              <a:hueOff val="-1986775"/>
              <a:satOff val="7962"/>
              <a:lumOff val="172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dirty="0"/>
            <a:t>Patients w/ symptoms = those that seek care at healthcare facilities (HCF) + those who don't</a:t>
          </a:r>
        </a:p>
      </dsp:txBody>
      <dsp:txXfrm>
        <a:off x="1788795" y="1025514"/>
        <a:ext cx="4173855" cy="447155"/>
      </dsp:txXfrm>
    </dsp:sp>
    <dsp:sp modelId="{B3D61EB8-2742-42EA-84A1-366F5125E6FD}">
      <dsp:nvSpPr>
        <dsp:cNvPr id="0" name=""/>
        <dsp:cNvSpPr/>
      </dsp:nvSpPr>
      <dsp:spPr>
        <a:xfrm>
          <a:off x="626079" y="1472567"/>
          <a:ext cx="2325431" cy="2325431"/>
        </a:xfrm>
        <a:prstGeom prst="pie">
          <a:avLst>
            <a:gd name="adj1" fmla="val 5400000"/>
            <a:gd name="adj2" fmla="val 16200000"/>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CF3D19-9B06-4A02-A09E-0F7098C71039}">
      <dsp:nvSpPr>
        <dsp:cNvPr id="0" name=""/>
        <dsp:cNvSpPr/>
      </dsp:nvSpPr>
      <dsp:spPr>
        <a:xfrm>
          <a:off x="1788795" y="1472567"/>
          <a:ext cx="4173855" cy="2325431"/>
        </a:xfrm>
        <a:prstGeom prst="rect">
          <a:avLst/>
        </a:prstGeom>
        <a:solidFill>
          <a:schemeClr val="lt1">
            <a:alpha val="90000"/>
            <a:hueOff val="0"/>
            <a:satOff val="0"/>
            <a:lumOff val="0"/>
            <a:alphaOff val="0"/>
          </a:schemeClr>
        </a:solidFill>
        <a:ln w="25400" cap="flat" cmpd="sng" algn="ctr">
          <a:solidFill>
            <a:schemeClr val="accent5">
              <a:hueOff val="-3973551"/>
              <a:satOff val="15924"/>
              <a:lumOff val="345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dirty="0"/>
            <a:t>Patients with symptoms seeking care at HCF</a:t>
          </a:r>
        </a:p>
      </dsp:txBody>
      <dsp:txXfrm>
        <a:off x="1788795" y="1472567"/>
        <a:ext cx="4173855" cy="447196"/>
      </dsp:txXfrm>
    </dsp:sp>
    <dsp:sp modelId="{15211B09-23CD-4B47-A8A0-F2C28CA634D3}">
      <dsp:nvSpPr>
        <dsp:cNvPr id="0" name=""/>
        <dsp:cNvSpPr/>
      </dsp:nvSpPr>
      <dsp:spPr>
        <a:xfrm>
          <a:off x="939117" y="1919763"/>
          <a:ext cx="1699355" cy="1699355"/>
        </a:xfrm>
        <a:prstGeom prst="pie">
          <a:avLst>
            <a:gd name="adj1" fmla="val 5400000"/>
            <a:gd name="adj2" fmla="val 16200000"/>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841ABB-7388-4723-8293-D336503C7278}">
      <dsp:nvSpPr>
        <dsp:cNvPr id="0" name=""/>
        <dsp:cNvSpPr/>
      </dsp:nvSpPr>
      <dsp:spPr>
        <a:xfrm>
          <a:off x="1788795" y="1919763"/>
          <a:ext cx="4173855" cy="1699355"/>
        </a:xfrm>
        <a:prstGeom prst="rect">
          <a:avLst/>
        </a:prstGeom>
        <a:solidFill>
          <a:schemeClr val="lt1">
            <a:alpha val="90000"/>
            <a:hueOff val="0"/>
            <a:satOff val="0"/>
            <a:lumOff val="0"/>
            <a:alphaOff val="0"/>
          </a:schemeClr>
        </a:solidFill>
        <a:ln w="25400" cap="flat" cmpd="sng" algn="ctr">
          <a:solidFill>
            <a:schemeClr val="accent5">
              <a:hueOff val="-5960326"/>
              <a:satOff val="23887"/>
              <a:lumOff val="517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dirty="0"/>
            <a:t>Patients cared for at HCF that has had blood samples taken and tested</a:t>
          </a:r>
        </a:p>
      </dsp:txBody>
      <dsp:txXfrm>
        <a:off x="1788795" y="1919763"/>
        <a:ext cx="4173855" cy="447199"/>
      </dsp:txXfrm>
    </dsp:sp>
    <dsp:sp modelId="{A580774E-18D0-42F5-883A-841E35BF8211}">
      <dsp:nvSpPr>
        <dsp:cNvPr id="0" name=""/>
        <dsp:cNvSpPr/>
      </dsp:nvSpPr>
      <dsp:spPr>
        <a:xfrm>
          <a:off x="1252157" y="2366963"/>
          <a:ext cx="1073275" cy="1073275"/>
        </a:xfrm>
        <a:prstGeom prst="pie">
          <a:avLst>
            <a:gd name="adj1" fmla="val 5400000"/>
            <a:gd name="adj2" fmla="val 16200000"/>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6A8C9C-16C7-4DF8-AA38-4747EF8061A4}">
      <dsp:nvSpPr>
        <dsp:cNvPr id="0" name=""/>
        <dsp:cNvSpPr/>
      </dsp:nvSpPr>
      <dsp:spPr>
        <a:xfrm>
          <a:off x="1788795" y="2366963"/>
          <a:ext cx="4173855" cy="1073275"/>
        </a:xfrm>
        <a:prstGeom prst="rect">
          <a:avLst/>
        </a:prstGeom>
        <a:solidFill>
          <a:schemeClr val="lt1">
            <a:alpha val="90000"/>
            <a:hueOff val="0"/>
            <a:satOff val="0"/>
            <a:lumOff val="0"/>
            <a:alphaOff val="0"/>
          </a:schemeClr>
        </a:solidFill>
        <a:ln w="25400" cap="flat" cmpd="sng" algn="ctr">
          <a:solidFill>
            <a:schemeClr val="accent5">
              <a:hueOff val="-7947101"/>
              <a:satOff val="31849"/>
              <a:lumOff val="690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Patients with growth of </a:t>
          </a:r>
          <a:r>
            <a:rPr lang="en-GB" sz="1400" b="1" i="1" kern="1200"/>
            <a:t>S. aureus </a:t>
          </a:r>
          <a:r>
            <a:rPr lang="en-GB" sz="1400" b="1" kern="1200"/>
            <a:t>or</a:t>
          </a:r>
          <a:r>
            <a:rPr lang="en-GB" sz="1400" b="1" i="1" kern="1200"/>
            <a:t> E. coli</a:t>
          </a:r>
          <a:r>
            <a:rPr lang="en-GB" sz="1400" b="1" kern="1200"/>
            <a:t> in tested blood samples (denominator)</a:t>
          </a:r>
          <a:endParaRPr lang="en-GB" sz="1400" b="1" kern="1200" dirty="0"/>
        </a:p>
      </dsp:txBody>
      <dsp:txXfrm>
        <a:off x="1788795" y="2366963"/>
        <a:ext cx="4173855" cy="447200"/>
      </dsp:txXfrm>
    </dsp:sp>
    <dsp:sp modelId="{FD914F9A-BDEE-4DF9-AC06-EE1141EBD06E}">
      <dsp:nvSpPr>
        <dsp:cNvPr id="0" name=""/>
        <dsp:cNvSpPr/>
      </dsp:nvSpPr>
      <dsp:spPr>
        <a:xfrm>
          <a:off x="1565196" y="2814163"/>
          <a:ext cx="447196" cy="447196"/>
        </a:xfrm>
        <a:prstGeom prst="pie">
          <a:avLst>
            <a:gd name="adj1" fmla="val 5400000"/>
            <a:gd name="adj2" fmla="val 1620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9ECDB8-1363-4276-A8D3-35CFE96CDBAD}">
      <dsp:nvSpPr>
        <dsp:cNvPr id="0" name=""/>
        <dsp:cNvSpPr/>
      </dsp:nvSpPr>
      <dsp:spPr>
        <a:xfrm>
          <a:off x="1788795" y="2826202"/>
          <a:ext cx="4173855" cy="447196"/>
        </a:xfrm>
        <a:prstGeom prst="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Patients with growth of resistant </a:t>
          </a:r>
          <a:r>
            <a:rPr lang="en-GB" sz="1400" b="1" i="1" kern="1200"/>
            <a:t>S. aureus </a:t>
          </a:r>
          <a:r>
            <a:rPr lang="en-GB" sz="1400" b="1" kern="1200"/>
            <a:t>or</a:t>
          </a:r>
          <a:r>
            <a:rPr lang="en-GB" sz="1400" b="1" i="1" kern="1200"/>
            <a:t> E. coli</a:t>
          </a:r>
          <a:r>
            <a:rPr lang="en-GB" sz="1400" b="1" kern="1200"/>
            <a:t> in tested blood samples (numerator)</a:t>
          </a:r>
          <a:endParaRPr lang="en-GB" sz="1400" b="1" kern="1200" dirty="0"/>
        </a:p>
      </dsp:txBody>
      <dsp:txXfrm>
        <a:off x="1788795" y="2826202"/>
        <a:ext cx="4173855" cy="447196"/>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A25421584824F9BD6F8996586A88E" ma:contentTypeVersion="12" ma:contentTypeDescription="Create a new document." ma:contentTypeScope="" ma:versionID="bd3ab2d4b60aa9484fa67cbda2fd589d">
  <xsd:schema xmlns:xsd="http://www.w3.org/2001/XMLSchema" xmlns:xs="http://www.w3.org/2001/XMLSchema" xmlns:p="http://schemas.microsoft.com/office/2006/metadata/properties" xmlns:ns3="1f33b567-8934-4065-9424-365bd2493b30" xmlns:ns4="a9733e5a-5ef7-415c-80e3-a2618da45423" targetNamespace="http://schemas.microsoft.com/office/2006/metadata/properties" ma:root="true" ma:fieldsID="746efdce6a3c316bac3b0ce223bd468c" ns3:_="" ns4:_="">
    <xsd:import namespace="1f33b567-8934-4065-9424-365bd2493b30"/>
    <xsd:import namespace="a9733e5a-5ef7-415c-80e3-a2618da454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3b567-8934-4065-9424-365bd2493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33e5a-5ef7-415c-80e3-a2618da454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85FC6-FBBF-4B57-B8D8-7AD575436E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3F48D8-F901-4A7F-BDAB-BE37FF1518F2}">
  <ds:schemaRefs>
    <ds:schemaRef ds:uri="http://schemas.microsoft.com/sharepoint/v3/contenttype/forms"/>
  </ds:schemaRefs>
</ds:datastoreItem>
</file>

<file path=customXml/itemProps3.xml><?xml version="1.0" encoding="utf-8"?>
<ds:datastoreItem xmlns:ds="http://schemas.openxmlformats.org/officeDocument/2006/customXml" ds:itemID="{D37E00E1-CC20-4DD4-885C-993B1902D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3b567-8934-4065-9424-365bd2493b30"/>
    <ds:schemaRef ds:uri="a9733e5a-5ef7-415c-80e3-a2618da4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09AFC-257E-4E11-9225-9A8B0CAD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2</cp:revision>
  <cp:lastPrinted>2019-09-26T14:00:00Z</cp:lastPrinted>
  <dcterms:created xsi:type="dcterms:W3CDTF">2020-09-15T03:43:00Z</dcterms:created>
  <dcterms:modified xsi:type="dcterms:W3CDTF">2020-09-15T03:43:00Z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0x010100C9AA25421584824F9BD6F8996586A88E</vt:lpwstr>
  </property>
</Properties>
</file>