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090" w:rsidRPr="00087090" w:rsidRDefault="00521B4E" w:rsidP="00293300">
      <w:pPr>
        <w:jc w:val="both"/>
        <w:rPr>
          <w:rFonts w:ascii="Times New Roman" w:hAnsi="Times New Roman" w:cs="Times New Roman"/>
          <w:b/>
          <w:sz w:val="24"/>
          <w:szCs w:val="24"/>
        </w:rPr>
      </w:pPr>
      <w:r w:rsidRPr="00087090">
        <w:rPr>
          <w:rFonts w:ascii="Times New Roman" w:hAnsi="Times New Roman" w:cs="Times New Roman"/>
          <w:b/>
          <w:sz w:val="24"/>
          <w:szCs w:val="24"/>
        </w:rPr>
        <w:t>Цель 3. Обеспечение здорового образа жизни и содействие благополучию для всех в любом возрасте</w:t>
      </w:r>
      <w:r w:rsidR="0099253E" w:rsidRPr="00087090">
        <w:rPr>
          <w:rFonts w:ascii="Times New Roman" w:hAnsi="Times New Roman" w:cs="Times New Roman"/>
          <w:b/>
          <w:sz w:val="24"/>
          <w:szCs w:val="24"/>
        </w:rPr>
        <w:t>.</w:t>
      </w:r>
    </w:p>
    <w:p w:rsidR="00521B4E" w:rsidRPr="00087090" w:rsidRDefault="00521B4E" w:rsidP="00293300">
      <w:pPr>
        <w:jc w:val="both"/>
        <w:rPr>
          <w:rFonts w:ascii="Times New Roman" w:hAnsi="Times New Roman" w:cs="Times New Roman"/>
          <w:b/>
          <w:sz w:val="24"/>
          <w:szCs w:val="24"/>
        </w:rPr>
      </w:pPr>
      <w:r w:rsidRPr="00087090">
        <w:rPr>
          <w:rFonts w:ascii="Times New Roman" w:hAnsi="Times New Roman" w:cs="Times New Roman"/>
          <w:b/>
          <w:sz w:val="24"/>
          <w:szCs w:val="24"/>
        </w:rPr>
        <w:t>3.8 Обеспечить всеобщий охват услугами здраво</w:t>
      </w:r>
      <w:r w:rsidRPr="00087090">
        <w:rPr>
          <w:rFonts w:ascii="Times New Roman" w:hAnsi="Times New Roman" w:cs="Times New Roman"/>
          <w:b/>
          <w:sz w:val="24"/>
          <w:szCs w:val="24"/>
        </w:rPr>
        <w:softHyphen/>
        <w:t>охранения, в том числе защиту от финансовых рис</w:t>
      </w:r>
      <w:r w:rsidRPr="00087090">
        <w:rPr>
          <w:rFonts w:ascii="Times New Roman" w:hAnsi="Times New Roman" w:cs="Times New Roman"/>
          <w:b/>
          <w:sz w:val="24"/>
          <w:szCs w:val="24"/>
        </w:rPr>
        <w:softHyphen/>
        <w:t>ков, доступ к качественным основным медико-санитарным услугам и доступ к безопасным, эффек</w:t>
      </w:r>
      <w:r w:rsidRPr="00087090">
        <w:rPr>
          <w:rFonts w:ascii="Times New Roman" w:hAnsi="Times New Roman" w:cs="Times New Roman"/>
          <w:b/>
          <w:sz w:val="24"/>
          <w:szCs w:val="24"/>
        </w:rPr>
        <w:softHyphen/>
        <w:t>тивным, качественным и недорогим основным ле</w:t>
      </w:r>
      <w:r w:rsidRPr="00087090">
        <w:rPr>
          <w:rFonts w:ascii="Times New Roman" w:hAnsi="Times New Roman" w:cs="Times New Roman"/>
          <w:b/>
          <w:sz w:val="24"/>
          <w:szCs w:val="24"/>
        </w:rPr>
        <w:softHyphen/>
        <w:t>карственным средствам и вакцинам для всех</w:t>
      </w:r>
      <w:r w:rsidR="0099253E" w:rsidRPr="00087090">
        <w:rPr>
          <w:rFonts w:ascii="Times New Roman" w:hAnsi="Times New Roman" w:cs="Times New Roman"/>
          <w:b/>
          <w:sz w:val="24"/>
          <w:szCs w:val="24"/>
        </w:rPr>
        <w:t>.</w:t>
      </w:r>
    </w:p>
    <w:p w:rsidR="00521B4E" w:rsidRPr="00087090" w:rsidRDefault="00521B4E" w:rsidP="00293300">
      <w:pPr>
        <w:jc w:val="both"/>
        <w:rPr>
          <w:rFonts w:ascii="Times New Roman" w:hAnsi="Times New Roman" w:cs="Times New Roman"/>
          <w:b/>
          <w:sz w:val="24"/>
          <w:szCs w:val="24"/>
        </w:rPr>
      </w:pPr>
      <w:r w:rsidRPr="00087090">
        <w:rPr>
          <w:rFonts w:ascii="Times New Roman" w:hAnsi="Times New Roman" w:cs="Times New Roman"/>
          <w:b/>
          <w:sz w:val="24"/>
          <w:szCs w:val="24"/>
        </w:rPr>
        <w:t xml:space="preserve">3.8.2 </w:t>
      </w:r>
      <w:r w:rsidR="005F125C" w:rsidRPr="00087090">
        <w:rPr>
          <w:rFonts w:ascii="Times New Roman" w:hAnsi="Times New Roman" w:cs="Times New Roman"/>
          <w:b/>
          <w:sz w:val="24"/>
          <w:szCs w:val="24"/>
        </w:rPr>
        <w:t>Доля населения с большим удельным весом семейных расходов на медицинскую помощь в общем объеме расходов или доходов домохозяйств</w:t>
      </w:r>
      <w:r w:rsidR="0099253E" w:rsidRPr="00087090">
        <w:rPr>
          <w:rFonts w:ascii="Times New Roman" w:hAnsi="Times New Roman" w:cs="Times New Roman"/>
          <w:b/>
          <w:sz w:val="24"/>
          <w:szCs w:val="24"/>
        </w:rPr>
        <w:t>.</w:t>
      </w:r>
    </w:p>
    <w:p w:rsidR="0099253E" w:rsidRPr="00087090" w:rsidRDefault="00087090" w:rsidP="00293300">
      <w:pPr>
        <w:jc w:val="both"/>
        <w:rPr>
          <w:rFonts w:ascii="Times New Roman" w:hAnsi="Times New Roman" w:cs="Times New Roman"/>
          <w:b/>
          <w:sz w:val="24"/>
          <w:szCs w:val="24"/>
        </w:rPr>
      </w:pPr>
      <w:r w:rsidRPr="00087090">
        <w:rPr>
          <w:rFonts w:ascii="Times New Roman" w:hAnsi="Times New Roman" w:cs="Times New Roman"/>
          <w:b/>
          <w:sz w:val="24"/>
          <w:szCs w:val="24"/>
        </w:rPr>
        <w:t>Институциональная информация</w:t>
      </w:r>
    </w:p>
    <w:p w:rsidR="0099253E" w:rsidRPr="00087090" w:rsidRDefault="00521B4E" w:rsidP="00293300">
      <w:pPr>
        <w:jc w:val="both"/>
        <w:rPr>
          <w:rFonts w:ascii="Times New Roman" w:hAnsi="Times New Roman" w:cs="Times New Roman"/>
          <w:b/>
          <w:sz w:val="24"/>
          <w:szCs w:val="24"/>
        </w:rPr>
      </w:pPr>
      <w:r w:rsidRPr="00087090">
        <w:rPr>
          <w:rFonts w:ascii="Times New Roman" w:hAnsi="Times New Roman" w:cs="Times New Roman"/>
          <w:b/>
          <w:sz w:val="24"/>
          <w:szCs w:val="24"/>
        </w:rPr>
        <w:t xml:space="preserve">Организация: </w:t>
      </w:r>
    </w:p>
    <w:p w:rsidR="0099253E" w:rsidRPr="00087090" w:rsidRDefault="00521B4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Всемирная организация здравоохранения (ВОЗ) </w:t>
      </w:r>
    </w:p>
    <w:p w:rsidR="0099253E" w:rsidRPr="00087090" w:rsidRDefault="00087090" w:rsidP="00293300">
      <w:pPr>
        <w:jc w:val="both"/>
        <w:rPr>
          <w:rFonts w:ascii="Times New Roman" w:hAnsi="Times New Roman" w:cs="Times New Roman"/>
          <w:b/>
          <w:sz w:val="24"/>
          <w:szCs w:val="24"/>
        </w:rPr>
      </w:pPr>
      <w:r w:rsidRPr="00087090">
        <w:rPr>
          <w:rFonts w:ascii="Times New Roman" w:hAnsi="Times New Roman" w:cs="Times New Roman"/>
          <w:b/>
          <w:sz w:val="24"/>
          <w:szCs w:val="24"/>
        </w:rPr>
        <w:t xml:space="preserve">Понятия и определения </w:t>
      </w:r>
    </w:p>
    <w:p w:rsidR="0099253E" w:rsidRPr="00087090" w:rsidRDefault="00521B4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Определение: </w:t>
      </w:r>
    </w:p>
    <w:p w:rsidR="0099253E"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Доля населения с большим удельным весом семейных расходов на медицинскую помощь в общем объеме расходов или доходов домохозяйств</w:t>
      </w:r>
      <w:r w:rsidR="00521B4E" w:rsidRPr="00087090">
        <w:rPr>
          <w:rFonts w:ascii="Times New Roman" w:hAnsi="Times New Roman" w:cs="Times New Roman"/>
          <w:sz w:val="24"/>
          <w:szCs w:val="24"/>
        </w:rPr>
        <w:t xml:space="preserve">. </w:t>
      </w:r>
    </w:p>
    <w:p w:rsidR="0099253E" w:rsidRPr="00087090" w:rsidRDefault="00521B4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Два порога используются для определения «больших расходов домашних хозяйств на здоровье»: более 10% и более 25% от общих расходов домашних хозяйств или доходов. </w:t>
      </w:r>
    </w:p>
    <w:p w:rsidR="0099253E" w:rsidRPr="00087090" w:rsidRDefault="00521B4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Обоснование: </w:t>
      </w:r>
    </w:p>
    <w:p w:rsidR="0099253E" w:rsidRPr="00087090" w:rsidRDefault="00521B4E" w:rsidP="00293300">
      <w:pPr>
        <w:jc w:val="both"/>
        <w:rPr>
          <w:rFonts w:ascii="Times New Roman" w:hAnsi="Times New Roman" w:cs="Times New Roman"/>
          <w:sz w:val="24"/>
          <w:szCs w:val="24"/>
        </w:rPr>
      </w:pPr>
      <w:r w:rsidRPr="00087090">
        <w:rPr>
          <w:rFonts w:ascii="Times New Roman" w:hAnsi="Times New Roman" w:cs="Times New Roman"/>
          <w:sz w:val="24"/>
          <w:szCs w:val="24"/>
        </w:rPr>
        <w:t>Целевая задача 3.8 определяется как «</w:t>
      </w:r>
      <w:r w:rsidR="0048769C" w:rsidRPr="00087090">
        <w:rPr>
          <w:rFonts w:ascii="Times New Roman" w:hAnsi="Times New Roman" w:cs="Times New Roman"/>
          <w:sz w:val="24"/>
          <w:szCs w:val="24"/>
        </w:rPr>
        <w:t>Обеспечить всеобщий охват услугами здраво</w:t>
      </w:r>
      <w:r w:rsidR="0048769C" w:rsidRPr="00087090">
        <w:rPr>
          <w:rFonts w:ascii="Times New Roman" w:hAnsi="Times New Roman" w:cs="Times New Roman"/>
          <w:sz w:val="24"/>
          <w:szCs w:val="24"/>
        </w:rPr>
        <w:softHyphen/>
        <w:t>охранения, в том числе защиту от финансовых рис</w:t>
      </w:r>
      <w:r w:rsidR="0048769C" w:rsidRPr="00087090">
        <w:rPr>
          <w:rFonts w:ascii="Times New Roman" w:hAnsi="Times New Roman" w:cs="Times New Roman"/>
          <w:sz w:val="24"/>
          <w:szCs w:val="24"/>
        </w:rPr>
        <w:softHyphen/>
        <w:t>ков, доступ к качественным основным медико-санитарным услугам и доступ к безопасным, эффек</w:t>
      </w:r>
      <w:r w:rsidR="0048769C" w:rsidRPr="00087090">
        <w:rPr>
          <w:rFonts w:ascii="Times New Roman" w:hAnsi="Times New Roman" w:cs="Times New Roman"/>
          <w:sz w:val="24"/>
          <w:szCs w:val="24"/>
        </w:rPr>
        <w:softHyphen/>
        <w:t>тивным, качественным и недорогим основным ле</w:t>
      </w:r>
      <w:r w:rsidR="0048769C" w:rsidRPr="00087090">
        <w:rPr>
          <w:rFonts w:ascii="Times New Roman" w:hAnsi="Times New Roman" w:cs="Times New Roman"/>
          <w:sz w:val="24"/>
          <w:szCs w:val="24"/>
        </w:rPr>
        <w:softHyphen/>
        <w:t>карственным средствам и вакцинам для всех</w:t>
      </w:r>
      <w:r w:rsidRPr="00087090">
        <w:rPr>
          <w:rFonts w:ascii="Times New Roman" w:hAnsi="Times New Roman" w:cs="Times New Roman"/>
          <w:sz w:val="24"/>
          <w:szCs w:val="24"/>
        </w:rPr>
        <w:t xml:space="preserve">». </w:t>
      </w:r>
      <w:r w:rsidR="0048769C" w:rsidRPr="00087090">
        <w:rPr>
          <w:rFonts w:ascii="Times New Roman" w:hAnsi="Times New Roman" w:cs="Times New Roman"/>
          <w:sz w:val="24"/>
          <w:szCs w:val="24"/>
        </w:rPr>
        <w:t>В данном контексте подразумеваются</w:t>
      </w:r>
      <w:r w:rsidRPr="00087090">
        <w:rPr>
          <w:rFonts w:ascii="Times New Roman" w:hAnsi="Times New Roman" w:cs="Times New Roman"/>
          <w:sz w:val="24"/>
          <w:szCs w:val="24"/>
        </w:rPr>
        <w:t xml:space="preserve"> все люди и сообщества, которые получают качественные медицинские услуги, в которых они нуждаются (включая лекарства и другие продукты здравоохранения), без финансовых трудностей. Для мониторинга целево</w:t>
      </w:r>
      <w:r w:rsidR="0048769C" w:rsidRPr="00087090">
        <w:rPr>
          <w:rFonts w:ascii="Times New Roman" w:hAnsi="Times New Roman" w:cs="Times New Roman"/>
          <w:sz w:val="24"/>
          <w:szCs w:val="24"/>
        </w:rPr>
        <w:t>й</w:t>
      </w:r>
      <w:r w:rsidRPr="00087090">
        <w:rPr>
          <w:rFonts w:ascii="Times New Roman" w:hAnsi="Times New Roman" w:cs="Times New Roman"/>
          <w:sz w:val="24"/>
          <w:szCs w:val="24"/>
        </w:rPr>
        <w:t xml:space="preserve"> </w:t>
      </w:r>
      <w:r w:rsidR="0048769C" w:rsidRPr="00087090">
        <w:rPr>
          <w:rFonts w:ascii="Times New Roman" w:hAnsi="Times New Roman" w:cs="Times New Roman"/>
          <w:sz w:val="24"/>
          <w:szCs w:val="24"/>
        </w:rPr>
        <w:t>задачи</w:t>
      </w:r>
      <w:r w:rsidRPr="00087090">
        <w:rPr>
          <w:rFonts w:ascii="Times New Roman" w:hAnsi="Times New Roman" w:cs="Times New Roman"/>
          <w:sz w:val="24"/>
          <w:szCs w:val="24"/>
        </w:rPr>
        <w:t xml:space="preserve"> 3</w:t>
      </w:r>
      <w:r w:rsidR="0048769C" w:rsidRPr="00087090">
        <w:rPr>
          <w:rFonts w:ascii="Times New Roman" w:hAnsi="Times New Roman" w:cs="Times New Roman"/>
          <w:sz w:val="24"/>
          <w:szCs w:val="24"/>
        </w:rPr>
        <w:t>.</w:t>
      </w:r>
      <w:r w:rsidRPr="00087090">
        <w:rPr>
          <w:rFonts w:ascii="Times New Roman" w:hAnsi="Times New Roman" w:cs="Times New Roman"/>
          <w:sz w:val="24"/>
          <w:szCs w:val="24"/>
        </w:rPr>
        <w:t xml:space="preserve">8 в рамках </w:t>
      </w:r>
      <w:r w:rsidR="0048769C" w:rsidRPr="00087090">
        <w:rPr>
          <w:rFonts w:ascii="Times New Roman" w:hAnsi="Times New Roman" w:cs="Times New Roman"/>
          <w:sz w:val="24"/>
          <w:szCs w:val="24"/>
        </w:rPr>
        <w:t>ЦУР</w:t>
      </w:r>
      <w:r w:rsidRPr="00087090">
        <w:rPr>
          <w:rFonts w:ascii="Times New Roman" w:hAnsi="Times New Roman" w:cs="Times New Roman"/>
          <w:sz w:val="24"/>
          <w:szCs w:val="24"/>
        </w:rPr>
        <w:t xml:space="preserve"> были выбраны два показателя. </w:t>
      </w:r>
    </w:p>
    <w:p w:rsidR="00521B4E" w:rsidRPr="00087090" w:rsidRDefault="00521B4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Показатель 3.8.1 предназначен для охвата </w:t>
      </w:r>
      <w:r w:rsidR="00AD6371" w:rsidRPr="00087090">
        <w:rPr>
          <w:rFonts w:ascii="Times New Roman" w:hAnsi="Times New Roman" w:cs="Times New Roman"/>
          <w:sz w:val="24"/>
          <w:szCs w:val="24"/>
        </w:rPr>
        <w:t>основных медико-санитарных услуг (определяемый как средний охват основными услугами по отслеживаемым процедурам, к которым относятся охрана репродуктивного здоровья, охрана здоровья матери и ребенка, лечение инфекционных заболеваний, лечение неинфекционных заболеваний и масштабы и доступность услуг для широких слоев населения и для находящихся в наиболее неблагоприятном положении групп населения)</w:t>
      </w:r>
      <w:r w:rsidRPr="00087090">
        <w:rPr>
          <w:rFonts w:ascii="Times New Roman" w:hAnsi="Times New Roman" w:cs="Times New Roman"/>
          <w:sz w:val="24"/>
          <w:szCs w:val="24"/>
        </w:rPr>
        <w:t xml:space="preserve">. В </w:t>
      </w:r>
      <w:r w:rsidR="00AD6371" w:rsidRPr="00087090">
        <w:rPr>
          <w:rFonts w:ascii="Times New Roman" w:hAnsi="Times New Roman" w:cs="Times New Roman"/>
          <w:sz w:val="24"/>
          <w:szCs w:val="24"/>
        </w:rPr>
        <w:t>показателе</w:t>
      </w:r>
      <w:r w:rsidRPr="00087090">
        <w:rPr>
          <w:rFonts w:ascii="Times New Roman" w:hAnsi="Times New Roman" w:cs="Times New Roman"/>
          <w:sz w:val="24"/>
          <w:szCs w:val="24"/>
        </w:rPr>
        <w:t xml:space="preserve"> 3.8.2 основное внимание уделяется расходам на здравоохранение в </w:t>
      </w:r>
      <w:r w:rsidR="00AD6371" w:rsidRPr="00087090">
        <w:rPr>
          <w:rFonts w:ascii="Times New Roman" w:hAnsi="Times New Roman" w:cs="Times New Roman"/>
          <w:sz w:val="24"/>
          <w:szCs w:val="24"/>
        </w:rPr>
        <w:t>сопоставлении</w:t>
      </w:r>
      <w:r w:rsidRPr="00087090">
        <w:rPr>
          <w:rFonts w:ascii="Times New Roman" w:hAnsi="Times New Roman" w:cs="Times New Roman"/>
          <w:sz w:val="24"/>
          <w:szCs w:val="24"/>
        </w:rPr>
        <w:t xml:space="preserve"> с бюджетом домашних хозяйств с целью выявления финансовых трудностей, вызванных прямыми платежами в области здравоохранения. В совокупности индикаторы 3.8.1 и 3.8.2 предназначены для </w:t>
      </w:r>
      <w:r w:rsidR="00AD6371" w:rsidRPr="00087090">
        <w:rPr>
          <w:rFonts w:ascii="Times New Roman" w:hAnsi="Times New Roman" w:cs="Times New Roman"/>
          <w:sz w:val="24"/>
          <w:szCs w:val="24"/>
        </w:rPr>
        <w:t xml:space="preserve">учета </w:t>
      </w:r>
      <w:r w:rsidRPr="00087090">
        <w:rPr>
          <w:rFonts w:ascii="Times New Roman" w:hAnsi="Times New Roman" w:cs="Times New Roman"/>
          <w:sz w:val="24"/>
          <w:szCs w:val="24"/>
        </w:rPr>
        <w:t xml:space="preserve">охвата </w:t>
      </w:r>
      <w:r w:rsidR="00AD6371" w:rsidRPr="00087090">
        <w:rPr>
          <w:rFonts w:ascii="Times New Roman" w:hAnsi="Times New Roman" w:cs="Times New Roman"/>
          <w:sz w:val="24"/>
          <w:szCs w:val="24"/>
        </w:rPr>
        <w:t>населения услугами</w:t>
      </w:r>
      <w:r w:rsidRPr="00087090">
        <w:rPr>
          <w:rFonts w:ascii="Times New Roman" w:hAnsi="Times New Roman" w:cs="Times New Roman"/>
          <w:sz w:val="24"/>
          <w:szCs w:val="24"/>
        </w:rPr>
        <w:t xml:space="preserve"> и </w:t>
      </w:r>
      <w:r w:rsidR="00AD6371" w:rsidRPr="00087090">
        <w:rPr>
          <w:rFonts w:ascii="Times New Roman" w:hAnsi="Times New Roman" w:cs="Times New Roman"/>
          <w:sz w:val="24"/>
          <w:szCs w:val="24"/>
        </w:rPr>
        <w:t xml:space="preserve">степени </w:t>
      </w:r>
      <w:r w:rsidRPr="00087090">
        <w:rPr>
          <w:rFonts w:ascii="Times New Roman" w:hAnsi="Times New Roman" w:cs="Times New Roman"/>
          <w:sz w:val="24"/>
          <w:szCs w:val="24"/>
        </w:rPr>
        <w:t>защиты</w:t>
      </w:r>
      <w:r w:rsidR="00AD6371" w:rsidRPr="00087090">
        <w:rPr>
          <w:rFonts w:ascii="Times New Roman" w:hAnsi="Times New Roman" w:cs="Times New Roman"/>
          <w:sz w:val="24"/>
          <w:szCs w:val="24"/>
        </w:rPr>
        <w:t xml:space="preserve"> от финансовых рисков</w:t>
      </w:r>
      <w:r w:rsidRPr="00087090">
        <w:rPr>
          <w:rFonts w:ascii="Times New Roman" w:hAnsi="Times New Roman" w:cs="Times New Roman"/>
          <w:sz w:val="24"/>
          <w:szCs w:val="24"/>
        </w:rPr>
        <w:t>, соответственно, целево</w:t>
      </w:r>
      <w:r w:rsidR="00293300">
        <w:rPr>
          <w:rFonts w:ascii="Times New Roman" w:hAnsi="Times New Roman" w:cs="Times New Roman"/>
          <w:sz w:val="24"/>
          <w:szCs w:val="24"/>
        </w:rPr>
        <w:t>й задачи</w:t>
      </w:r>
      <w:r w:rsidRPr="00087090">
        <w:rPr>
          <w:rFonts w:ascii="Times New Roman" w:hAnsi="Times New Roman" w:cs="Times New Roman"/>
          <w:sz w:val="24"/>
          <w:szCs w:val="24"/>
        </w:rPr>
        <w:t xml:space="preserve"> 3.8. Эти два индикатора должны всегда контролироваться совместно. Индикатор 3.8.2 вытекает из методологий, относящихся к 1990-м годам, разработанных в сотрудничестве с учеными Всемирного банка и Всемирной организации здравоохранения. Показатель 3.8.2 посвящен идентификации людей, которым необходимо </w:t>
      </w:r>
      <w:r w:rsidRPr="00087090">
        <w:rPr>
          <w:rFonts w:ascii="Times New Roman" w:hAnsi="Times New Roman" w:cs="Times New Roman"/>
          <w:sz w:val="24"/>
          <w:szCs w:val="24"/>
        </w:rPr>
        <w:lastRenderedPageBreak/>
        <w:t xml:space="preserve">выделять значительную долю своих общих расходов домашних хозяйств или доходов на здравоохранение. </w:t>
      </w:r>
      <w:r w:rsidR="00AD6371" w:rsidRPr="00087090">
        <w:rPr>
          <w:rFonts w:ascii="Times New Roman" w:hAnsi="Times New Roman" w:cs="Times New Roman"/>
          <w:sz w:val="24"/>
          <w:szCs w:val="24"/>
        </w:rPr>
        <w:t>В</w:t>
      </w:r>
      <w:r w:rsidRPr="00087090">
        <w:rPr>
          <w:rFonts w:ascii="Times New Roman" w:hAnsi="Times New Roman" w:cs="Times New Roman"/>
          <w:sz w:val="24"/>
          <w:szCs w:val="24"/>
        </w:rPr>
        <w:t xml:space="preserve">нимание уделяется платежам, </w:t>
      </w:r>
      <w:r w:rsidR="00B13462" w:rsidRPr="00087090">
        <w:rPr>
          <w:rFonts w:ascii="Times New Roman" w:hAnsi="Times New Roman" w:cs="Times New Roman"/>
          <w:sz w:val="24"/>
          <w:szCs w:val="24"/>
        </w:rPr>
        <w:t>совершенным в местах получения услуг</w:t>
      </w:r>
      <w:r w:rsidRPr="00087090">
        <w:rPr>
          <w:rFonts w:ascii="Times New Roman" w:hAnsi="Times New Roman" w:cs="Times New Roman"/>
          <w:sz w:val="24"/>
          <w:szCs w:val="24"/>
        </w:rPr>
        <w:t>, для получения любого вида лечения</w:t>
      </w:r>
      <w:r w:rsidR="00B13462" w:rsidRPr="00087090">
        <w:rPr>
          <w:rFonts w:ascii="Times New Roman" w:hAnsi="Times New Roman" w:cs="Times New Roman"/>
          <w:sz w:val="24"/>
          <w:szCs w:val="24"/>
        </w:rPr>
        <w:t>,</w:t>
      </w:r>
      <w:r w:rsidRPr="00087090">
        <w:rPr>
          <w:rFonts w:ascii="Times New Roman" w:hAnsi="Times New Roman" w:cs="Times New Roman"/>
          <w:sz w:val="24"/>
          <w:szCs w:val="24"/>
        </w:rPr>
        <w:t xml:space="preserve"> </w:t>
      </w:r>
      <w:r w:rsidR="00B13462" w:rsidRPr="00087090">
        <w:rPr>
          <w:rFonts w:ascii="Times New Roman" w:hAnsi="Times New Roman" w:cs="Times New Roman"/>
          <w:sz w:val="24"/>
          <w:szCs w:val="24"/>
        </w:rPr>
        <w:t>в любом медицинском учреждении,</w:t>
      </w:r>
      <w:r w:rsidRPr="00087090">
        <w:rPr>
          <w:rFonts w:ascii="Times New Roman" w:hAnsi="Times New Roman" w:cs="Times New Roman"/>
          <w:sz w:val="24"/>
          <w:szCs w:val="24"/>
        </w:rPr>
        <w:t xml:space="preserve"> для любого типа заболевания или проблемы со здоровьем</w:t>
      </w:r>
      <w:r w:rsidR="00B13462" w:rsidRPr="00087090">
        <w:rPr>
          <w:rFonts w:ascii="Times New Roman" w:hAnsi="Times New Roman" w:cs="Times New Roman"/>
          <w:sz w:val="24"/>
          <w:szCs w:val="24"/>
        </w:rPr>
        <w:t>,</w:t>
      </w:r>
      <w:r w:rsidRPr="00087090">
        <w:rPr>
          <w:rFonts w:ascii="Times New Roman" w:hAnsi="Times New Roman" w:cs="Times New Roman"/>
          <w:sz w:val="24"/>
          <w:szCs w:val="24"/>
        </w:rPr>
        <w:t xml:space="preserve"> за вычетом любых возмещений физическому лицу, сделавшему платеж, но за исключением предварительных платежей за медицинские услуги; например, в виде налогов или конкретных страховых </w:t>
      </w:r>
      <w:r w:rsidR="00B13462" w:rsidRPr="00087090">
        <w:rPr>
          <w:rFonts w:ascii="Times New Roman" w:hAnsi="Times New Roman" w:cs="Times New Roman"/>
          <w:sz w:val="24"/>
          <w:szCs w:val="24"/>
        </w:rPr>
        <w:t>премий</w:t>
      </w:r>
      <w:r w:rsidRPr="00087090">
        <w:rPr>
          <w:rFonts w:ascii="Times New Roman" w:hAnsi="Times New Roman" w:cs="Times New Roman"/>
          <w:sz w:val="24"/>
          <w:szCs w:val="24"/>
        </w:rPr>
        <w:t xml:space="preserve"> или взносов. Такие прямые </w:t>
      </w:r>
      <w:r w:rsidR="00BF77E6" w:rsidRPr="00087090">
        <w:rPr>
          <w:rFonts w:ascii="Times New Roman" w:hAnsi="Times New Roman" w:cs="Times New Roman"/>
          <w:sz w:val="24"/>
          <w:szCs w:val="24"/>
        </w:rPr>
        <w:t>выплаты</w:t>
      </w:r>
      <w:r w:rsidRPr="00087090">
        <w:rPr>
          <w:rFonts w:ascii="Times New Roman" w:hAnsi="Times New Roman" w:cs="Times New Roman"/>
          <w:sz w:val="24"/>
          <w:szCs w:val="24"/>
        </w:rPr>
        <w:t xml:space="preserve"> являются наименее справедливым способом финансирования систем здравоохранения, учитывая, что они определяют объем получаемой помощи.</w:t>
      </w:r>
    </w:p>
    <w:p w:rsidR="0099253E" w:rsidRPr="00087090" w:rsidRDefault="00521B4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Это явно противоречит духу цели, которая требует предоставления доступа на основе потребностей в области здравоохранения, а не способности домохозяйства объединять все свои финансовые ресурсы для удовлетворения потребностей своих членов в области здравоохранения. Некоторые прямые </w:t>
      </w:r>
      <w:r w:rsidR="00BF77E6" w:rsidRPr="00087090">
        <w:rPr>
          <w:rFonts w:ascii="Times New Roman" w:hAnsi="Times New Roman" w:cs="Times New Roman"/>
          <w:sz w:val="24"/>
          <w:szCs w:val="24"/>
        </w:rPr>
        <w:t>выплаты</w:t>
      </w:r>
      <w:r w:rsidRPr="00087090">
        <w:rPr>
          <w:rFonts w:ascii="Times New Roman" w:hAnsi="Times New Roman" w:cs="Times New Roman"/>
          <w:sz w:val="24"/>
          <w:szCs w:val="24"/>
        </w:rPr>
        <w:t xml:space="preserve"> </w:t>
      </w:r>
      <w:r w:rsidR="00BF77E6" w:rsidRPr="00087090">
        <w:rPr>
          <w:rFonts w:ascii="Times New Roman" w:hAnsi="Times New Roman" w:cs="Times New Roman"/>
          <w:sz w:val="24"/>
          <w:szCs w:val="24"/>
        </w:rPr>
        <w:t>вероятно необходимы</w:t>
      </w:r>
      <w:r w:rsidRPr="00087090">
        <w:rPr>
          <w:rFonts w:ascii="Times New Roman" w:hAnsi="Times New Roman" w:cs="Times New Roman"/>
          <w:sz w:val="24"/>
          <w:szCs w:val="24"/>
        </w:rPr>
        <w:t xml:space="preserve">, но показатель 3.8.2 подкрепляется убеждением, что никому, независимо от уровня дохода, не приходится выбирать между расходами на здравоохранение и расходами на другие основные товары и услуги, такие как образование, предметы первой необходимости, жилье и </w:t>
      </w:r>
      <w:r w:rsidR="00BF77E6" w:rsidRPr="00087090">
        <w:rPr>
          <w:rFonts w:ascii="Times New Roman" w:hAnsi="Times New Roman" w:cs="Times New Roman"/>
          <w:sz w:val="24"/>
          <w:szCs w:val="24"/>
        </w:rPr>
        <w:t>коммунальные услуги</w:t>
      </w:r>
      <w:r w:rsidRPr="00087090">
        <w:rPr>
          <w:rFonts w:ascii="Times New Roman" w:hAnsi="Times New Roman" w:cs="Times New Roman"/>
          <w:sz w:val="24"/>
          <w:szCs w:val="24"/>
        </w:rPr>
        <w:t xml:space="preserve">. Один из способов оценки степени, в которой системы здравоохранения приводят к финансовым трудностям, заключается в том, чтобы рассчитать долю населения с большими расходами домашних хозяйств на здравоохранение в качестве доли общего потребления или дохода домашних хозяйств. </w:t>
      </w:r>
    </w:p>
    <w:p w:rsidR="0099253E" w:rsidRPr="00087090" w:rsidRDefault="00521B4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Понятия: </w:t>
      </w:r>
    </w:p>
    <w:p w:rsidR="0099253E" w:rsidRPr="00087090" w:rsidRDefault="00521B4E" w:rsidP="00293300">
      <w:pPr>
        <w:jc w:val="both"/>
        <w:rPr>
          <w:rFonts w:ascii="Times New Roman" w:hAnsi="Times New Roman" w:cs="Times New Roman"/>
          <w:sz w:val="24"/>
          <w:szCs w:val="24"/>
        </w:rPr>
      </w:pPr>
      <w:r w:rsidRPr="00087090">
        <w:rPr>
          <w:rFonts w:ascii="Times New Roman" w:hAnsi="Times New Roman" w:cs="Times New Roman"/>
          <w:sz w:val="24"/>
          <w:szCs w:val="24"/>
        </w:rPr>
        <w:t>Показатель 3.8.2 определяется как «</w:t>
      </w:r>
      <w:r w:rsidR="00153DC2" w:rsidRPr="00087090">
        <w:rPr>
          <w:rFonts w:ascii="Times New Roman" w:hAnsi="Times New Roman" w:cs="Times New Roman"/>
          <w:sz w:val="24"/>
          <w:szCs w:val="24"/>
        </w:rPr>
        <w:t>Доля населения с большим удельным весом семейных расходов на медицинскую помощь в общем объеме расходов или доходов домохозяйств</w:t>
      </w:r>
      <w:r w:rsidRPr="00087090">
        <w:rPr>
          <w:rFonts w:ascii="Times New Roman" w:hAnsi="Times New Roman" w:cs="Times New Roman"/>
          <w:sz w:val="24"/>
          <w:szCs w:val="24"/>
        </w:rPr>
        <w:t xml:space="preserve">». Фактически он основан на соотношении, превышающем порог. Две основные концепции, представляющие интерес для этого соотношения, - это расходы домашних хозяйств на здоровье (числитель) и общие расходы на потребление домашних хозяйств или </w:t>
      </w:r>
      <w:r w:rsidR="00AB2A97" w:rsidRPr="00087090">
        <w:rPr>
          <w:rFonts w:ascii="Times New Roman" w:hAnsi="Times New Roman" w:cs="Times New Roman"/>
          <w:sz w:val="24"/>
          <w:szCs w:val="24"/>
        </w:rPr>
        <w:t>отсутствие</w:t>
      </w:r>
      <w:r w:rsidRPr="00087090">
        <w:rPr>
          <w:rFonts w:ascii="Times New Roman" w:hAnsi="Times New Roman" w:cs="Times New Roman"/>
          <w:sz w:val="24"/>
          <w:szCs w:val="24"/>
        </w:rPr>
        <w:t xml:space="preserve"> доход</w:t>
      </w:r>
      <w:r w:rsidR="00AB2A97" w:rsidRPr="00087090">
        <w:rPr>
          <w:rFonts w:ascii="Times New Roman" w:hAnsi="Times New Roman" w:cs="Times New Roman"/>
          <w:sz w:val="24"/>
          <w:szCs w:val="24"/>
        </w:rPr>
        <w:t>а</w:t>
      </w:r>
      <w:r w:rsidRPr="00087090">
        <w:rPr>
          <w:rFonts w:ascii="Times New Roman" w:hAnsi="Times New Roman" w:cs="Times New Roman"/>
          <w:sz w:val="24"/>
          <w:szCs w:val="24"/>
        </w:rPr>
        <w:t xml:space="preserve"> (знаменатель). </w:t>
      </w:r>
    </w:p>
    <w:p w:rsidR="0099253E" w:rsidRPr="00293300" w:rsidRDefault="00293300" w:rsidP="00293300">
      <w:pPr>
        <w:jc w:val="both"/>
        <w:rPr>
          <w:rFonts w:ascii="Times New Roman" w:hAnsi="Times New Roman" w:cs="Times New Roman"/>
          <w:i/>
          <w:sz w:val="24"/>
          <w:szCs w:val="24"/>
        </w:rPr>
      </w:pPr>
      <w:r w:rsidRPr="00293300">
        <w:rPr>
          <w:rFonts w:ascii="Times New Roman" w:hAnsi="Times New Roman" w:cs="Times New Roman"/>
          <w:i/>
          <w:sz w:val="24"/>
          <w:szCs w:val="24"/>
        </w:rPr>
        <w:t>Числитель</w:t>
      </w:r>
    </w:p>
    <w:p w:rsidR="000A1581" w:rsidRPr="00087090" w:rsidRDefault="00521B4E" w:rsidP="00293300">
      <w:pPr>
        <w:jc w:val="both"/>
        <w:rPr>
          <w:rFonts w:ascii="Times New Roman" w:hAnsi="Times New Roman" w:cs="Times New Roman"/>
          <w:sz w:val="24"/>
          <w:szCs w:val="24"/>
        </w:rPr>
      </w:pPr>
      <w:r w:rsidRPr="00087090">
        <w:rPr>
          <w:rFonts w:ascii="Times New Roman" w:hAnsi="Times New Roman" w:cs="Times New Roman"/>
          <w:sz w:val="24"/>
          <w:szCs w:val="24"/>
        </w:rPr>
        <w:t>Расходы домашних хозяйств на здоровье определяются как любые расходы, понесенные во время использования услуг, для получения любого вида помощи (профилактическ</w:t>
      </w:r>
      <w:r w:rsidR="0086350A" w:rsidRPr="00087090">
        <w:rPr>
          <w:rFonts w:ascii="Times New Roman" w:hAnsi="Times New Roman" w:cs="Times New Roman"/>
          <w:sz w:val="24"/>
          <w:szCs w:val="24"/>
        </w:rPr>
        <w:t>о</w:t>
      </w:r>
      <w:r w:rsidRPr="00087090">
        <w:rPr>
          <w:rFonts w:ascii="Times New Roman" w:hAnsi="Times New Roman" w:cs="Times New Roman"/>
          <w:sz w:val="24"/>
          <w:szCs w:val="24"/>
        </w:rPr>
        <w:t>й, профилактическ</w:t>
      </w:r>
      <w:r w:rsidR="0086350A" w:rsidRPr="00087090">
        <w:rPr>
          <w:rFonts w:ascii="Times New Roman" w:hAnsi="Times New Roman" w:cs="Times New Roman"/>
          <w:sz w:val="24"/>
          <w:szCs w:val="24"/>
        </w:rPr>
        <w:t>о</w:t>
      </w:r>
      <w:r w:rsidRPr="00087090">
        <w:rPr>
          <w:rFonts w:ascii="Times New Roman" w:hAnsi="Times New Roman" w:cs="Times New Roman"/>
          <w:sz w:val="24"/>
          <w:szCs w:val="24"/>
        </w:rPr>
        <w:t>й, лечебн</w:t>
      </w:r>
      <w:r w:rsidR="0086350A" w:rsidRPr="00087090">
        <w:rPr>
          <w:rFonts w:ascii="Times New Roman" w:hAnsi="Times New Roman" w:cs="Times New Roman"/>
          <w:sz w:val="24"/>
          <w:szCs w:val="24"/>
        </w:rPr>
        <w:t>о</w:t>
      </w:r>
      <w:r w:rsidRPr="00087090">
        <w:rPr>
          <w:rFonts w:ascii="Times New Roman" w:hAnsi="Times New Roman" w:cs="Times New Roman"/>
          <w:sz w:val="24"/>
          <w:szCs w:val="24"/>
        </w:rPr>
        <w:t>й, реабилитационн</w:t>
      </w:r>
      <w:r w:rsidR="0086350A" w:rsidRPr="00087090">
        <w:rPr>
          <w:rFonts w:ascii="Times New Roman" w:hAnsi="Times New Roman" w:cs="Times New Roman"/>
          <w:sz w:val="24"/>
          <w:szCs w:val="24"/>
        </w:rPr>
        <w:t>о</w:t>
      </w:r>
      <w:r w:rsidRPr="00087090">
        <w:rPr>
          <w:rFonts w:ascii="Times New Roman" w:hAnsi="Times New Roman" w:cs="Times New Roman"/>
          <w:sz w:val="24"/>
          <w:szCs w:val="24"/>
        </w:rPr>
        <w:t xml:space="preserve">й, </w:t>
      </w:r>
      <w:r w:rsidR="0086350A" w:rsidRPr="00087090">
        <w:rPr>
          <w:rFonts w:ascii="Times New Roman" w:hAnsi="Times New Roman" w:cs="Times New Roman"/>
          <w:sz w:val="24"/>
          <w:szCs w:val="24"/>
        </w:rPr>
        <w:t>кратковременный</w:t>
      </w:r>
      <w:r w:rsidRPr="00087090">
        <w:rPr>
          <w:rFonts w:ascii="Times New Roman" w:hAnsi="Times New Roman" w:cs="Times New Roman"/>
          <w:sz w:val="24"/>
          <w:szCs w:val="24"/>
        </w:rPr>
        <w:t xml:space="preserve"> или долгосрочный уход), включая все лекарства, вакцины и другие фармацевтические препараты</w:t>
      </w:r>
      <w:r w:rsidR="0086350A" w:rsidRPr="00087090">
        <w:rPr>
          <w:rFonts w:ascii="Times New Roman" w:hAnsi="Times New Roman" w:cs="Times New Roman"/>
          <w:sz w:val="24"/>
          <w:szCs w:val="24"/>
        </w:rPr>
        <w:t>,</w:t>
      </w:r>
      <w:r w:rsidRPr="00087090">
        <w:rPr>
          <w:rFonts w:ascii="Times New Roman" w:hAnsi="Times New Roman" w:cs="Times New Roman"/>
          <w:sz w:val="24"/>
          <w:szCs w:val="24"/>
        </w:rPr>
        <w:t xml:space="preserve"> как все продукты для здоровья, от любого поставщика и всех членов семьи. Эти расходы на здравоохранение характеризуются прямыми </w:t>
      </w:r>
      <w:r w:rsidR="0086350A" w:rsidRPr="00087090">
        <w:rPr>
          <w:rFonts w:ascii="Times New Roman" w:hAnsi="Times New Roman" w:cs="Times New Roman"/>
          <w:sz w:val="24"/>
          <w:szCs w:val="24"/>
        </w:rPr>
        <w:t>выплатами</w:t>
      </w:r>
      <w:r w:rsidRPr="00087090">
        <w:rPr>
          <w:rFonts w:ascii="Times New Roman" w:hAnsi="Times New Roman" w:cs="Times New Roman"/>
          <w:sz w:val="24"/>
          <w:szCs w:val="24"/>
        </w:rPr>
        <w:t xml:space="preserve">, которые финансируются за счет доходов домохозяйства (включая денежные переводы), сбережений или займов, но не включают выплаты сторонних плательщиков. Таким образом, они предоставляют только доступ к медицинским услугам и продуктам здравоохранения, за которые люди могут платить, без какой-либо </w:t>
      </w:r>
      <w:r w:rsidR="0086350A" w:rsidRPr="00087090">
        <w:rPr>
          <w:rFonts w:ascii="Times New Roman" w:hAnsi="Times New Roman" w:cs="Times New Roman"/>
          <w:sz w:val="24"/>
          <w:szCs w:val="24"/>
        </w:rPr>
        <w:t>взаимопомощи</w:t>
      </w:r>
      <w:r w:rsidRPr="00087090">
        <w:rPr>
          <w:rFonts w:ascii="Times New Roman" w:hAnsi="Times New Roman" w:cs="Times New Roman"/>
          <w:sz w:val="24"/>
          <w:szCs w:val="24"/>
        </w:rPr>
        <w:t xml:space="preserve"> между здоровыми и больными вне семьи</w:t>
      </w:r>
      <w:r w:rsidR="0086350A" w:rsidRPr="00293300">
        <w:rPr>
          <w:rFonts w:ascii="Times New Roman" w:hAnsi="Times New Roman" w:cs="Times New Roman"/>
          <w:sz w:val="24"/>
          <w:szCs w:val="24"/>
          <w:vertAlign w:val="superscript"/>
        </w:rPr>
        <w:footnoteReference w:id="2"/>
      </w:r>
      <w:r w:rsidRPr="00087090">
        <w:rPr>
          <w:rFonts w:ascii="Times New Roman" w:hAnsi="Times New Roman" w:cs="Times New Roman"/>
          <w:sz w:val="24"/>
          <w:szCs w:val="24"/>
        </w:rPr>
        <w:t xml:space="preserve"> и исключительно на основе готовности и способности домашнего хозяйства платить. Прямые </w:t>
      </w:r>
      <w:r w:rsidR="0086350A" w:rsidRPr="00087090">
        <w:rPr>
          <w:rFonts w:ascii="Times New Roman" w:hAnsi="Times New Roman" w:cs="Times New Roman"/>
          <w:sz w:val="24"/>
          <w:szCs w:val="24"/>
        </w:rPr>
        <w:t>выплаты</w:t>
      </w:r>
      <w:r w:rsidRPr="00087090">
        <w:rPr>
          <w:rFonts w:ascii="Times New Roman" w:hAnsi="Times New Roman" w:cs="Times New Roman"/>
          <w:sz w:val="24"/>
          <w:szCs w:val="24"/>
        </w:rPr>
        <w:t xml:space="preserve"> за медицинскую помощь обозначаются как «</w:t>
      </w:r>
      <w:r w:rsidR="0086350A" w:rsidRPr="00087090">
        <w:rPr>
          <w:rFonts w:ascii="Times New Roman" w:hAnsi="Times New Roman" w:cs="Times New Roman"/>
          <w:sz w:val="24"/>
          <w:szCs w:val="24"/>
        </w:rPr>
        <w:t>Личные выплаты</w:t>
      </w:r>
      <w:r w:rsidRPr="00087090">
        <w:rPr>
          <w:rFonts w:ascii="Times New Roman" w:hAnsi="Times New Roman" w:cs="Times New Roman"/>
          <w:sz w:val="24"/>
          <w:szCs w:val="24"/>
        </w:rPr>
        <w:t>» (</w:t>
      </w:r>
      <w:r w:rsidR="0086350A" w:rsidRPr="00087090">
        <w:rPr>
          <w:rFonts w:ascii="Times New Roman" w:hAnsi="Times New Roman" w:cs="Times New Roman"/>
          <w:sz w:val="24"/>
          <w:szCs w:val="24"/>
        </w:rPr>
        <w:t>ЛВ</w:t>
      </w:r>
      <w:r w:rsidRPr="00087090">
        <w:rPr>
          <w:rFonts w:ascii="Times New Roman" w:hAnsi="Times New Roman" w:cs="Times New Roman"/>
          <w:sz w:val="24"/>
          <w:szCs w:val="24"/>
        </w:rPr>
        <w:t>) платежи в классификации схем финансирования здравоохранения (</w:t>
      </w:r>
      <w:r w:rsidR="00D43FCD" w:rsidRPr="00087090">
        <w:rPr>
          <w:rFonts w:ascii="Times New Roman" w:hAnsi="Times New Roman" w:cs="Times New Roman"/>
          <w:sz w:val="24"/>
          <w:szCs w:val="24"/>
        </w:rPr>
        <w:t>СФ</w:t>
      </w:r>
      <w:r w:rsidRPr="00087090">
        <w:rPr>
          <w:rFonts w:ascii="Times New Roman" w:hAnsi="Times New Roman" w:cs="Times New Roman"/>
          <w:sz w:val="24"/>
          <w:szCs w:val="24"/>
        </w:rPr>
        <w:t xml:space="preserve">) </w:t>
      </w:r>
      <w:r w:rsidR="00D43FCD" w:rsidRPr="00087090">
        <w:rPr>
          <w:rFonts w:ascii="Times New Roman" w:hAnsi="Times New Roman" w:cs="Times New Roman"/>
          <w:sz w:val="24"/>
          <w:szCs w:val="24"/>
        </w:rPr>
        <w:t>Международной классификации для счетов здравоохранения (ССЗ-МКСЗ)</w:t>
      </w:r>
      <w:r w:rsidRPr="00087090">
        <w:rPr>
          <w:rFonts w:ascii="Times New Roman" w:hAnsi="Times New Roman" w:cs="Times New Roman"/>
          <w:sz w:val="24"/>
          <w:szCs w:val="24"/>
        </w:rPr>
        <w:t xml:space="preserve">. </w:t>
      </w:r>
      <w:r w:rsidR="0099253E" w:rsidRPr="00087090">
        <w:rPr>
          <w:rFonts w:ascii="Times New Roman" w:hAnsi="Times New Roman" w:cs="Times New Roman"/>
          <w:sz w:val="24"/>
          <w:szCs w:val="24"/>
        </w:rPr>
        <w:t xml:space="preserve">Расходы на </w:t>
      </w:r>
      <w:r w:rsidR="0099253E" w:rsidRPr="00087090">
        <w:rPr>
          <w:rFonts w:ascii="Times New Roman" w:hAnsi="Times New Roman" w:cs="Times New Roman"/>
          <w:sz w:val="24"/>
          <w:szCs w:val="24"/>
        </w:rPr>
        <w:lastRenderedPageBreak/>
        <w:t xml:space="preserve">здравоохранение </w:t>
      </w:r>
      <w:r w:rsidR="00D43FCD" w:rsidRPr="00087090">
        <w:rPr>
          <w:rFonts w:ascii="Times New Roman" w:hAnsi="Times New Roman" w:cs="Times New Roman"/>
          <w:sz w:val="24"/>
          <w:szCs w:val="24"/>
        </w:rPr>
        <w:t>ЛВ</w:t>
      </w:r>
      <w:r w:rsidR="0099253E" w:rsidRPr="00087090">
        <w:rPr>
          <w:rFonts w:ascii="Times New Roman" w:hAnsi="Times New Roman" w:cs="Times New Roman"/>
          <w:sz w:val="24"/>
          <w:szCs w:val="24"/>
        </w:rPr>
        <w:t xml:space="preserve"> являются наиболее безотлагательным источником финансирования системы здравоохранения.</w:t>
      </w:r>
    </w:p>
    <w:p w:rsidR="003071A2"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Компоненты расходов на потребление домашних хозяйств, определенные таким образом, должны соответствовать разделу 06 </w:t>
      </w:r>
      <w:r w:rsidR="00D43FCD" w:rsidRPr="00087090">
        <w:rPr>
          <w:rFonts w:ascii="Times New Roman" w:hAnsi="Times New Roman" w:cs="Times New Roman"/>
          <w:sz w:val="24"/>
          <w:szCs w:val="24"/>
        </w:rPr>
        <w:t>Классификации индивидуального потребления по целям (КИПЦ)</w:t>
      </w:r>
      <w:r w:rsidR="00D43FCD" w:rsidRPr="00293300">
        <w:rPr>
          <w:rFonts w:ascii="Times New Roman" w:hAnsi="Times New Roman" w:cs="Times New Roman"/>
          <w:sz w:val="24"/>
          <w:szCs w:val="24"/>
          <w:vertAlign w:val="superscript"/>
        </w:rPr>
        <w:footnoteReference w:id="3"/>
      </w:r>
      <w:r w:rsidRPr="00087090">
        <w:rPr>
          <w:rFonts w:ascii="Times New Roman" w:hAnsi="Times New Roman" w:cs="Times New Roman"/>
          <w:sz w:val="24"/>
          <w:szCs w:val="24"/>
        </w:rPr>
        <w:t xml:space="preserve"> и включать расходы на лекарства и медицинские товары (06.1), услуги амбулаторного лечения (06.2) и стационарные услуги (06.3). Дополнительная информация об определениях и классификациях (например, поставщиками по характеристикам бенефициара) расходов на здравоохранение должна соо</w:t>
      </w:r>
      <w:r w:rsidR="00D43FCD" w:rsidRPr="00087090">
        <w:rPr>
          <w:rFonts w:ascii="Times New Roman" w:hAnsi="Times New Roman" w:cs="Times New Roman"/>
          <w:sz w:val="24"/>
          <w:szCs w:val="24"/>
        </w:rPr>
        <w:t>тветствовать М</w:t>
      </w:r>
      <w:r w:rsidRPr="00087090">
        <w:rPr>
          <w:rFonts w:ascii="Times New Roman" w:hAnsi="Times New Roman" w:cs="Times New Roman"/>
          <w:sz w:val="24"/>
          <w:szCs w:val="24"/>
        </w:rPr>
        <w:t xml:space="preserve">еждународной классификации </w:t>
      </w:r>
      <w:r w:rsidR="00D43FCD" w:rsidRPr="00087090">
        <w:rPr>
          <w:rFonts w:ascii="Times New Roman" w:hAnsi="Times New Roman" w:cs="Times New Roman"/>
          <w:sz w:val="24"/>
          <w:szCs w:val="24"/>
        </w:rPr>
        <w:t xml:space="preserve">для </w:t>
      </w:r>
      <w:r w:rsidRPr="00087090">
        <w:rPr>
          <w:rFonts w:ascii="Times New Roman" w:hAnsi="Times New Roman" w:cs="Times New Roman"/>
          <w:sz w:val="24"/>
          <w:szCs w:val="24"/>
        </w:rPr>
        <w:t xml:space="preserve">счетов здравоохранения и ее классификации. </w:t>
      </w:r>
      <w:r w:rsidR="00D43FCD" w:rsidRPr="00087090">
        <w:rPr>
          <w:rFonts w:ascii="Times New Roman" w:hAnsi="Times New Roman" w:cs="Times New Roman"/>
          <w:sz w:val="24"/>
          <w:szCs w:val="24"/>
        </w:rPr>
        <w:t>ССЗ-М</w:t>
      </w:r>
      <w:r w:rsidR="00310B32" w:rsidRPr="00087090">
        <w:rPr>
          <w:rFonts w:ascii="Times New Roman" w:hAnsi="Times New Roman" w:cs="Times New Roman"/>
          <w:sz w:val="24"/>
          <w:szCs w:val="24"/>
        </w:rPr>
        <w:t>КС</w:t>
      </w:r>
      <w:r w:rsidR="00D43FCD" w:rsidRPr="00087090">
        <w:rPr>
          <w:rFonts w:ascii="Times New Roman" w:hAnsi="Times New Roman" w:cs="Times New Roman"/>
          <w:sz w:val="24"/>
          <w:szCs w:val="24"/>
        </w:rPr>
        <w:t>З</w:t>
      </w:r>
      <w:r w:rsidRPr="00087090">
        <w:rPr>
          <w:rFonts w:ascii="Times New Roman" w:hAnsi="Times New Roman" w:cs="Times New Roman"/>
          <w:sz w:val="24"/>
          <w:szCs w:val="24"/>
        </w:rPr>
        <w:t xml:space="preserve"> является результатом сотрудничества между ОЭСР, Евростатом и Всемирной организацией здравоохранения. </w:t>
      </w:r>
    </w:p>
    <w:p w:rsidR="003071A2" w:rsidRPr="00293300" w:rsidRDefault="0099253E" w:rsidP="00293300">
      <w:pPr>
        <w:jc w:val="both"/>
        <w:rPr>
          <w:rFonts w:ascii="Times New Roman" w:hAnsi="Times New Roman" w:cs="Times New Roman"/>
          <w:i/>
          <w:sz w:val="24"/>
          <w:szCs w:val="24"/>
        </w:rPr>
      </w:pPr>
      <w:r w:rsidRPr="00293300">
        <w:rPr>
          <w:rFonts w:ascii="Times New Roman" w:hAnsi="Times New Roman" w:cs="Times New Roman"/>
          <w:i/>
          <w:sz w:val="24"/>
          <w:szCs w:val="24"/>
        </w:rPr>
        <w:t xml:space="preserve">Знаменатель </w:t>
      </w:r>
    </w:p>
    <w:p w:rsidR="000C4418"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Расходы на потребление домашних хозяйств и доходы домашних хозяйств являются </w:t>
      </w:r>
      <w:r w:rsidR="0020533E" w:rsidRPr="00087090">
        <w:rPr>
          <w:rFonts w:ascii="Times New Roman" w:hAnsi="Times New Roman" w:cs="Times New Roman"/>
          <w:sz w:val="24"/>
          <w:szCs w:val="24"/>
        </w:rPr>
        <w:t>денежными мерами благосостояния</w:t>
      </w:r>
      <w:r w:rsidRPr="00087090">
        <w:rPr>
          <w:rFonts w:ascii="Times New Roman" w:hAnsi="Times New Roman" w:cs="Times New Roman"/>
          <w:sz w:val="24"/>
          <w:szCs w:val="24"/>
        </w:rPr>
        <w:t xml:space="preserve">. Потребление домашних хозяйств является функцией постоянного дохода, что является показателем долгосрочных экономических ресурсов домохозяйства, которые определяют уровень жизни. </w:t>
      </w:r>
      <w:r w:rsidR="00483E0F" w:rsidRPr="00087090">
        <w:rPr>
          <w:rFonts w:ascii="Times New Roman" w:hAnsi="Times New Roman" w:cs="Times New Roman"/>
          <w:sz w:val="24"/>
          <w:szCs w:val="24"/>
        </w:rPr>
        <w:t>Расход</w:t>
      </w:r>
      <w:r w:rsidRPr="00087090">
        <w:rPr>
          <w:rFonts w:ascii="Times New Roman" w:hAnsi="Times New Roman" w:cs="Times New Roman"/>
          <w:sz w:val="24"/>
          <w:szCs w:val="24"/>
        </w:rPr>
        <w:t xml:space="preserve"> обычно определяется как сумма денежных значений всех товаров (товаров и услуг), потребляемых домохозяйством на внутреннем счете в течение отчетного периода. Он включает вмененные ценности товаров и услуг, которые не покупаются, а приобретаются иным образом для потребления. Информация о </w:t>
      </w:r>
      <w:r w:rsidR="00483E0F" w:rsidRPr="00087090">
        <w:rPr>
          <w:rFonts w:ascii="Times New Roman" w:hAnsi="Times New Roman" w:cs="Times New Roman"/>
          <w:sz w:val="24"/>
          <w:szCs w:val="24"/>
        </w:rPr>
        <w:t>расходах</w:t>
      </w:r>
      <w:r w:rsidRPr="00087090">
        <w:rPr>
          <w:rFonts w:ascii="Times New Roman" w:hAnsi="Times New Roman" w:cs="Times New Roman"/>
          <w:sz w:val="24"/>
          <w:szCs w:val="24"/>
        </w:rPr>
        <w:t xml:space="preserve"> домашних хозяйств обычно собирается в обследованиях домашних хозяйств, </w:t>
      </w:r>
      <w:r w:rsidR="000C4418" w:rsidRPr="00087090">
        <w:rPr>
          <w:rFonts w:ascii="Times New Roman" w:hAnsi="Times New Roman" w:cs="Times New Roman"/>
          <w:sz w:val="24"/>
          <w:szCs w:val="24"/>
        </w:rPr>
        <w:t xml:space="preserve">в </w:t>
      </w:r>
      <w:r w:rsidRPr="00087090">
        <w:rPr>
          <w:rFonts w:ascii="Times New Roman" w:hAnsi="Times New Roman" w:cs="Times New Roman"/>
          <w:sz w:val="24"/>
          <w:szCs w:val="24"/>
        </w:rPr>
        <w:t>которы</w:t>
      </w:r>
      <w:r w:rsidR="000C4418" w:rsidRPr="00087090">
        <w:rPr>
          <w:rFonts w:ascii="Times New Roman" w:hAnsi="Times New Roman" w:cs="Times New Roman"/>
          <w:sz w:val="24"/>
          <w:szCs w:val="24"/>
        </w:rPr>
        <w:t>х</w:t>
      </w:r>
      <w:r w:rsidRPr="00087090">
        <w:rPr>
          <w:rFonts w:ascii="Times New Roman" w:hAnsi="Times New Roman" w:cs="Times New Roman"/>
          <w:sz w:val="24"/>
          <w:szCs w:val="24"/>
        </w:rPr>
        <w:t xml:space="preserve"> могут использовать</w:t>
      </w:r>
      <w:r w:rsidR="000C4418" w:rsidRPr="00087090">
        <w:rPr>
          <w:rFonts w:ascii="Times New Roman" w:hAnsi="Times New Roman" w:cs="Times New Roman"/>
          <w:sz w:val="24"/>
          <w:szCs w:val="24"/>
        </w:rPr>
        <w:t>ся</w:t>
      </w:r>
      <w:r w:rsidRPr="00087090">
        <w:rPr>
          <w:rFonts w:ascii="Times New Roman" w:hAnsi="Times New Roman" w:cs="Times New Roman"/>
          <w:sz w:val="24"/>
          <w:szCs w:val="24"/>
        </w:rPr>
        <w:t xml:space="preserve"> разные подходы к измерению «</w:t>
      </w:r>
      <w:r w:rsidR="00483E0F" w:rsidRPr="00087090">
        <w:rPr>
          <w:rFonts w:ascii="Times New Roman" w:hAnsi="Times New Roman" w:cs="Times New Roman"/>
          <w:sz w:val="24"/>
          <w:szCs w:val="24"/>
        </w:rPr>
        <w:t>расходов</w:t>
      </w:r>
      <w:r w:rsidRPr="00087090">
        <w:rPr>
          <w:rFonts w:ascii="Times New Roman" w:hAnsi="Times New Roman" w:cs="Times New Roman"/>
          <w:sz w:val="24"/>
          <w:szCs w:val="24"/>
        </w:rPr>
        <w:t xml:space="preserve">» в зависимости от того, относятся ли предметы к </w:t>
      </w:r>
      <w:r w:rsidR="000C4418" w:rsidRPr="00087090">
        <w:rPr>
          <w:rFonts w:ascii="Times New Roman" w:hAnsi="Times New Roman" w:cs="Times New Roman"/>
          <w:sz w:val="24"/>
          <w:szCs w:val="24"/>
        </w:rPr>
        <w:t>долговечным или недолговечным товарам и/</w:t>
      </w:r>
      <w:r w:rsidRPr="00087090">
        <w:rPr>
          <w:rFonts w:ascii="Times New Roman" w:hAnsi="Times New Roman" w:cs="Times New Roman"/>
          <w:sz w:val="24"/>
          <w:szCs w:val="24"/>
        </w:rPr>
        <w:t xml:space="preserve">или производятся непосредственно домохозяйствами. </w:t>
      </w:r>
    </w:p>
    <w:p w:rsidR="000C4418"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Наиболее важным показателем дохода является располагаемый доход, поскольку он близок к максимально доступному для домохозяйства расход</w:t>
      </w:r>
      <w:r w:rsidR="000C4418" w:rsidRPr="00087090">
        <w:rPr>
          <w:rFonts w:ascii="Times New Roman" w:hAnsi="Times New Roman" w:cs="Times New Roman"/>
          <w:sz w:val="24"/>
          <w:szCs w:val="24"/>
        </w:rPr>
        <w:t>у</w:t>
      </w:r>
      <w:r w:rsidRPr="00087090">
        <w:rPr>
          <w:rFonts w:ascii="Times New Roman" w:hAnsi="Times New Roman" w:cs="Times New Roman"/>
          <w:sz w:val="24"/>
          <w:szCs w:val="24"/>
        </w:rPr>
        <w:t xml:space="preserve"> на потребление в течение отчетного периода. </w:t>
      </w:r>
      <w:r w:rsidR="000C4418" w:rsidRPr="00087090">
        <w:rPr>
          <w:rFonts w:ascii="Times New Roman" w:hAnsi="Times New Roman" w:cs="Times New Roman"/>
          <w:sz w:val="24"/>
          <w:szCs w:val="24"/>
        </w:rPr>
        <w:t>Располагаемый</w:t>
      </w:r>
      <w:r w:rsidRPr="00087090">
        <w:rPr>
          <w:rFonts w:ascii="Times New Roman" w:hAnsi="Times New Roman" w:cs="Times New Roman"/>
          <w:sz w:val="24"/>
          <w:szCs w:val="24"/>
        </w:rPr>
        <w:t xml:space="preserve"> доход определяется как общий доход за вычетом прямых налогов (</w:t>
      </w:r>
      <w:r w:rsidR="000C4418" w:rsidRPr="00087090">
        <w:rPr>
          <w:rFonts w:ascii="Times New Roman" w:hAnsi="Times New Roman" w:cs="Times New Roman"/>
          <w:sz w:val="24"/>
          <w:szCs w:val="24"/>
        </w:rPr>
        <w:t>возмещаемых средств</w:t>
      </w:r>
      <w:r w:rsidRPr="00087090">
        <w:rPr>
          <w:rFonts w:ascii="Times New Roman" w:hAnsi="Times New Roman" w:cs="Times New Roman"/>
          <w:sz w:val="24"/>
          <w:szCs w:val="24"/>
        </w:rPr>
        <w:t>), обязательных сборов и штрафов. Общий доход, как правило, состоит из дохода от занятости, дохода от собственности, доходов от домашнего производства услуг для собственного потребления, поступлений денежных средств и товаров, переводов, полученных в качестве услуг</w:t>
      </w:r>
      <w:r w:rsidR="000C4418" w:rsidRPr="00293300">
        <w:rPr>
          <w:rFonts w:ascii="Times New Roman" w:hAnsi="Times New Roman" w:cs="Times New Roman"/>
          <w:sz w:val="24"/>
          <w:szCs w:val="24"/>
          <w:vertAlign w:val="superscript"/>
        </w:rPr>
        <w:footnoteReference w:id="4"/>
      </w:r>
      <w:r w:rsidRPr="00087090">
        <w:rPr>
          <w:rFonts w:ascii="Times New Roman" w:hAnsi="Times New Roman" w:cs="Times New Roman"/>
          <w:sz w:val="24"/>
          <w:szCs w:val="24"/>
        </w:rPr>
        <w:t xml:space="preserve">. </w:t>
      </w:r>
    </w:p>
    <w:p w:rsidR="000C4418"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Доход труднее измерять точно из-за его большей изменчивости с течением времени. </w:t>
      </w:r>
      <w:r w:rsidR="000C4418" w:rsidRPr="00087090">
        <w:rPr>
          <w:rFonts w:ascii="Times New Roman" w:hAnsi="Times New Roman" w:cs="Times New Roman"/>
          <w:sz w:val="24"/>
          <w:szCs w:val="24"/>
        </w:rPr>
        <w:t>Расход</w:t>
      </w:r>
      <w:r w:rsidRPr="00087090">
        <w:rPr>
          <w:rFonts w:ascii="Times New Roman" w:hAnsi="Times New Roman" w:cs="Times New Roman"/>
          <w:sz w:val="24"/>
          <w:szCs w:val="24"/>
        </w:rPr>
        <w:t xml:space="preserve"> является менее переменным с течением времени и его легче измерить. Поэтому рекомендуется, чтобы всякий раз, когда имеется информация о </w:t>
      </w:r>
      <w:r w:rsidR="000C4418" w:rsidRPr="00087090">
        <w:rPr>
          <w:rFonts w:ascii="Times New Roman" w:hAnsi="Times New Roman" w:cs="Times New Roman"/>
          <w:sz w:val="24"/>
          <w:szCs w:val="24"/>
        </w:rPr>
        <w:t>расходах</w:t>
      </w:r>
      <w:r w:rsidRPr="00087090">
        <w:rPr>
          <w:rFonts w:ascii="Times New Roman" w:hAnsi="Times New Roman" w:cs="Times New Roman"/>
          <w:sz w:val="24"/>
          <w:szCs w:val="24"/>
        </w:rPr>
        <w:t xml:space="preserve"> и доход</w:t>
      </w:r>
      <w:r w:rsidR="000C4418" w:rsidRPr="00087090">
        <w:rPr>
          <w:rFonts w:ascii="Times New Roman" w:hAnsi="Times New Roman" w:cs="Times New Roman"/>
          <w:sz w:val="24"/>
          <w:szCs w:val="24"/>
        </w:rPr>
        <w:t>ах</w:t>
      </w:r>
      <w:r w:rsidRPr="00087090">
        <w:rPr>
          <w:rFonts w:ascii="Times New Roman" w:hAnsi="Times New Roman" w:cs="Times New Roman"/>
          <w:sz w:val="24"/>
          <w:szCs w:val="24"/>
        </w:rPr>
        <w:t xml:space="preserve"> домашних хозяйств, </w:t>
      </w:r>
      <w:r w:rsidR="000C4418" w:rsidRPr="00087090">
        <w:rPr>
          <w:rFonts w:ascii="Times New Roman" w:hAnsi="Times New Roman" w:cs="Times New Roman"/>
          <w:sz w:val="24"/>
          <w:szCs w:val="24"/>
        </w:rPr>
        <w:t>использовали данные по расходам</w:t>
      </w:r>
      <w:r w:rsidRPr="00087090">
        <w:rPr>
          <w:rFonts w:ascii="Times New Roman" w:hAnsi="Times New Roman" w:cs="Times New Roman"/>
          <w:sz w:val="24"/>
          <w:szCs w:val="24"/>
        </w:rPr>
        <w:t xml:space="preserve"> (см. </w:t>
      </w:r>
      <w:r w:rsidR="000C4418" w:rsidRPr="00087090">
        <w:rPr>
          <w:rFonts w:ascii="Times New Roman" w:hAnsi="Times New Roman" w:cs="Times New Roman"/>
          <w:sz w:val="24"/>
          <w:szCs w:val="24"/>
        </w:rPr>
        <w:t>и</w:t>
      </w:r>
      <w:r w:rsidRPr="00087090">
        <w:rPr>
          <w:rFonts w:ascii="Times New Roman" w:hAnsi="Times New Roman" w:cs="Times New Roman"/>
          <w:sz w:val="24"/>
          <w:szCs w:val="24"/>
        </w:rPr>
        <w:t xml:space="preserve">сточники данных). </w:t>
      </w:r>
    </w:p>
    <w:p w:rsidR="0099253E" w:rsidRPr="003A5EC6" w:rsidRDefault="00F309D8" w:rsidP="00293300">
      <w:pPr>
        <w:jc w:val="both"/>
        <w:rPr>
          <w:rFonts w:ascii="Times New Roman" w:hAnsi="Times New Roman" w:cs="Times New Roman"/>
          <w:i/>
          <w:sz w:val="24"/>
          <w:szCs w:val="24"/>
        </w:rPr>
      </w:pPr>
      <w:r w:rsidRPr="003A5EC6">
        <w:rPr>
          <w:rFonts w:ascii="Times New Roman" w:hAnsi="Times New Roman" w:cs="Times New Roman"/>
          <w:i/>
          <w:sz w:val="24"/>
          <w:szCs w:val="24"/>
        </w:rPr>
        <w:t>П</w:t>
      </w:r>
      <w:r w:rsidR="0099253E" w:rsidRPr="003A5EC6">
        <w:rPr>
          <w:rFonts w:ascii="Times New Roman" w:hAnsi="Times New Roman" w:cs="Times New Roman"/>
          <w:i/>
          <w:sz w:val="24"/>
          <w:szCs w:val="24"/>
        </w:rPr>
        <w:t>орог</w:t>
      </w:r>
    </w:p>
    <w:p w:rsidR="0099253E" w:rsidRPr="00087090" w:rsidRDefault="00235A8E" w:rsidP="00293300">
      <w:pPr>
        <w:jc w:val="both"/>
        <w:rPr>
          <w:rFonts w:ascii="Times New Roman" w:hAnsi="Times New Roman" w:cs="Times New Roman"/>
          <w:sz w:val="24"/>
          <w:szCs w:val="24"/>
        </w:rPr>
      </w:pPr>
      <w:r w:rsidRPr="00087090">
        <w:rPr>
          <w:rFonts w:ascii="Times New Roman" w:hAnsi="Times New Roman" w:cs="Times New Roman"/>
          <w:sz w:val="24"/>
          <w:szCs w:val="24"/>
        </w:rPr>
        <w:t>Для глобальной отчетности р</w:t>
      </w:r>
      <w:r w:rsidR="0099253E" w:rsidRPr="00087090">
        <w:rPr>
          <w:rFonts w:ascii="Times New Roman" w:hAnsi="Times New Roman" w:cs="Times New Roman"/>
          <w:sz w:val="24"/>
          <w:szCs w:val="24"/>
        </w:rPr>
        <w:t xml:space="preserve">екомендуется использовать два пороговых значения для определения больших расходов домашних хозяйств на здоровье как долю </w:t>
      </w:r>
      <w:r w:rsidR="00AA39DB" w:rsidRPr="00087090">
        <w:rPr>
          <w:rFonts w:ascii="Times New Roman" w:hAnsi="Times New Roman" w:cs="Times New Roman"/>
          <w:sz w:val="24"/>
          <w:szCs w:val="24"/>
        </w:rPr>
        <w:t xml:space="preserve">от </w:t>
      </w:r>
      <w:r w:rsidR="0099253E" w:rsidRPr="00087090">
        <w:rPr>
          <w:rFonts w:ascii="Times New Roman" w:hAnsi="Times New Roman" w:cs="Times New Roman"/>
          <w:sz w:val="24"/>
          <w:szCs w:val="24"/>
        </w:rPr>
        <w:t xml:space="preserve">общего потребления или дохода домашних хозяйств: более низкий порог 10% и более высокий порог в 25%. С </w:t>
      </w:r>
      <w:r w:rsidRPr="00087090">
        <w:rPr>
          <w:rFonts w:ascii="Times New Roman" w:hAnsi="Times New Roman" w:cs="Times New Roman"/>
          <w:sz w:val="24"/>
          <w:szCs w:val="24"/>
        </w:rPr>
        <w:t xml:space="preserve">помощью </w:t>
      </w:r>
      <w:r w:rsidR="0099253E" w:rsidRPr="00087090">
        <w:rPr>
          <w:rFonts w:ascii="Times New Roman" w:hAnsi="Times New Roman" w:cs="Times New Roman"/>
          <w:sz w:val="24"/>
          <w:szCs w:val="24"/>
        </w:rPr>
        <w:t>эти</w:t>
      </w:r>
      <w:r w:rsidRPr="00087090">
        <w:rPr>
          <w:rFonts w:ascii="Times New Roman" w:hAnsi="Times New Roman" w:cs="Times New Roman"/>
          <w:sz w:val="24"/>
          <w:szCs w:val="24"/>
        </w:rPr>
        <w:t>х</w:t>
      </w:r>
      <w:r w:rsidR="0099253E" w:rsidRPr="00087090">
        <w:rPr>
          <w:rFonts w:ascii="Times New Roman" w:hAnsi="Times New Roman" w:cs="Times New Roman"/>
          <w:sz w:val="24"/>
          <w:szCs w:val="24"/>
        </w:rPr>
        <w:t xml:space="preserve"> дву</w:t>
      </w:r>
      <w:r w:rsidRPr="00087090">
        <w:rPr>
          <w:rFonts w:ascii="Times New Roman" w:hAnsi="Times New Roman" w:cs="Times New Roman"/>
          <w:sz w:val="24"/>
          <w:szCs w:val="24"/>
        </w:rPr>
        <w:t>х</w:t>
      </w:r>
      <w:r w:rsidR="0099253E" w:rsidRPr="00087090">
        <w:rPr>
          <w:rFonts w:ascii="Times New Roman" w:hAnsi="Times New Roman" w:cs="Times New Roman"/>
          <w:sz w:val="24"/>
          <w:szCs w:val="24"/>
        </w:rPr>
        <w:t xml:space="preserve"> порог</w:t>
      </w:r>
      <w:r w:rsidRPr="00087090">
        <w:rPr>
          <w:rFonts w:ascii="Times New Roman" w:hAnsi="Times New Roman" w:cs="Times New Roman"/>
          <w:sz w:val="24"/>
          <w:szCs w:val="24"/>
        </w:rPr>
        <w:t>ов</w:t>
      </w:r>
      <w:r w:rsidR="0099253E" w:rsidRPr="00087090">
        <w:rPr>
          <w:rFonts w:ascii="Times New Roman" w:hAnsi="Times New Roman" w:cs="Times New Roman"/>
          <w:sz w:val="24"/>
          <w:szCs w:val="24"/>
        </w:rPr>
        <w:t xml:space="preserve"> </w:t>
      </w:r>
      <w:r w:rsidRPr="00087090">
        <w:rPr>
          <w:rFonts w:ascii="Times New Roman" w:hAnsi="Times New Roman" w:cs="Times New Roman"/>
          <w:sz w:val="24"/>
          <w:szCs w:val="24"/>
        </w:rPr>
        <w:t>показатель</w:t>
      </w:r>
      <w:r w:rsidR="0099253E" w:rsidRPr="00087090">
        <w:rPr>
          <w:rFonts w:ascii="Times New Roman" w:hAnsi="Times New Roman" w:cs="Times New Roman"/>
          <w:sz w:val="24"/>
          <w:szCs w:val="24"/>
        </w:rPr>
        <w:t xml:space="preserve"> измеряет финансов</w:t>
      </w:r>
      <w:r w:rsidRPr="00087090">
        <w:rPr>
          <w:rFonts w:ascii="Times New Roman" w:hAnsi="Times New Roman" w:cs="Times New Roman"/>
          <w:sz w:val="24"/>
          <w:szCs w:val="24"/>
        </w:rPr>
        <w:t>ое</w:t>
      </w:r>
      <w:r w:rsidR="0099253E" w:rsidRPr="00087090">
        <w:rPr>
          <w:rFonts w:ascii="Times New Roman" w:hAnsi="Times New Roman" w:cs="Times New Roman"/>
          <w:sz w:val="24"/>
          <w:szCs w:val="24"/>
        </w:rPr>
        <w:t xml:space="preserve"> </w:t>
      </w:r>
      <w:r w:rsidRPr="00087090">
        <w:rPr>
          <w:rFonts w:ascii="Times New Roman" w:hAnsi="Times New Roman" w:cs="Times New Roman"/>
          <w:sz w:val="24"/>
          <w:szCs w:val="24"/>
        </w:rPr>
        <w:t>бремя</w:t>
      </w:r>
      <w:r w:rsidR="0099253E" w:rsidRPr="00087090">
        <w:rPr>
          <w:rFonts w:ascii="Times New Roman" w:hAnsi="Times New Roman" w:cs="Times New Roman"/>
          <w:sz w:val="24"/>
          <w:szCs w:val="24"/>
        </w:rPr>
        <w:t xml:space="preserve"> (см. Раздел о </w:t>
      </w:r>
      <w:r w:rsidR="003A5EC6">
        <w:rPr>
          <w:rFonts w:ascii="Times New Roman" w:hAnsi="Times New Roman" w:cs="Times New Roman"/>
          <w:sz w:val="24"/>
          <w:szCs w:val="24"/>
        </w:rPr>
        <w:t>к</w:t>
      </w:r>
      <w:r w:rsidR="003A5EC6" w:rsidRPr="003A5EC6">
        <w:rPr>
          <w:rFonts w:ascii="Times New Roman" w:hAnsi="Times New Roman" w:cs="Times New Roman"/>
          <w:sz w:val="24"/>
          <w:szCs w:val="24"/>
        </w:rPr>
        <w:t>омментари</w:t>
      </w:r>
      <w:r w:rsidR="003A5EC6">
        <w:rPr>
          <w:rFonts w:ascii="Times New Roman" w:hAnsi="Times New Roman" w:cs="Times New Roman"/>
          <w:sz w:val="24"/>
          <w:szCs w:val="24"/>
        </w:rPr>
        <w:t>ях</w:t>
      </w:r>
      <w:r w:rsidR="003A5EC6" w:rsidRPr="003A5EC6">
        <w:rPr>
          <w:rFonts w:ascii="Times New Roman" w:hAnsi="Times New Roman" w:cs="Times New Roman"/>
          <w:sz w:val="24"/>
          <w:szCs w:val="24"/>
        </w:rPr>
        <w:t xml:space="preserve"> и ограничения</w:t>
      </w:r>
      <w:r w:rsidR="003A5EC6">
        <w:rPr>
          <w:rFonts w:ascii="Times New Roman" w:hAnsi="Times New Roman" w:cs="Times New Roman"/>
          <w:sz w:val="24"/>
          <w:szCs w:val="24"/>
        </w:rPr>
        <w:t>х</w:t>
      </w:r>
      <w:r w:rsidR="0099253E" w:rsidRPr="00087090">
        <w:rPr>
          <w:rFonts w:ascii="Times New Roman" w:hAnsi="Times New Roman" w:cs="Times New Roman"/>
          <w:sz w:val="24"/>
          <w:szCs w:val="24"/>
        </w:rPr>
        <w:t>).</w:t>
      </w:r>
    </w:p>
    <w:p w:rsidR="003A5EC6" w:rsidRPr="003A5EC6" w:rsidRDefault="003A5EC6" w:rsidP="00293300">
      <w:pPr>
        <w:jc w:val="both"/>
        <w:rPr>
          <w:rFonts w:ascii="Times New Roman" w:hAnsi="Times New Roman" w:cs="Times New Roman"/>
          <w:b/>
          <w:sz w:val="24"/>
          <w:szCs w:val="24"/>
        </w:rPr>
      </w:pPr>
      <w:r w:rsidRPr="003A5EC6">
        <w:rPr>
          <w:rFonts w:ascii="Times New Roman" w:hAnsi="Times New Roman" w:cs="Times New Roman"/>
          <w:b/>
          <w:sz w:val="24"/>
          <w:szCs w:val="24"/>
        </w:rPr>
        <w:lastRenderedPageBreak/>
        <w:t>Комментарии и ограничения:</w:t>
      </w:r>
    </w:p>
    <w:p w:rsidR="00C173B0" w:rsidRPr="00087090" w:rsidRDefault="00235A8E" w:rsidP="00293300">
      <w:pPr>
        <w:jc w:val="both"/>
        <w:rPr>
          <w:rFonts w:ascii="Times New Roman" w:hAnsi="Times New Roman" w:cs="Times New Roman"/>
          <w:sz w:val="24"/>
          <w:szCs w:val="24"/>
        </w:rPr>
      </w:pPr>
      <w:r w:rsidRPr="00087090">
        <w:rPr>
          <w:rFonts w:ascii="Times New Roman" w:hAnsi="Times New Roman" w:cs="Times New Roman"/>
          <w:sz w:val="24"/>
          <w:szCs w:val="24"/>
        </w:rPr>
        <w:t>М</w:t>
      </w:r>
      <w:r w:rsidR="0099253E" w:rsidRPr="00087090">
        <w:rPr>
          <w:rFonts w:ascii="Times New Roman" w:hAnsi="Times New Roman" w:cs="Times New Roman"/>
          <w:sz w:val="24"/>
          <w:szCs w:val="24"/>
        </w:rPr>
        <w:t xml:space="preserve">ожно регулярно отслеживать показатель 3.8.2 с использованием тех же данных обследований домохозяйств, которые используются для мониторинга </w:t>
      </w:r>
      <w:r w:rsidRPr="00087090">
        <w:rPr>
          <w:rFonts w:ascii="Times New Roman" w:hAnsi="Times New Roman" w:cs="Times New Roman"/>
          <w:sz w:val="24"/>
          <w:szCs w:val="24"/>
        </w:rPr>
        <w:t>задач</w:t>
      </w:r>
      <w:r w:rsidR="0099253E" w:rsidRPr="00087090">
        <w:rPr>
          <w:rFonts w:ascii="Times New Roman" w:hAnsi="Times New Roman" w:cs="Times New Roman"/>
          <w:sz w:val="24"/>
          <w:szCs w:val="24"/>
        </w:rPr>
        <w:t xml:space="preserve"> </w:t>
      </w:r>
      <w:r w:rsidRPr="00087090">
        <w:rPr>
          <w:rFonts w:ascii="Times New Roman" w:hAnsi="Times New Roman" w:cs="Times New Roman"/>
          <w:sz w:val="24"/>
          <w:szCs w:val="24"/>
        </w:rPr>
        <w:t xml:space="preserve">ЦУР </w:t>
      </w:r>
      <w:r w:rsidR="0099253E" w:rsidRPr="00087090">
        <w:rPr>
          <w:rFonts w:ascii="Times New Roman" w:hAnsi="Times New Roman" w:cs="Times New Roman"/>
          <w:sz w:val="24"/>
          <w:szCs w:val="24"/>
        </w:rPr>
        <w:t>1.1 и 1.2 по бедности</w:t>
      </w:r>
      <w:r w:rsidRPr="003A5EC6">
        <w:rPr>
          <w:rFonts w:ascii="Times New Roman" w:hAnsi="Times New Roman" w:cs="Times New Roman"/>
          <w:sz w:val="24"/>
          <w:szCs w:val="24"/>
          <w:vertAlign w:val="superscript"/>
        </w:rPr>
        <w:footnoteReference w:id="5"/>
      </w:r>
      <w:r w:rsidR="0099253E" w:rsidRPr="00087090">
        <w:rPr>
          <w:rFonts w:ascii="Times New Roman" w:hAnsi="Times New Roman" w:cs="Times New Roman"/>
          <w:sz w:val="24"/>
          <w:szCs w:val="24"/>
        </w:rPr>
        <w:t>. Эти обследования также регулярно проводятся для других целей, таких как расчет вес</w:t>
      </w:r>
      <w:r w:rsidRPr="00087090">
        <w:rPr>
          <w:rFonts w:ascii="Times New Roman" w:hAnsi="Times New Roman" w:cs="Times New Roman"/>
          <w:sz w:val="24"/>
          <w:szCs w:val="24"/>
        </w:rPr>
        <w:t>ов</w:t>
      </w:r>
      <w:r w:rsidR="0099253E" w:rsidRPr="00087090">
        <w:rPr>
          <w:rFonts w:ascii="Times New Roman" w:hAnsi="Times New Roman" w:cs="Times New Roman"/>
          <w:sz w:val="24"/>
          <w:szCs w:val="24"/>
        </w:rPr>
        <w:t xml:space="preserve"> для индекса потребительских цен. Эти обследования обычно проводятся НСУ. Таким образом, мониторинг доли населения с большими расходами домашних хозяйств на здравоохранение в виде доли от общего потребления или дохода домашних хозяйств не добавляет дополнительной нагрузки на сбор данных, если можно определить компонент расходов на здравоохранение из данных о непищевом хозяйстве домашних хозяйств. Хотя это является преимуществом, показатель 3.8.2 </w:t>
      </w:r>
      <w:r w:rsidRPr="00087090">
        <w:rPr>
          <w:rFonts w:ascii="Times New Roman" w:hAnsi="Times New Roman" w:cs="Times New Roman"/>
          <w:sz w:val="24"/>
          <w:szCs w:val="24"/>
        </w:rPr>
        <w:t>испытывает те же проблемы</w:t>
      </w:r>
      <w:r w:rsidR="0099253E" w:rsidRPr="00087090">
        <w:rPr>
          <w:rFonts w:ascii="Times New Roman" w:hAnsi="Times New Roman" w:cs="Times New Roman"/>
          <w:sz w:val="24"/>
          <w:szCs w:val="24"/>
        </w:rPr>
        <w:t xml:space="preserve">, </w:t>
      </w:r>
      <w:r w:rsidRPr="00087090">
        <w:rPr>
          <w:rFonts w:ascii="Times New Roman" w:hAnsi="Times New Roman" w:cs="Times New Roman"/>
          <w:sz w:val="24"/>
          <w:szCs w:val="24"/>
        </w:rPr>
        <w:t>что и показатель ЦУР 1.1.1</w:t>
      </w:r>
      <w:r w:rsidR="00C173B0" w:rsidRPr="00087090">
        <w:rPr>
          <w:rFonts w:ascii="Times New Roman" w:hAnsi="Times New Roman" w:cs="Times New Roman"/>
          <w:sz w:val="24"/>
          <w:szCs w:val="24"/>
        </w:rPr>
        <w:t>,</w:t>
      </w:r>
      <w:r w:rsidRPr="00087090">
        <w:rPr>
          <w:rFonts w:ascii="Times New Roman" w:hAnsi="Times New Roman" w:cs="Times New Roman"/>
          <w:sz w:val="24"/>
          <w:szCs w:val="24"/>
        </w:rPr>
        <w:t xml:space="preserve"> </w:t>
      </w:r>
      <w:r w:rsidR="0099253E" w:rsidRPr="00087090">
        <w:rPr>
          <w:rFonts w:ascii="Times New Roman" w:hAnsi="Times New Roman" w:cs="Times New Roman"/>
          <w:sz w:val="24"/>
          <w:szCs w:val="24"/>
        </w:rPr>
        <w:t>связанны</w:t>
      </w:r>
      <w:r w:rsidR="00C173B0" w:rsidRPr="00087090">
        <w:rPr>
          <w:rFonts w:ascii="Times New Roman" w:hAnsi="Times New Roman" w:cs="Times New Roman"/>
          <w:sz w:val="24"/>
          <w:szCs w:val="24"/>
        </w:rPr>
        <w:t>е</w:t>
      </w:r>
      <w:r w:rsidR="0099253E" w:rsidRPr="00087090">
        <w:rPr>
          <w:rFonts w:ascii="Times New Roman" w:hAnsi="Times New Roman" w:cs="Times New Roman"/>
          <w:sz w:val="24"/>
          <w:szCs w:val="24"/>
        </w:rPr>
        <w:t xml:space="preserve"> с</w:t>
      </w:r>
      <w:r w:rsidR="003A5EC6">
        <w:rPr>
          <w:rFonts w:ascii="Times New Roman" w:hAnsi="Times New Roman" w:cs="Times New Roman"/>
          <w:sz w:val="24"/>
          <w:szCs w:val="24"/>
        </w:rPr>
        <w:t>о</w:t>
      </w:r>
      <w:r w:rsidR="0099253E" w:rsidRPr="00087090">
        <w:rPr>
          <w:rFonts w:ascii="Times New Roman" w:hAnsi="Times New Roman" w:cs="Times New Roman"/>
          <w:sz w:val="24"/>
          <w:szCs w:val="24"/>
        </w:rPr>
        <w:t xml:space="preserve"> своевременностью, частотой, качеством данных и сопоставимостью обследований. Однако </w:t>
      </w:r>
      <w:r w:rsidR="00C173B0" w:rsidRPr="00087090">
        <w:rPr>
          <w:rFonts w:ascii="Times New Roman" w:hAnsi="Times New Roman" w:cs="Times New Roman"/>
          <w:sz w:val="24"/>
          <w:szCs w:val="24"/>
        </w:rPr>
        <w:t>показатель</w:t>
      </w:r>
      <w:r w:rsidR="0099253E" w:rsidRPr="00087090">
        <w:rPr>
          <w:rFonts w:ascii="Times New Roman" w:hAnsi="Times New Roman" w:cs="Times New Roman"/>
          <w:sz w:val="24"/>
          <w:szCs w:val="24"/>
        </w:rPr>
        <w:t xml:space="preserve"> 3.8.2 имеет свои собственные </w:t>
      </w:r>
      <w:r w:rsidR="00C173B0" w:rsidRPr="00087090">
        <w:rPr>
          <w:rFonts w:ascii="Times New Roman" w:hAnsi="Times New Roman" w:cs="Times New Roman"/>
          <w:sz w:val="24"/>
          <w:szCs w:val="24"/>
        </w:rPr>
        <w:t>теоретические</w:t>
      </w:r>
      <w:r w:rsidR="0099253E" w:rsidRPr="00087090">
        <w:rPr>
          <w:rFonts w:ascii="Times New Roman" w:hAnsi="Times New Roman" w:cs="Times New Roman"/>
          <w:sz w:val="24"/>
          <w:szCs w:val="24"/>
        </w:rPr>
        <w:t xml:space="preserve"> и эмпирические ограничения. </w:t>
      </w:r>
    </w:p>
    <w:p w:rsidR="00C173B0"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Во-первых, показатель 3.8.2 пытается выявить финансовые трудности, с которыми сталкиваются лица при использовании своих доходов, сбережений или займов для оплаты медицинских услуг. Однако в большинстве обследований домашних хозяйств не удается определить источник финансирования, используемый домохозяйством, который сообщает о расходах на здравоохранение. В странах, где нет ретроспективного возмещения расходов домашних хозяйств на здравоохранение, это не проблема. Если домашнее хозяйство сообщит о любых расходах на здравоохранение, это будет связано с тем, что он не будет возмещен никаким сторонним плательщиком. Поэтому это согласуется с определением, данным для прямых </w:t>
      </w:r>
      <w:r w:rsidR="00C173B0" w:rsidRPr="00087090">
        <w:rPr>
          <w:rFonts w:ascii="Times New Roman" w:hAnsi="Times New Roman" w:cs="Times New Roman"/>
          <w:sz w:val="24"/>
          <w:szCs w:val="24"/>
        </w:rPr>
        <w:t>выплат</w:t>
      </w:r>
      <w:r w:rsidRPr="00087090">
        <w:rPr>
          <w:rFonts w:ascii="Times New Roman" w:hAnsi="Times New Roman" w:cs="Times New Roman"/>
          <w:sz w:val="24"/>
          <w:szCs w:val="24"/>
        </w:rPr>
        <w:t xml:space="preserve"> за здравоохранение (числитель). </w:t>
      </w:r>
    </w:p>
    <w:p w:rsidR="0099253E"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Для тех стран, с другой стороны, где есть ретроспективное возмещение - например, через систему медицинского страхования, предусматривающую взносы - сумма, сообщенная домохозяйством по расходам на здравоохранение, может быть полностью или частично возмещена в какой-то более поздний момент, возможно, за пределами периода </w:t>
      </w:r>
      <w:r w:rsidR="00C173B0" w:rsidRPr="00087090">
        <w:rPr>
          <w:rFonts w:ascii="Times New Roman" w:hAnsi="Times New Roman" w:cs="Times New Roman"/>
          <w:sz w:val="24"/>
          <w:szCs w:val="24"/>
        </w:rPr>
        <w:t>охвата</w:t>
      </w:r>
      <w:r w:rsidRPr="00087090">
        <w:rPr>
          <w:rFonts w:ascii="Times New Roman" w:hAnsi="Times New Roman" w:cs="Times New Roman"/>
          <w:sz w:val="24"/>
          <w:szCs w:val="24"/>
        </w:rPr>
        <w:t xml:space="preserve"> обследовани</w:t>
      </w:r>
      <w:r w:rsidR="00C173B0" w:rsidRPr="00087090">
        <w:rPr>
          <w:rFonts w:ascii="Times New Roman" w:hAnsi="Times New Roman" w:cs="Times New Roman"/>
          <w:sz w:val="24"/>
          <w:szCs w:val="24"/>
        </w:rPr>
        <w:t>я</w:t>
      </w:r>
      <w:r w:rsidRPr="00087090">
        <w:rPr>
          <w:rFonts w:ascii="Times New Roman" w:hAnsi="Times New Roman" w:cs="Times New Roman"/>
          <w:sz w:val="24"/>
          <w:szCs w:val="24"/>
        </w:rPr>
        <w:t xml:space="preserve"> домашних хозяйств.</w:t>
      </w:r>
    </w:p>
    <w:p w:rsidR="0099253E"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Очевидно, что требуется больше работы для обеспечения того, чтобы инструменты обследования собирали информацию об источниках финансирования, используемых домохозяйством для оплаты медицинских услуг, или </w:t>
      </w:r>
      <w:r w:rsidR="00C173B0" w:rsidRPr="00087090">
        <w:rPr>
          <w:rFonts w:ascii="Times New Roman" w:hAnsi="Times New Roman" w:cs="Times New Roman"/>
          <w:sz w:val="24"/>
          <w:szCs w:val="24"/>
        </w:rPr>
        <w:t xml:space="preserve">в </w:t>
      </w:r>
      <w:r w:rsidRPr="00087090">
        <w:rPr>
          <w:rFonts w:ascii="Times New Roman" w:hAnsi="Times New Roman" w:cs="Times New Roman"/>
          <w:sz w:val="24"/>
          <w:szCs w:val="24"/>
        </w:rPr>
        <w:t>инструмент</w:t>
      </w:r>
      <w:r w:rsidR="00C173B0" w:rsidRPr="00087090">
        <w:rPr>
          <w:rFonts w:ascii="Times New Roman" w:hAnsi="Times New Roman" w:cs="Times New Roman"/>
          <w:sz w:val="24"/>
          <w:szCs w:val="24"/>
        </w:rPr>
        <w:t>ах</w:t>
      </w:r>
      <w:r w:rsidRPr="00087090">
        <w:rPr>
          <w:rFonts w:ascii="Times New Roman" w:hAnsi="Times New Roman" w:cs="Times New Roman"/>
          <w:sz w:val="24"/>
          <w:szCs w:val="24"/>
        </w:rPr>
        <w:t xml:space="preserve"> обследовани</w:t>
      </w:r>
      <w:r w:rsidR="00C173B0" w:rsidRPr="00087090">
        <w:rPr>
          <w:rFonts w:ascii="Times New Roman" w:hAnsi="Times New Roman" w:cs="Times New Roman"/>
          <w:sz w:val="24"/>
          <w:szCs w:val="24"/>
        </w:rPr>
        <w:t>я</w:t>
      </w:r>
      <w:r w:rsidRPr="00087090">
        <w:rPr>
          <w:rFonts w:ascii="Times New Roman" w:hAnsi="Times New Roman" w:cs="Times New Roman"/>
          <w:sz w:val="24"/>
          <w:szCs w:val="24"/>
        </w:rPr>
        <w:t xml:space="preserve"> домашних хозяйств всегда </w:t>
      </w:r>
      <w:r w:rsidR="00C173B0" w:rsidRPr="00087090">
        <w:rPr>
          <w:rFonts w:ascii="Times New Roman" w:hAnsi="Times New Roman" w:cs="Times New Roman"/>
          <w:sz w:val="24"/>
          <w:szCs w:val="24"/>
        </w:rPr>
        <w:t>должно быть указано</w:t>
      </w:r>
      <w:r w:rsidRPr="00087090">
        <w:rPr>
          <w:rFonts w:ascii="Times New Roman" w:hAnsi="Times New Roman" w:cs="Times New Roman"/>
          <w:sz w:val="24"/>
          <w:szCs w:val="24"/>
        </w:rPr>
        <w:t>, что расходы на здравоохранение должны быть за вычетом возмещения.</w:t>
      </w:r>
    </w:p>
    <w:p w:rsidR="002A3DF0"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Во-вторых, показатель 3.8.2. опирается на един</w:t>
      </w:r>
      <w:r w:rsidR="002A3DF0" w:rsidRPr="00087090">
        <w:rPr>
          <w:rFonts w:ascii="Times New Roman" w:hAnsi="Times New Roman" w:cs="Times New Roman"/>
          <w:sz w:val="24"/>
          <w:szCs w:val="24"/>
        </w:rPr>
        <w:t>ый</w:t>
      </w:r>
      <w:r w:rsidRPr="00087090">
        <w:rPr>
          <w:rFonts w:ascii="Times New Roman" w:hAnsi="Times New Roman" w:cs="Times New Roman"/>
          <w:sz w:val="24"/>
          <w:szCs w:val="24"/>
        </w:rPr>
        <w:t xml:space="preserve"> </w:t>
      </w:r>
      <w:r w:rsidR="002A3DF0" w:rsidRPr="00087090">
        <w:rPr>
          <w:rFonts w:ascii="Times New Roman" w:hAnsi="Times New Roman" w:cs="Times New Roman"/>
          <w:sz w:val="24"/>
          <w:szCs w:val="24"/>
        </w:rPr>
        <w:t>порог</w:t>
      </w:r>
      <w:r w:rsidRPr="00087090">
        <w:rPr>
          <w:rFonts w:ascii="Times New Roman" w:hAnsi="Times New Roman" w:cs="Times New Roman"/>
          <w:sz w:val="24"/>
          <w:szCs w:val="24"/>
        </w:rPr>
        <w:t xml:space="preserve"> для определения того, что составляет «большие расходы на здравоохранение как долю от общих расходов домашних хозяйств или доходов». Люди, которые находятся ниже или выше таких порогов, не учитываются, что всегда является проблемой с мерами, основанными на </w:t>
      </w:r>
      <w:r w:rsidR="002A3DF0" w:rsidRPr="00087090">
        <w:rPr>
          <w:rFonts w:ascii="Times New Roman" w:hAnsi="Times New Roman" w:cs="Times New Roman"/>
          <w:sz w:val="24"/>
          <w:szCs w:val="24"/>
        </w:rPr>
        <w:t>пороговых значениях</w:t>
      </w:r>
      <w:r w:rsidRPr="00087090">
        <w:rPr>
          <w:rFonts w:ascii="Times New Roman" w:hAnsi="Times New Roman" w:cs="Times New Roman"/>
          <w:sz w:val="24"/>
          <w:szCs w:val="24"/>
        </w:rPr>
        <w:t xml:space="preserve">. Этого просто </w:t>
      </w:r>
      <w:r w:rsidR="002A3DF0" w:rsidRPr="00087090">
        <w:rPr>
          <w:rFonts w:ascii="Times New Roman" w:hAnsi="Times New Roman" w:cs="Times New Roman"/>
          <w:sz w:val="24"/>
          <w:szCs w:val="24"/>
        </w:rPr>
        <w:t>избежать,</w:t>
      </w:r>
      <w:r w:rsidRPr="00087090">
        <w:rPr>
          <w:rFonts w:ascii="Times New Roman" w:hAnsi="Times New Roman" w:cs="Times New Roman"/>
          <w:sz w:val="24"/>
          <w:szCs w:val="24"/>
        </w:rPr>
        <w:t xml:space="preserve"> построив кумулятивную функцию распределения соотношения расходов на здравоохранение </w:t>
      </w:r>
      <w:r w:rsidR="002A3DF0" w:rsidRPr="00087090">
        <w:rPr>
          <w:rFonts w:ascii="Times New Roman" w:hAnsi="Times New Roman" w:cs="Times New Roman"/>
          <w:sz w:val="24"/>
          <w:szCs w:val="24"/>
        </w:rPr>
        <w:t>на основе</w:t>
      </w:r>
      <w:r w:rsidRPr="00087090">
        <w:rPr>
          <w:rFonts w:ascii="Times New Roman" w:hAnsi="Times New Roman" w:cs="Times New Roman"/>
          <w:sz w:val="24"/>
          <w:szCs w:val="24"/>
        </w:rPr>
        <w:t xml:space="preserve"> 3.8.2. Поступая таким образом, можно определить долю населения</w:t>
      </w:r>
      <w:r w:rsidR="002A3DF0" w:rsidRPr="00087090">
        <w:rPr>
          <w:rFonts w:ascii="Times New Roman" w:hAnsi="Times New Roman" w:cs="Times New Roman"/>
          <w:sz w:val="24"/>
          <w:szCs w:val="24"/>
        </w:rPr>
        <w:t xml:space="preserve"> для любого порога</w:t>
      </w:r>
      <w:r w:rsidRPr="00087090">
        <w:rPr>
          <w:rFonts w:ascii="Times New Roman" w:hAnsi="Times New Roman" w:cs="Times New Roman"/>
          <w:sz w:val="24"/>
          <w:szCs w:val="24"/>
        </w:rPr>
        <w:t xml:space="preserve">, которая выделяет любую часть бюджета своего домохозяйства на здоровье. </w:t>
      </w:r>
    </w:p>
    <w:p w:rsidR="0099253E"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В-третьих, показатель 3.8.2. основывается на </w:t>
      </w:r>
      <w:r w:rsidR="008F6040" w:rsidRPr="00087090">
        <w:rPr>
          <w:rFonts w:ascii="Times New Roman" w:hAnsi="Times New Roman" w:cs="Times New Roman"/>
          <w:sz w:val="24"/>
          <w:szCs w:val="24"/>
        </w:rPr>
        <w:t xml:space="preserve">ретроспективных </w:t>
      </w:r>
      <w:r w:rsidRPr="00087090">
        <w:rPr>
          <w:rFonts w:ascii="Times New Roman" w:hAnsi="Times New Roman" w:cs="Times New Roman"/>
          <w:sz w:val="24"/>
          <w:szCs w:val="24"/>
        </w:rPr>
        <w:t xml:space="preserve">показателях расходов на здравоохранение. Низкий уровень расходов может быть обусловлен ошибками измерения из-за ошибок, не связанных с выборкой, таких как очень короткий период </w:t>
      </w:r>
      <w:r w:rsidR="008F6040" w:rsidRPr="00087090">
        <w:rPr>
          <w:rFonts w:ascii="Times New Roman" w:hAnsi="Times New Roman" w:cs="Times New Roman"/>
          <w:sz w:val="24"/>
          <w:szCs w:val="24"/>
        </w:rPr>
        <w:t>охвата</w:t>
      </w:r>
      <w:r w:rsidRPr="00087090">
        <w:rPr>
          <w:rFonts w:ascii="Times New Roman" w:hAnsi="Times New Roman" w:cs="Times New Roman"/>
          <w:sz w:val="24"/>
          <w:szCs w:val="24"/>
        </w:rPr>
        <w:t xml:space="preserve">, который не </w:t>
      </w:r>
      <w:r w:rsidRPr="00087090">
        <w:rPr>
          <w:rFonts w:ascii="Times New Roman" w:hAnsi="Times New Roman" w:cs="Times New Roman"/>
          <w:sz w:val="24"/>
          <w:szCs w:val="24"/>
        </w:rPr>
        <w:lastRenderedPageBreak/>
        <w:t>позволяет собирать информацию о здравоохранении, требующ</w:t>
      </w:r>
      <w:r w:rsidR="008F6040" w:rsidRPr="00087090">
        <w:rPr>
          <w:rFonts w:ascii="Times New Roman" w:hAnsi="Times New Roman" w:cs="Times New Roman"/>
          <w:sz w:val="24"/>
          <w:szCs w:val="24"/>
        </w:rPr>
        <w:t>его</w:t>
      </w:r>
      <w:r w:rsidRPr="00087090">
        <w:rPr>
          <w:rFonts w:ascii="Times New Roman" w:hAnsi="Times New Roman" w:cs="Times New Roman"/>
          <w:sz w:val="24"/>
          <w:szCs w:val="24"/>
        </w:rPr>
        <w:t xml:space="preserve"> ночевки; или ошибки выборки, такие как чрезмерная выборка областей с особенно низким бременем болезни. Никакие расходы также не могут быть вызваны тем, что люди не могут ничего </w:t>
      </w:r>
      <w:r w:rsidR="008F6040" w:rsidRPr="00087090">
        <w:rPr>
          <w:rFonts w:ascii="Times New Roman" w:hAnsi="Times New Roman" w:cs="Times New Roman"/>
          <w:sz w:val="24"/>
          <w:szCs w:val="24"/>
        </w:rPr>
        <w:t>по</w:t>
      </w:r>
      <w:r w:rsidRPr="00087090">
        <w:rPr>
          <w:rFonts w:ascii="Times New Roman" w:hAnsi="Times New Roman" w:cs="Times New Roman"/>
          <w:sz w:val="24"/>
          <w:szCs w:val="24"/>
        </w:rPr>
        <w:t xml:space="preserve">тратить на здоровье, по крайней мере, </w:t>
      </w:r>
      <w:r w:rsidR="008F6040" w:rsidRPr="00087090">
        <w:rPr>
          <w:rFonts w:ascii="Times New Roman" w:hAnsi="Times New Roman" w:cs="Times New Roman"/>
          <w:sz w:val="24"/>
          <w:szCs w:val="24"/>
        </w:rPr>
        <w:t>на</w:t>
      </w:r>
      <w:r w:rsidRPr="00087090">
        <w:rPr>
          <w:rFonts w:ascii="Times New Roman" w:hAnsi="Times New Roman" w:cs="Times New Roman"/>
          <w:sz w:val="24"/>
          <w:szCs w:val="24"/>
        </w:rPr>
        <w:t xml:space="preserve"> услуг</w:t>
      </w:r>
      <w:r w:rsidR="008F6040" w:rsidRPr="00087090">
        <w:rPr>
          <w:rFonts w:ascii="Times New Roman" w:hAnsi="Times New Roman" w:cs="Times New Roman"/>
          <w:sz w:val="24"/>
          <w:szCs w:val="24"/>
        </w:rPr>
        <w:t>и</w:t>
      </w:r>
      <w:r w:rsidRPr="00087090">
        <w:rPr>
          <w:rFonts w:ascii="Times New Roman" w:hAnsi="Times New Roman" w:cs="Times New Roman"/>
          <w:sz w:val="24"/>
          <w:szCs w:val="24"/>
        </w:rPr>
        <w:t>, включенны</w:t>
      </w:r>
      <w:r w:rsidR="008F6040" w:rsidRPr="00087090">
        <w:rPr>
          <w:rFonts w:ascii="Times New Roman" w:hAnsi="Times New Roman" w:cs="Times New Roman"/>
          <w:sz w:val="24"/>
          <w:szCs w:val="24"/>
        </w:rPr>
        <w:t>е</w:t>
      </w:r>
      <w:r w:rsidRPr="00087090">
        <w:rPr>
          <w:rFonts w:ascii="Times New Roman" w:hAnsi="Times New Roman" w:cs="Times New Roman"/>
          <w:sz w:val="24"/>
          <w:szCs w:val="24"/>
        </w:rPr>
        <w:t xml:space="preserve"> в 3.8.1, </w:t>
      </w:r>
      <w:r w:rsidR="008F6040" w:rsidRPr="00087090">
        <w:rPr>
          <w:rFonts w:ascii="Times New Roman" w:hAnsi="Times New Roman" w:cs="Times New Roman"/>
          <w:sz w:val="24"/>
          <w:szCs w:val="24"/>
        </w:rPr>
        <w:t xml:space="preserve">что тоже </w:t>
      </w:r>
      <w:r w:rsidRPr="00087090">
        <w:rPr>
          <w:rFonts w:ascii="Times New Roman" w:hAnsi="Times New Roman" w:cs="Times New Roman"/>
          <w:sz w:val="24"/>
          <w:szCs w:val="24"/>
        </w:rPr>
        <w:t>должн</w:t>
      </w:r>
      <w:r w:rsidR="008F6040" w:rsidRPr="00087090">
        <w:rPr>
          <w:rFonts w:ascii="Times New Roman" w:hAnsi="Times New Roman" w:cs="Times New Roman"/>
          <w:sz w:val="24"/>
          <w:szCs w:val="24"/>
        </w:rPr>
        <w:t>о</w:t>
      </w:r>
      <w:r w:rsidRPr="00087090">
        <w:rPr>
          <w:rFonts w:ascii="Times New Roman" w:hAnsi="Times New Roman" w:cs="Times New Roman"/>
          <w:sz w:val="24"/>
          <w:szCs w:val="24"/>
        </w:rPr>
        <w:t xml:space="preserve"> приводить к низкому уровню охвата.</w:t>
      </w:r>
    </w:p>
    <w:p w:rsidR="0099253E"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Существуют и другие </w:t>
      </w:r>
      <w:r w:rsidR="00DF3F2E" w:rsidRPr="00087090">
        <w:rPr>
          <w:rFonts w:ascii="Times New Roman" w:hAnsi="Times New Roman" w:cs="Times New Roman"/>
          <w:sz w:val="24"/>
          <w:szCs w:val="24"/>
        </w:rPr>
        <w:t>показатели</w:t>
      </w:r>
      <w:r w:rsidRPr="00087090">
        <w:rPr>
          <w:rFonts w:ascii="Times New Roman" w:hAnsi="Times New Roman" w:cs="Times New Roman"/>
          <w:sz w:val="24"/>
          <w:szCs w:val="24"/>
        </w:rPr>
        <w:t>, используемые для измерения финансов</w:t>
      </w:r>
      <w:r w:rsidR="00DF3F2E" w:rsidRPr="00087090">
        <w:rPr>
          <w:rFonts w:ascii="Times New Roman" w:hAnsi="Times New Roman" w:cs="Times New Roman"/>
          <w:sz w:val="24"/>
          <w:szCs w:val="24"/>
        </w:rPr>
        <w:t>ого</w:t>
      </w:r>
      <w:r w:rsidRPr="00087090">
        <w:rPr>
          <w:rFonts w:ascii="Times New Roman" w:hAnsi="Times New Roman" w:cs="Times New Roman"/>
          <w:sz w:val="24"/>
          <w:szCs w:val="24"/>
        </w:rPr>
        <w:t xml:space="preserve"> </w:t>
      </w:r>
      <w:r w:rsidR="00DF3F2E" w:rsidRPr="00087090">
        <w:rPr>
          <w:rFonts w:ascii="Times New Roman" w:hAnsi="Times New Roman" w:cs="Times New Roman"/>
          <w:sz w:val="24"/>
          <w:szCs w:val="24"/>
        </w:rPr>
        <w:t>бремени</w:t>
      </w:r>
      <w:r w:rsidRPr="00087090">
        <w:rPr>
          <w:rFonts w:ascii="Times New Roman" w:hAnsi="Times New Roman" w:cs="Times New Roman"/>
          <w:sz w:val="24"/>
          <w:szCs w:val="24"/>
        </w:rPr>
        <w:t>. Специализированные учреждения, такие как ВОЗ, используют более широкие рамки, которые включают определение больших расходов на здравоохранение в отношении расходов на проживание в дополнени</w:t>
      </w:r>
      <w:r w:rsidR="00DF3F2E" w:rsidRPr="00087090">
        <w:rPr>
          <w:rFonts w:ascii="Times New Roman" w:hAnsi="Times New Roman" w:cs="Times New Roman"/>
          <w:sz w:val="24"/>
          <w:szCs w:val="24"/>
        </w:rPr>
        <w:t>е к показателю 3.8.2</w:t>
      </w:r>
      <w:r w:rsidR="003A5EC6" w:rsidRPr="00413D82">
        <w:rPr>
          <w:rStyle w:val="a5"/>
          <w:rFonts w:ascii="Times New Roman" w:hAnsi="Times New Roman" w:cs="Times New Roman"/>
          <w:sz w:val="24"/>
          <w:szCs w:val="24"/>
        </w:rPr>
        <w:footnoteReference w:id="6"/>
      </w:r>
      <w:r w:rsidR="00413D82" w:rsidRPr="00413D82">
        <w:rPr>
          <w:rFonts w:ascii="Times New Roman" w:hAnsi="Times New Roman" w:cs="Times New Roman"/>
          <w:sz w:val="24"/>
          <w:szCs w:val="24"/>
          <w:vertAlign w:val="superscript"/>
          <w:lang w:val="en-US"/>
        </w:rPr>
        <w:t>,</w:t>
      </w:r>
      <w:r w:rsidR="003A5EC6" w:rsidRPr="00413D82">
        <w:rPr>
          <w:rStyle w:val="a5"/>
          <w:rFonts w:ascii="Times New Roman" w:hAnsi="Times New Roman" w:cs="Times New Roman"/>
          <w:sz w:val="24"/>
          <w:szCs w:val="24"/>
        </w:rPr>
        <w:footnoteReference w:id="7"/>
      </w:r>
      <w:r w:rsidR="00413D82" w:rsidRPr="00413D82">
        <w:rPr>
          <w:rFonts w:ascii="Times New Roman" w:hAnsi="Times New Roman" w:cs="Times New Roman"/>
          <w:sz w:val="24"/>
          <w:szCs w:val="24"/>
          <w:vertAlign w:val="superscript"/>
          <w:lang w:val="en-US"/>
        </w:rPr>
        <w:t>,</w:t>
      </w:r>
      <w:r w:rsidR="003A5EC6" w:rsidRPr="00413D82">
        <w:rPr>
          <w:rStyle w:val="a5"/>
          <w:rFonts w:ascii="Times New Roman" w:hAnsi="Times New Roman" w:cs="Times New Roman"/>
          <w:sz w:val="24"/>
          <w:szCs w:val="24"/>
        </w:rPr>
        <w:footnoteReference w:id="8"/>
      </w:r>
      <w:r w:rsidR="00413D82" w:rsidRPr="00413D82">
        <w:rPr>
          <w:rFonts w:ascii="Times New Roman" w:hAnsi="Times New Roman" w:cs="Times New Roman"/>
          <w:sz w:val="24"/>
          <w:szCs w:val="24"/>
          <w:vertAlign w:val="superscript"/>
          <w:lang w:val="en-US"/>
        </w:rPr>
        <w:t>,</w:t>
      </w:r>
      <w:r w:rsidR="003A5EC6" w:rsidRPr="00413D82">
        <w:rPr>
          <w:rStyle w:val="a5"/>
          <w:rFonts w:ascii="Times New Roman" w:hAnsi="Times New Roman" w:cs="Times New Roman"/>
          <w:sz w:val="24"/>
          <w:szCs w:val="24"/>
        </w:rPr>
        <w:footnoteReference w:id="9"/>
      </w:r>
      <w:r w:rsidR="00413D82" w:rsidRPr="00413D82">
        <w:rPr>
          <w:rFonts w:ascii="Times New Roman" w:hAnsi="Times New Roman" w:cs="Times New Roman"/>
          <w:sz w:val="24"/>
          <w:szCs w:val="24"/>
          <w:vertAlign w:val="superscript"/>
          <w:lang w:val="en-US"/>
        </w:rPr>
        <w:t>,</w:t>
      </w:r>
      <w:r w:rsidR="003A5EC6" w:rsidRPr="00413D82">
        <w:rPr>
          <w:rStyle w:val="a5"/>
          <w:rFonts w:ascii="Times New Roman" w:hAnsi="Times New Roman" w:cs="Times New Roman"/>
          <w:sz w:val="24"/>
          <w:szCs w:val="24"/>
        </w:rPr>
        <w:footnoteReference w:id="10"/>
      </w:r>
      <w:r w:rsidR="00413D82" w:rsidRPr="00413D82">
        <w:rPr>
          <w:rFonts w:ascii="Times New Roman" w:hAnsi="Times New Roman" w:cs="Times New Roman"/>
          <w:sz w:val="24"/>
          <w:szCs w:val="24"/>
          <w:vertAlign w:val="superscript"/>
          <w:lang w:val="en-US"/>
        </w:rPr>
        <w:t>,</w:t>
      </w:r>
      <w:r w:rsidR="003A5EC6" w:rsidRPr="00413D82">
        <w:rPr>
          <w:rStyle w:val="a5"/>
          <w:rFonts w:ascii="Times New Roman" w:hAnsi="Times New Roman" w:cs="Times New Roman"/>
          <w:sz w:val="24"/>
          <w:szCs w:val="24"/>
        </w:rPr>
        <w:footnoteReference w:id="11"/>
      </w:r>
      <w:r w:rsidRPr="00087090">
        <w:rPr>
          <w:rFonts w:ascii="Times New Roman" w:hAnsi="Times New Roman" w:cs="Times New Roman"/>
          <w:sz w:val="24"/>
          <w:szCs w:val="24"/>
        </w:rPr>
        <w:t>.</w:t>
      </w:r>
    </w:p>
    <w:p w:rsidR="0099253E" w:rsidRPr="00087090" w:rsidRDefault="00087090" w:rsidP="00293300">
      <w:pPr>
        <w:jc w:val="both"/>
        <w:rPr>
          <w:rFonts w:ascii="Times New Roman" w:hAnsi="Times New Roman" w:cs="Times New Roman"/>
          <w:b/>
          <w:sz w:val="24"/>
          <w:szCs w:val="24"/>
        </w:rPr>
      </w:pPr>
      <w:r w:rsidRPr="00087090">
        <w:rPr>
          <w:rFonts w:ascii="Times New Roman" w:hAnsi="Times New Roman" w:cs="Times New Roman"/>
          <w:b/>
          <w:sz w:val="24"/>
          <w:szCs w:val="24"/>
        </w:rPr>
        <w:t>Методология</w:t>
      </w:r>
    </w:p>
    <w:p w:rsid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Метод вычисления: </w:t>
      </w:r>
    </w:p>
    <w:p w:rsidR="00290DEE" w:rsidRPr="00087090" w:rsidRDefault="00290DEE" w:rsidP="00293300">
      <w:pPr>
        <w:jc w:val="both"/>
        <w:rPr>
          <w:rFonts w:ascii="Times New Roman" w:hAnsi="Times New Roman" w:cs="Times New Roman"/>
          <w:sz w:val="24"/>
          <w:szCs w:val="24"/>
        </w:rPr>
      </w:pPr>
      <w:r w:rsidRPr="00087090">
        <w:rPr>
          <w:rFonts w:ascii="Times New Roman" w:hAnsi="Times New Roman" w:cs="Times New Roman"/>
          <w:sz w:val="24"/>
          <w:szCs w:val="24"/>
        </w:rPr>
        <w:t>Средневзвешенное число людей, с учетом численности  населения, с большими расходами домашних хозяйств на здравоохранение как доля от общих расходов домашних хозяйств или доходов.</w:t>
      </w:r>
    </w:p>
    <w:p w:rsidR="00290DEE" w:rsidRPr="00087090" w:rsidRDefault="007B4647" w:rsidP="00293300">
      <w:pPr>
        <w:jc w:val="both"/>
        <w:rPr>
          <w:rFonts w:ascii="Times New Roman" w:hAnsi="Times New Roman" w:cs="Times New Roman"/>
          <w:sz w:val="24"/>
          <w:szCs w:val="24"/>
        </w:rPr>
      </w:pPr>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 xml:space="preserve">i </m:t>
            </m:r>
          </m:e>
        </m:nary>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oMath>
      <w:r w:rsidR="00290DEE" w:rsidRPr="00087090">
        <w:rPr>
          <w:rFonts w:ascii="Times New Roman" w:hAnsi="Times New Roman" w:cs="Times New Roman"/>
          <w:sz w:val="24"/>
          <w:szCs w:val="24"/>
        </w:rPr>
        <w:t xml:space="preserve"> 1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расходы домохозяйств на здравоохранение</m:t>
                </m:r>
              </m:num>
              <m:den>
                <m:r>
                  <w:rPr>
                    <w:rFonts w:ascii="Cambria Math" w:hAnsi="Cambria Math" w:cs="Times New Roman"/>
                    <w:sz w:val="24"/>
                    <w:szCs w:val="24"/>
                  </w:rPr>
                  <m:t>общие расходы домохозяйств</m:t>
                </m:r>
              </m:den>
            </m:f>
            <m:r>
              <w:rPr>
                <w:rFonts w:ascii="Cambria Math" w:hAnsi="Cambria Math" w:cs="Times New Roman"/>
                <w:sz w:val="24"/>
                <w:szCs w:val="24"/>
              </w:rPr>
              <m:t>&gt;τ</m:t>
            </m:r>
          </m:e>
        </m:d>
      </m:oMath>
    </w:p>
    <w:p w:rsidR="00290DEE" w:rsidRPr="00087090" w:rsidRDefault="00290DEE" w:rsidP="00293300">
      <w:pPr>
        <w:jc w:val="both"/>
        <w:rPr>
          <w:rFonts w:ascii="Times New Roman" w:hAnsi="Times New Roman" w:cs="Times New Roman"/>
          <w:sz w:val="24"/>
          <w:szCs w:val="24"/>
        </w:rPr>
      </w:pPr>
    </w:p>
    <w:p w:rsidR="008A1590"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где </w:t>
      </w:r>
      <w:r w:rsidRPr="00413D82">
        <w:rPr>
          <w:rFonts w:ascii="Times New Roman" w:hAnsi="Times New Roman" w:cs="Times New Roman"/>
          <w:i/>
          <w:sz w:val="24"/>
          <w:szCs w:val="24"/>
        </w:rPr>
        <w:t>i</w:t>
      </w:r>
      <w:r w:rsidRPr="00087090">
        <w:rPr>
          <w:rFonts w:ascii="Times New Roman" w:hAnsi="Times New Roman" w:cs="Times New Roman"/>
          <w:sz w:val="24"/>
          <w:szCs w:val="24"/>
        </w:rPr>
        <w:t xml:space="preserve"> обозначает домохозяйство, 1 () - функция индикатора, </w:t>
      </w:r>
      <w:r w:rsidR="00290DEE" w:rsidRPr="00087090">
        <w:rPr>
          <w:rFonts w:ascii="Times New Roman" w:hAnsi="Times New Roman" w:cs="Times New Roman"/>
          <w:sz w:val="24"/>
          <w:szCs w:val="24"/>
        </w:rPr>
        <w:t>W</w:t>
      </w:r>
      <w:r w:rsidRPr="00087090">
        <w:rPr>
          <w:rFonts w:ascii="Times New Roman" w:hAnsi="Times New Roman" w:cs="Times New Roman"/>
          <w:sz w:val="24"/>
          <w:szCs w:val="24"/>
        </w:rPr>
        <w:t>i</w:t>
      </w:r>
      <w:r w:rsidR="00290DEE" w:rsidRPr="00087090">
        <w:rPr>
          <w:rFonts w:ascii="Times New Roman" w:hAnsi="Times New Roman" w:cs="Times New Roman"/>
          <w:sz w:val="24"/>
          <w:szCs w:val="24"/>
        </w:rPr>
        <w:t xml:space="preserve"> -</w:t>
      </w:r>
      <w:r w:rsidRPr="00087090">
        <w:rPr>
          <w:rFonts w:ascii="Times New Roman" w:hAnsi="Times New Roman" w:cs="Times New Roman"/>
          <w:sz w:val="24"/>
          <w:szCs w:val="24"/>
        </w:rPr>
        <w:t xml:space="preserve"> соответствует весовым коэффициентам домохозяйства, умноженным на размер домохозяйства, для получения репрезентативных чисел на человека, τ - порог, определяющий большие расходы домашних хозяйств на здоровье в качестве доли общего потребления или дохода домохозяйства (т.е. 10% и 25%). Расходы на здравоохранение домашних хозяйств и расходы домашних хозяйств или доходы определяются, как описано в разделе «</w:t>
      </w:r>
      <w:r w:rsidR="00290DEE" w:rsidRPr="00087090">
        <w:rPr>
          <w:rFonts w:ascii="Times New Roman" w:hAnsi="Times New Roman" w:cs="Times New Roman"/>
          <w:sz w:val="24"/>
          <w:szCs w:val="24"/>
        </w:rPr>
        <w:t>Понятия</w:t>
      </w:r>
      <w:r w:rsidRPr="00087090">
        <w:rPr>
          <w:rFonts w:ascii="Times New Roman" w:hAnsi="Times New Roman" w:cs="Times New Roman"/>
          <w:sz w:val="24"/>
          <w:szCs w:val="24"/>
        </w:rPr>
        <w:t xml:space="preserve">». </w:t>
      </w:r>
    </w:p>
    <w:p w:rsidR="0099253E" w:rsidRPr="00413D82" w:rsidRDefault="00AA39DB" w:rsidP="00293300">
      <w:pPr>
        <w:jc w:val="both"/>
        <w:rPr>
          <w:rFonts w:ascii="Times New Roman" w:hAnsi="Times New Roman" w:cs="Times New Roman"/>
          <w:b/>
          <w:sz w:val="24"/>
          <w:szCs w:val="24"/>
        </w:rPr>
      </w:pPr>
      <w:r w:rsidRPr="00413D82">
        <w:rPr>
          <w:rFonts w:ascii="Times New Roman" w:hAnsi="Times New Roman" w:cs="Times New Roman"/>
          <w:b/>
          <w:sz w:val="24"/>
          <w:szCs w:val="24"/>
        </w:rPr>
        <w:t>Дезагрегация</w:t>
      </w:r>
      <w:r w:rsidR="0099253E" w:rsidRPr="00413D82">
        <w:rPr>
          <w:rFonts w:ascii="Times New Roman" w:hAnsi="Times New Roman" w:cs="Times New Roman"/>
          <w:b/>
          <w:sz w:val="24"/>
          <w:szCs w:val="24"/>
        </w:rPr>
        <w:t>:</w:t>
      </w:r>
    </w:p>
    <w:p w:rsidR="00AA39DB"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Возможна следующая дезагрегация, которая до настоящего времени была разработана для предоставления репрезентативных оценок на таком уровне: </w:t>
      </w:r>
    </w:p>
    <w:p w:rsidR="00AA39DB" w:rsidRPr="00413D82" w:rsidRDefault="0099253E" w:rsidP="00413D82">
      <w:pPr>
        <w:pStyle w:val="ac"/>
        <w:numPr>
          <w:ilvl w:val="0"/>
          <w:numId w:val="9"/>
        </w:numPr>
        <w:jc w:val="both"/>
        <w:rPr>
          <w:rFonts w:ascii="Times New Roman" w:hAnsi="Times New Roman" w:cs="Times New Roman"/>
          <w:sz w:val="24"/>
          <w:szCs w:val="24"/>
        </w:rPr>
      </w:pPr>
      <w:r w:rsidRPr="00413D82">
        <w:rPr>
          <w:rFonts w:ascii="Times New Roman" w:hAnsi="Times New Roman" w:cs="Times New Roman"/>
          <w:sz w:val="24"/>
          <w:szCs w:val="24"/>
        </w:rPr>
        <w:t xml:space="preserve">Пол и возраст главы домашнего хозяйства </w:t>
      </w:r>
    </w:p>
    <w:p w:rsidR="00AA39DB" w:rsidRPr="00413D82" w:rsidRDefault="0099253E" w:rsidP="00413D82">
      <w:pPr>
        <w:pStyle w:val="ac"/>
        <w:numPr>
          <w:ilvl w:val="0"/>
          <w:numId w:val="9"/>
        </w:numPr>
        <w:jc w:val="both"/>
        <w:rPr>
          <w:rFonts w:ascii="Times New Roman" w:hAnsi="Times New Roman" w:cs="Times New Roman"/>
          <w:sz w:val="24"/>
          <w:szCs w:val="24"/>
        </w:rPr>
      </w:pPr>
      <w:r w:rsidRPr="00413D82">
        <w:rPr>
          <w:rFonts w:ascii="Times New Roman" w:hAnsi="Times New Roman" w:cs="Times New Roman"/>
          <w:sz w:val="24"/>
          <w:szCs w:val="24"/>
        </w:rPr>
        <w:t xml:space="preserve">Географическое положение (сельское / городское) </w:t>
      </w:r>
    </w:p>
    <w:p w:rsidR="00AA39DB" w:rsidRPr="00413D82" w:rsidRDefault="0099253E" w:rsidP="00413D82">
      <w:pPr>
        <w:pStyle w:val="ac"/>
        <w:numPr>
          <w:ilvl w:val="0"/>
          <w:numId w:val="9"/>
        </w:numPr>
        <w:jc w:val="both"/>
        <w:rPr>
          <w:rFonts w:ascii="Times New Roman" w:hAnsi="Times New Roman" w:cs="Times New Roman"/>
          <w:sz w:val="24"/>
          <w:szCs w:val="24"/>
        </w:rPr>
      </w:pPr>
      <w:r w:rsidRPr="00413D82">
        <w:rPr>
          <w:rFonts w:ascii="Times New Roman" w:hAnsi="Times New Roman" w:cs="Times New Roman"/>
          <w:sz w:val="24"/>
          <w:szCs w:val="24"/>
        </w:rPr>
        <w:t xml:space="preserve">Квинтили бытовых мер благосостояния (общие расходы домашних хозяйств или доход). </w:t>
      </w:r>
    </w:p>
    <w:p w:rsidR="00AA39DB"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Обработка отсутствующих значений: </w:t>
      </w:r>
    </w:p>
    <w:p w:rsidR="00623E47"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lastRenderedPageBreak/>
        <w:t xml:space="preserve">На уровне страны в настоящее время нет намерения рассматривать </w:t>
      </w:r>
      <w:r w:rsidR="00623E47" w:rsidRPr="00087090">
        <w:rPr>
          <w:rFonts w:ascii="Times New Roman" w:hAnsi="Times New Roman" w:cs="Times New Roman"/>
          <w:sz w:val="24"/>
          <w:szCs w:val="24"/>
        </w:rPr>
        <w:t>отсутствующие значения</w:t>
      </w:r>
      <w:r w:rsidRPr="00087090">
        <w:rPr>
          <w:rFonts w:ascii="Times New Roman" w:hAnsi="Times New Roman" w:cs="Times New Roman"/>
          <w:sz w:val="24"/>
          <w:szCs w:val="24"/>
        </w:rPr>
        <w:t xml:space="preserve"> </w:t>
      </w:r>
      <w:r w:rsidR="00623E47" w:rsidRPr="00087090">
        <w:rPr>
          <w:rFonts w:ascii="Times New Roman" w:hAnsi="Times New Roman" w:cs="Times New Roman"/>
          <w:sz w:val="24"/>
          <w:szCs w:val="24"/>
        </w:rPr>
        <w:t>из-за</w:t>
      </w:r>
      <w:r w:rsidRPr="00087090">
        <w:rPr>
          <w:rFonts w:ascii="Times New Roman" w:hAnsi="Times New Roman" w:cs="Times New Roman"/>
          <w:sz w:val="24"/>
          <w:szCs w:val="24"/>
        </w:rPr>
        <w:t xml:space="preserve"> отсутстви</w:t>
      </w:r>
      <w:r w:rsidR="00623E47" w:rsidRPr="00087090">
        <w:rPr>
          <w:rFonts w:ascii="Times New Roman" w:hAnsi="Times New Roman" w:cs="Times New Roman"/>
          <w:sz w:val="24"/>
          <w:szCs w:val="24"/>
        </w:rPr>
        <w:t>я</w:t>
      </w:r>
      <w:r w:rsidRPr="00087090">
        <w:rPr>
          <w:rFonts w:ascii="Times New Roman" w:hAnsi="Times New Roman" w:cs="Times New Roman"/>
          <w:sz w:val="24"/>
          <w:szCs w:val="24"/>
        </w:rPr>
        <w:t xml:space="preserve"> какой-либо предыдущей информации об этом показателе. </w:t>
      </w:r>
      <w:r w:rsidR="00623E47" w:rsidRPr="00087090">
        <w:rPr>
          <w:rFonts w:ascii="Times New Roman" w:hAnsi="Times New Roman" w:cs="Times New Roman"/>
          <w:sz w:val="24"/>
          <w:szCs w:val="24"/>
        </w:rPr>
        <w:t>М</w:t>
      </w:r>
      <w:r w:rsidRPr="00087090">
        <w:rPr>
          <w:rFonts w:ascii="Times New Roman" w:hAnsi="Times New Roman" w:cs="Times New Roman"/>
          <w:sz w:val="24"/>
          <w:szCs w:val="24"/>
        </w:rPr>
        <w:t xml:space="preserve">ежду Всемирной организацией здравоохранения и Всемирным банком ведется совместная работа по </w:t>
      </w:r>
      <w:r w:rsidR="00623E47" w:rsidRPr="00087090">
        <w:rPr>
          <w:rFonts w:ascii="Times New Roman" w:hAnsi="Times New Roman" w:cs="Times New Roman"/>
          <w:sz w:val="24"/>
          <w:szCs w:val="24"/>
        </w:rPr>
        <w:t>обработке</w:t>
      </w:r>
      <w:r w:rsidRPr="00087090">
        <w:rPr>
          <w:rFonts w:ascii="Times New Roman" w:hAnsi="Times New Roman" w:cs="Times New Roman"/>
          <w:sz w:val="24"/>
          <w:szCs w:val="24"/>
        </w:rPr>
        <w:t xml:space="preserve"> </w:t>
      </w:r>
      <w:r w:rsidR="00623E47" w:rsidRPr="00087090">
        <w:rPr>
          <w:rFonts w:ascii="Times New Roman" w:hAnsi="Times New Roman" w:cs="Times New Roman"/>
          <w:sz w:val="24"/>
          <w:szCs w:val="24"/>
        </w:rPr>
        <w:t>отсутствующих значений</w:t>
      </w:r>
      <w:r w:rsidRPr="00087090">
        <w:rPr>
          <w:rFonts w:ascii="Times New Roman" w:hAnsi="Times New Roman" w:cs="Times New Roman"/>
          <w:sz w:val="24"/>
          <w:szCs w:val="24"/>
        </w:rPr>
        <w:t xml:space="preserve"> на региональном и глобальном уровнях по той же </w:t>
      </w:r>
      <w:r w:rsidR="00623E47" w:rsidRPr="00087090">
        <w:rPr>
          <w:rFonts w:ascii="Times New Roman" w:hAnsi="Times New Roman" w:cs="Times New Roman"/>
          <w:sz w:val="24"/>
          <w:szCs w:val="24"/>
        </w:rPr>
        <w:t>причине</w:t>
      </w:r>
      <w:r w:rsidRPr="00087090">
        <w:rPr>
          <w:rFonts w:ascii="Times New Roman" w:hAnsi="Times New Roman" w:cs="Times New Roman"/>
          <w:sz w:val="24"/>
          <w:szCs w:val="24"/>
        </w:rPr>
        <w:t xml:space="preserve">, </w:t>
      </w:r>
      <w:r w:rsidR="00623E47" w:rsidRPr="00087090">
        <w:rPr>
          <w:rFonts w:ascii="Times New Roman" w:hAnsi="Times New Roman" w:cs="Times New Roman"/>
          <w:sz w:val="24"/>
          <w:szCs w:val="24"/>
        </w:rPr>
        <w:t>так как вменения не будет из-за отсутствия какой-либо информации на этом уровне.</w:t>
      </w:r>
      <w:r w:rsidRPr="00087090">
        <w:rPr>
          <w:rFonts w:ascii="Times New Roman" w:hAnsi="Times New Roman" w:cs="Times New Roman"/>
          <w:sz w:val="24"/>
          <w:szCs w:val="24"/>
        </w:rPr>
        <w:t xml:space="preserve"> </w:t>
      </w:r>
    </w:p>
    <w:p w:rsidR="00623E47"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Региональные </w:t>
      </w:r>
      <w:r w:rsidR="008536D1" w:rsidRPr="00087090">
        <w:rPr>
          <w:rFonts w:ascii="Times New Roman" w:hAnsi="Times New Roman" w:cs="Times New Roman"/>
          <w:sz w:val="24"/>
          <w:szCs w:val="24"/>
        </w:rPr>
        <w:t>показатели</w:t>
      </w:r>
      <w:r w:rsidRPr="00087090">
        <w:rPr>
          <w:rFonts w:ascii="Times New Roman" w:hAnsi="Times New Roman" w:cs="Times New Roman"/>
          <w:sz w:val="24"/>
          <w:szCs w:val="24"/>
        </w:rPr>
        <w:t xml:space="preserve">: </w:t>
      </w:r>
    </w:p>
    <w:p w:rsidR="00797BE3" w:rsidRPr="00087090" w:rsidRDefault="008536D1" w:rsidP="00293300">
      <w:pPr>
        <w:jc w:val="both"/>
        <w:rPr>
          <w:rFonts w:ascii="Times New Roman" w:hAnsi="Times New Roman" w:cs="Times New Roman"/>
          <w:sz w:val="24"/>
          <w:szCs w:val="24"/>
        </w:rPr>
      </w:pPr>
      <w:r w:rsidRPr="00087090">
        <w:rPr>
          <w:rFonts w:ascii="Times New Roman" w:hAnsi="Times New Roman" w:cs="Times New Roman"/>
          <w:sz w:val="24"/>
          <w:szCs w:val="24"/>
        </w:rPr>
        <w:t>Р</w:t>
      </w:r>
      <w:r w:rsidR="0099253E" w:rsidRPr="00087090">
        <w:rPr>
          <w:rFonts w:ascii="Times New Roman" w:hAnsi="Times New Roman" w:cs="Times New Roman"/>
          <w:sz w:val="24"/>
          <w:szCs w:val="24"/>
        </w:rPr>
        <w:t xml:space="preserve">егиональные и глобальные </w:t>
      </w:r>
      <w:r w:rsidRPr="00087090">
        <w:rPr>
          <w:rFonts w:ascii="Times New Roman" w:hAnsi="Times New Roman" w:cs="Times New Roman"/>
          <w:sz w:val="24"/>
          <w:szCs w:val="24"/>
        </w:rPr>
        <w:t>показатели</w:t>
      </w:r>
      <w:r w:rsidR="0099253E" w:rsidRPr="00087090">
        <w:rPr>
          <w:rFonts w:ascii="Times New Roman" w:hAnsi="Times New Roman" w:cs="Times New Roman"/>
          <w:sz w:val="24"/>
          <w:szCs w:val="24"/>
        </w:rPr>
        <w:t xml:space="preserve"> будут основываться на взвешенных по </w:t>
      </w:r>
      <w:r w:rsidRPr="00087090">
        <w:rPr>
          <w:rFonts w:ascii="Times New Roman" w:hAnsi="Times New Roman" w:cs="Times New Roman"/>
          <w:sz w:val="24"/>
          <w:szCs w:val="24"/>
        </w:rPr>
        <w:t xml:space="preserve">численности населения </w:t>
      </w:r>
      <w:r w:rsidR="0099253E" w:rsidRPr="00087090">
        <w:rPr>
          <w:rFonts w:ascii="Times New Roman" w:hAnsi="Times New Roman" w:cs="Times New Roman"/>
          <w:sz w:val="24"/>
          <w:szCs w:val="24"/>
        </w:rPr>
        <w:t>медианных значениях доли людей с большими расходами домашних хозяйств на здравоохранение</w:t>
      </w:r>
      <w:r w:rsidRPr="00087090">
        <w:rPr>
          <w:rFonts w:ascii="Times New Roman" w:hAnsi="Times New Roman" w:cs="Times New Roman"/>
          <w:sz w:val="24"/>
          <w:szCs w:val="24"/>
        </w:rPr>
        <w:t>,</w:t>
      </w:r>
      <w:r w:rsidR="0099253E" w:rsidRPr="00087090">
        <w:rPr>
          <w:rFonts w:ascii="Times New Roman" w:hAnsi="Times New Roman" w:cs="Times New Roman"/>
          <w:sz w:val="24"/>
          <w:szCs w:val="24"/>
        </w:rPr>
        <w:t xml:space="preserve"> в виде доли от общих расходов домашних хозяйств или доходов. Всемирный банк и Всемирная организация здравоохранения будут использовать свою собственную региональную группировку в дополнение к региональной разбивке, предложенной </w:t>
      </w:r>
      <w:r w:rsidRPr="00087090">
        <w:rPr>
          <w:rFonts w:ascii="Times New Roman" w:hAnsi="Times New Roman" w:cs="Times New Roman"/>
          <w:sz w:val="24"/>
          <w:szCs w:val="24"/>
        </w:rPr>
        <w:t>для ЦУР</w:t>
      </w:r>
      <w:r w:rsidR="0099253E" w:rsidRPr="00087090">
        <w:rPr>
          <w:rFonts w:ascii="Times New Roman" w:hAnsi="Times New Roman" w:cs="Times New Roman"/>
          <w:sz w:val="24"/>
          <w:szCs w:val="24"/>
        </w:rPr>
        <w:t xml:space="preserve"> СОООН.</w:t>
      </w:r>
    </w:p>
    <w:p w:rsidR="00CC44B3"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Источники расхождений: </w:t>
      </w:r>
    </w:p>
    <w:p w:rsidR="007A0429" w:rsidRPr="00087090" w:rsidRDefault="00CC44B3" w:rsidP="00293300">
      <w:pPr>
        <w:jc w:val="both"/>
        <w:rPr>
          <w:rFonts w:ascii="Times New Roman" w:hAnsi="Times New Roman" w:cs="Times New Roman"/>
          <w:sz w:val="24"/>
          <w:szCs w:val="24"/>
        </w:rPr>
      </w:pPr>
      <w:r w:rsidRPr="00087090">
        <w:rPr>
          <w:rFonts w:ascii="Times New Roman" w:hAnsi="Times New Roman" w:cs="Times New Roman"/>
          <w:sz w:val="24"/>
          <w:szCs w:val="24"/>
        </w:rPr>
        <w:t>В</w:t>
      </w:r>
      <w:r w:rsidR="0099253E" w:rsidRPr="00087090">
        <w:rPr>
          <w:rFonts w:ascii="Times New Roman" w:hAnsi="Times New Roman" w:cs="Times New Roman"/>
          <w:sz w:val="24"/>
          <w:szCs w:val="24"/>
        </w:rPr>
        <w:t xml:space="preserve"> некоторых случаях потребительские расходы </w:t>
      </w:r>
      <w:r w:rsidR="007A0429" w:rsidRPr="00087090">
        <w:rPr>
          <w:rFonts w:ascii="Times New Roman" w:hAnsi="Times New Roman" w:cs="Times New Roman"/>
          <w:sz w:val="24"/>
          <w:szCs w:val="24"/>
        </w:rPr>
        <w:t>рассчитываются</w:t>
      </w:r>
      <w:r w:rsidR="0099253E" w:rsidRPr="00087090">
        <w:rPr>
          <w:rFonts w:ascii="Times New Roman" w:hAnsi="Times New Roman" w:cs="Times New Roman"/>
          <w:sz w:val="24"/>
          <w:szCs w:val="24"/>
        </w:rPr>
        <w:t xml:space="preserve"> в рамках общего процесса стандартизации, предназначенного для сопоставления данных по странам. Например, региональные команды из Всемирного банка создают согласованные версии необработанных наборов данных в соответствии с общими региональными процедурами. Это может привести к расхождениям между переменными расходов, генерируемыми с использованием необработанных данных, и переменными расходов, генерируемыми с использованием процедур согласования. </w:t>
      </w:r>
      <w:r w:rsidR="007A0429" w:rsidRPr="00087090">
        <w:rPr>
          <w:rFonts w:ascii="Times New Roman" w:hAnsi="Times New Roman" w:cs="Times New Roman"/>
          <w:sz w:val="24"/>
          <w:szCs w:val="24"/>
        </w:rPr>
        <w:t>Сбор</w:t>
      </w:r>
      <w:r w:rsidR="0099253E" w:rsidRPr="00087090">
        <w:rPr>
          <w:rFonts w:ascii="Times New Roman" w:hAnsi="Times New Roman" w:cs="Times New Roman"/>
          <w:sz w:val="24"/>
          <w:szCs w:val="24"/>
        </w:rPr>
        <w:t xml:space="preserve"> данных </w:t>
      </w:r>
      <w:r w:rsidR="007A0429" w:rsidRPr="00087090">
        <w:rPr>
          <w:rFonts w:ascii="Times New Roman" w:hAnsi="Times New Roman" w:cs="Times New Roman"/>
          <w:sz w:val="24"/>
          <w:szCs w:val="24"/>
        </w:rPr>
        <w:t>ECAPOV (прим.: база данных и стандартизация энергетических переменных)</w:t>
      </w:r>
      <w:r w:rsidR="0099253E" w:rsidRPr="00087090">
        <w:rPr>
          <w:rFonts w:ascii="Times New Roman" w:hAnsi="Times New Roman" w:cs="Times New Roman"/>
          <w:sz w:val="24"/>
          <w:szCs w:val="24"/>
        </w:rPr>
        <w:t xml:space="preserve"> основаны на данных обследований LSMS</w:t>
      </w:r>
      <w:r w:rsidR="007A0429" w:rsidRPr="00087090">
        <w:rPr>
          <w:rFonts w:ascii="Times New Roman" w:hAnsi="Times New Roman" w:cs="Times New Roman"/>
          <w:sz w:val="24"/>
          <w:szCs w:val="24"/>
        </w:rPr>
        <w:t xml:space="preserve"> (прим.: исследование уровня жизни)</w:t>
      </w:r>
      <w:r w:rsidR="0099253E" w:rsidRPr="00087090">
        <w:rPr>
          <w:rFonts w:ascii="Times New Roman" w:hAnsi="Times New Roman" w:cs="Times New Roman"/>
          <w:sz w:val="24"/>
          <w:szCs w:val="24"/>
        </w:rPr>
        <w:t xml:space="preserve"> или обследования бюджетов домашних хозяйств (HBS), собранных в регионе Европы и Центральной Азии, в то время как </w:t>
      </w:r>
      <w:r w:rsidR="007A0429" w:rsidRPr="00087090">
        <w:rPr>
          <w:rFonts w:ascii="Times New Roman" w:hAnsi="Times New Roman" w:cs="Times New Roman"/>
          <w:sz w:val="24"/>
          <w:szCs w:val="24"/>
        </w:rPr>
        <w:t>обследование</w:t>
      </w:r>
      <w:r w:rsidR="0099253E" w:rsidRPr="00087090">
        <w:rPr>
          <w:rFonts w:ascii="Times New Roman" w:hAnsi="Times New Roman" w:cs="Times New Roman"/>
          <w:sz w:val="24"/>
          <w:szCs w:val="24"/>
        </w:rPr>
        <w:t xml:space="preserve"> SHIP сосредоточен</w:t>
      </w:r>
      <w:r w:rsidR="007A0429" w:rsidRPr="00087090">
        <w:rPr>
          <w:rFonts w:ascii="Times New Roman" w:hAnsi="Times New Roman" w:cs="Times New Roman"/>
          <w:sz w:val="24"/>
          <w:szCs w:val="24"/>
        </w:rPr>
        <w:t>о</w:t>
      </w:r>
      <w:r w:rsidR="0099253E" w:rsidRPr="00087090">
        <w:rPr>
          <w:rFonts w:ascii="Times New Roman" w:hAnsi="Times New Roman" w:cs="Times New Roman"/>
          <w:sz w:val="24"/>
          <w:szCs w:val="24"/>
        </w:rPr>
        <w:t xml:space="preserve"> на регионе Африки. Подробную документацию, описывающую процедуры согласования, можно найти в сопроводительных документах. </w:t>
      </w:r>
    </w:p>
    <w:p w:rsidR="00CE4655"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В настоящее время ВОЗ проводит консультации</w:t>
      </w:r>
      <w:r w:rsidR="00087090" w:rsidRPr="00087090">
        <w:rPr>
          <w:rFonts w:ascii="Times New Roman" w:hAnsi="Times New Roman" w:cs="Times New Roman"/>
          <w:sz w:val="24"/>
          <w:szCs w:val="24"/>
        </w:rPr>
        <w:t xml:space="preserve"> </w:t>
      </w:r>
      <w:r w:rsidR="00087090">
        <w:rPr>
          <w:rFonts w:ascii="Times New Roman" w:hAnsi="Times New Roman" w:cs="Times New Roman"/>
          <w:sz w:val="24"/>
          <w:szCs w:val="24"/>
        </w:rPr>
        <w:t>для стран</w:t>
      </w:r>
      <w:r w:rsidRPr="00087090">
        <w:rPr>
          <w:rFonts w:ascii="Times New Roman" w:hAnsi="Times New Roman" w:cs="Times New Roman"/>
          <w:sz w:val="24"/>
          <w:szCs w:val="24"/>
        </w:rPr>
        <w:t xml:space="preserve"> для информирования о страновых оценках, источниках данных и методах, используемых для мониторинга </w:t>
      </w:r>
      <w:r w:rsidR="00CE4655" w:rsidRPr="00087090">
        <w:rPr>
          <w:rFonts w:ascii="Times New Roman" w:hAnsi="Times New Roman" w:cs="Times New Roman"/>
          <w:sz w:val="24"/>
          <w:szCs w:val="24"/>
        </w:rPr>
        <w:t>ЦУР</w:t>
      </w:r>
      <w:r w:rsidRPr="00087090">
        <w:rPr>
          <w:rFonts w:ascii="Times New Roman" w:hAnsi="Times New Roman" w:cs="Times New Roman"/>
          <w:sz w:val="24"/>
          <w:szCs w:val="24"/>
        </w:rPr>
        <w:t xml:space="preserve"> 3.8.2. Это должно помочь лучше понять возможные источники расхождений. </w:t>
      </w:r>
    </w:p>
    <w:p w:rsidR="00CE4655" w:rsidRPr="00087090" w:rsidRDefault="00087090" w:rsidP="00293300">
      <w:pPr>
        <w:jc w:val="both"/>
        <w:rPr>
          <w:rFonts w:ascii="Times New Roman" w:hAnsi="Times New Roman" w:cs="Times New Roman"/>
          <w:b/>
          <w:sz w:val="24"/>
          <w:szCs w:val="24"/>
        </w:rPr>
      </w:pPr>
      <w:r w:rsidRPr="00087090">
        <w:rPr>
          <w:rFonts w:ascii="Times New Roman" w:hAnsi="Times New Roman" w:cs="Times New Roman"/>
          <w:b/>
          <w:sz w:val="24"/>
          <w:szCs w:val="24"/>
        </w:rPr>
        <w:t xml:space="preserve">Источники данных </w:t>
      </w:r>
    </w:p>
    <w:p w:rsidR="00CE4655"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Описание: </w:t>
      </w:r>
    </w:p>
    <w:p w:rsidR="00121AD7"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Рекомендуемые источники данных для мониторинга «</w:t>
      </w:r>
      <w:r w:rsidR="00121AD7" w:rsidRPr="00087090">
        <w:rPr>
          <w:rFonts w:ascii="Times New Roman" w:hAnsi="Times New Roman" w:cs="Times New Roman"/>
          <w:sz w:val="24"/>
          <w:szCs w:val="24"/>
        </w:rPr>
        <w:t>Доля населения с большим удельным весом семейных расходов на медицинскую помощь в общем объеме расходов или доходов домохозяйств</w:t>
      </w:r>
      <w:r w:rsidRPr="00087090">
        <w:rPr>
          <w:rFonts w:ascii="Times New Roman" w:hAnsi="Times New Roman" w:cs="Times New Roman"/>
          <w:sz w:val="24"/>
          <w:szCs w:val="24"/>
        </w:rPr>
        <w:t>» представляют собой обследования домашних хозяйств с информацией о расходах на потребление домашних хозяйств на здравоохранение и общ</w:t>
      </w:r>
      <w:r w:rsidR="00121AD7" w:rsidRPr="00087090">
        <w:rPr>
          <w:rFonts w:ascii="Times New Roman" w:hAnsi="Times New Roman" w:cs="Times New Roman"/>
          <w:sz w:val="24"/>
          <w:szCs w:val="24"/>
        </w:rPr>
        <w:t>ие</w:t>
      </w:r>
      <w:r w:rsidRPr="00087090">
        <w:rPr>
          <w:rFonts w:ascii="Times New Roman" w:hAnsi="Times New Roman" w:cs="Times New Roman"/>
          <w:sz w:val="24"/>
          <w:szCs w:val="24"/>
        </w:rPr>
        <w:t xml:space="preserve"> потреб</w:t>
      </w:r>
      <w:r w:rsidR="00121AD7" w:rsidRPr="00087090">
        <w:rPr>
          <w:rFonts w:ascii="Times New Roman" w:hAnsi="Times New Roman" w:cs="Times New Roman"/>
          <w:sz w:val="24"/>
          <w:szCs w:val="24"/>
        </w:rPr>
        <w:t>ительские</w:t>
      </w:r>
      <w:r w:rsidRPr="00087090">
        <w:rPr>
          <w:rFonts w:ascii="Times New Roman" w:hAnsi="Times New Roman" w:cs="Times New Roman"/>
          <w:sz w:val="24"/>
          <w:szCs w:val="24"/>
        </w:rPr>
        <w:t xml:space="preserve"> </w:t>
      </w:r>
      <w:r w:rsidR="00121AD7" w:rsidRPr="00087090">
        <w:rPr>
          <w:rFonts w:ascii="Times New Roman" w:hAnsi="Times New Roman" w:cs="Times New Roman"/>
          <w:sz w:val="24"/>
          <w:szCs w:val="24"/>
        </w:rPr>
        <w:t xml:space="preserve">расходы </w:t>
      </w:r>
      <w:r w:rsidRPr="00087090">
        <w:rPr>
          <w:rFonts w:ascii="Times New Roman" w:hAnsi="Times New Roman" w:cs="Times New Roman"/>
          <w:sz w:val="24"/>
          <w:szCs w:val="24"/>
        </w:rPr>
        <w:t xml:space="preserve">домашних хозяйств, которые регулярно проводятся национальными статистическими управлениями. Обследования бюджетов домашних хозяйств (HBS) и обследования доходов и расходов домашних хозяйств (HIES) обычно собирают их, поскольку они в основном проводятся для обеспечения вклада в расчет индексов потребительских цен или составления национальных счетов. Другим потенциальным источником информации являются обзоры социально-экономических или жизненных стандартов; однако некоторые из этих обследований могут не </w:t>
      </w:r>
      <w:r w:rsidRPr="00087090">
        <w:rPr>
          <w:rFonts w:ascii="Times New Roman" w:hAnsi="Times New Roman" w:cs="Times New Roman"/>
          <w:sz w:val="24"/>
          <w:szCs w:val="24"/>
        </w:rPr>
        <w:lastRenderedPageBreak/>
        <w:t xml:space="preserve">собирать информацию об общих </w:t>
      </w:r>
      <w:r w:rsidR="00121AD7" w:rsidRPr="00087090">
        <w:rPr>
          <w:rFonts w:ascii="Times New Roman" w:hAnsi="Times New Roman" w:cs="Times New Roman"/>
          <w:sz w:val="24"/>
          <w:szCs w:val="24"/>
        </w:rPr>
        <w:t>потребительских расходах</w:t>
      </w:r>
      <w:r w:rsidRPr="00087090">
        <w:rPr>
          <w:rFonts w:ascii="Times New Roman" w:hAnsi="Times New Roman" w:cs="Times New Roman"/>
          <w:sz w:val="24"/>
          <w:szCs w:val="24"/>
        </w:rPr>
        <w:t xml:space="preserve"> домашних хозяйств - например, когда страна измеряет бедность с использованием дохода в качестве меры благосостояния</w:t>
      </w:r>
      <w:r w:rsidR="00121AD7" w:rsidRPr="00F72B75">
        <w:rPr>
          <w:rFonts w:ascii="Times New Roman" w:hAnsi="Times New Roman" w:cs="Times New Roman"/>
          <w:sz w:val="24"/>
          <w:szCs w:val="24"/>
          <w:vertAlign w:val="superscript"/>
        </w:rPr>
        <w:footnoteReference w:id="12"/>
      </w:r>
      <w:r w:rsidRPr="00087090">
        <w:rPr>
          <w:rFonts w:ascii="Times New Roman" w:hAnsi="Times New Roman" w:cs="Times New Roman"/>
          <w:sz w:val="24"/>
          <w:szCs w:val="24"/>
        </w:rPr>
        <w:t xml:space="preserve">. Важнейшим критерием выбора источника данных для измерения показателя </w:t>
      </w:r>
      <w:r w:rsidR="00121AD7" w:rsidRPr="00087090">
        <w:rPr>
          <w:rFonts w:ascii="Times New Roman" w:hAnsi="Times New Roman" w:cs="Times New Roman"/>
          <w:sz w:val="24"/>
          <w:szCs w:val="24"/>
        </w:rPr>
        <w:t xml:space="preserve">ЦУР </w:t>
      </w:r>
      <w:r w:rsidRPr="00087090">
        <w:rPr>
          <w:rFonts w:ascii="Times New Roman" w:hAnsi="Times New Roman" w:cs="Times New Roman"/>
          <w:sz w:val="24"/>
          <w:szCs w:val="24"/>
        </w:rPr>
        <w:t xml:space="preserve">3.8.2 является наличие как расходов домашних хозяйств на здравоохранение, так и общих расходов домашних хозяйств. </w:t>
      </w:r>
    </w:p>
    <w:p w:rsidR="00121AD7" w:rsidRPr="00087090" w:rsidRDefault="00121AD7" w:rsidP="00293300">
      <w:pPr>
        <w:jc w:val="both"/>
        <w:rPr>
          <w:rFonts w:ascii="Times New Roman" w:hAnsi="Times New Roman" w:cs="Times New Roman"/>
          <w:sz w:val="24"/>
          <w:szCs w:val="24"/>
        </w:rPr>
      </w:pPr>
      <w:r w:rsidRPr="00087090">
        <w:rPr>
          <w:rFonts w:ascii="Times New Roman" w:hAnsi="Times New Roman" w:cs="Times New Roman"/>
          <w:sz w:val="24"/>
          <w:szCs w:val="24"/>
        </w:rPr>
        <w:t>К</w:t>
      </w:r>
      <w:r w:rsidR="0099253E" w:rsidRPr="00087090">
        <w:rPr>
          <w:rFonts w:ascii="Times New Roman" w:hAnsi="Times New Roman" w:cs="Times New Roman"/>
          <w:sz w:val="24"/>
          <w:szCs w:val="24"/>
        </w:rPr>
        <w:t xml:space="preserve">огда для оценки показателя </w:t>
      </w:r>
      <w:r w:rsidRPr="00087090">
        <w:rPr>
          <w:rFonts w:ascii="Times New Roman" w:hAnsi="Times New Roman" w:cs="Times New Roman"/>
          <w:sz w:val="24"/>
          <w:szCs w:val="24"/>
        </w:rPr>
        <w:t xml:space="preserve">ЦУР </w:t>
      </w:r>
      <w:r w:rsidR="0099253E" w:rsidRPr="00087090">
        <w:rPr>
          <w:rFonts w:ascii="Times New Roman" w:hAnsi="Times New Roman" w:cs="Times New Roman"/>
          <w:sz w:val="24"/>
          <w:szCs w:val="24"/>
        </w:rPr>
        <w:t>3</w:t>
      </w:r>
      <w:r w:rsidRPr="00087090">
        <w:rPr>
          <w:rFonts w:ascii="Times New Roman" w:hAnsi="Times New Roman" w:cs="Times New Roman"/>
          <w:sz w:val="24"/>
          <w:szCs w:val="24"/>
        </w:rPr>
        <w:t>.</w:t>
      </w:r>
      <w:r w:rsidR="0099253E" w:rsidRPr="00087090">
        <w:rPr>
          <w:rFonts w:ascii="Times New Roman" w:hAnsi="Times New Roman" w:cs="Times New Roman"/>
          <w:sz w:val="24"/>
          <w:szCs w:val="24"/>
        </w:rPr>
        <w:t>8</w:t>
      </w:r>
      <w:r w:rsidRPr="00087090">
        <w:rPr>
          <w:rFonts w:ascii="Times New Roman" w:hAnsi="Times New Roman" w:cs="Times New Roman"/>
          <w:sz w:val="24"/>
          <w:szCs w:val="24"/>
        </w:rPr>
        <w:t>.</w:t>
      </w:r>
      <w:r w:rsidR="0099253E" w:rsidRPr="00087090">
        <w:rPr>
          <w:rFonts w:ascii="Times New Roman" w:hAnsi="Times New Roman" w:cs="Times New Roman"/>
          <w:sz w:val="24"/>
          <w:szCs w:val="24"/>
        </w:rPr>
        <w:t xml:space="preserve">2 используются обследования социально-экономических или жизненных стандартов, любая проблема сопоставимости показателей </w:t>
      </w:r>
      <w:r w:rsidRPr="00087090">
        <w:rPr>
          <w:rFonts w:ascii="Times New Roman" w:hAnsi="Times New Roman" w:cs="Times New Roman"/>
          <w:sz w:val="24"/>
          <w:szCs w:val="24"/>
        </w:rPr>
        <w:t>ЦУР</w:t>
      </w:r>
      <w:r w:rsidR="0099253E" w:rsidRPr="00087090">
        <w:rPr>
          <w:rFonts w:ascii="Times New Roman" w:hAnsi="Times New Roman" w:cs="Times New Roman"/>
          <w:sz w:val="24"/>
          <w:szCs w:val="24"/>
        </w:rPr>
        <w:t xml:space="preserve"> 1.1.1 между странами также применяется к мониторингу </w:t>
      </w:r>
      <w:r w:rsidRPr="00087090">
        <w:rPr>
          <w:rFonts w:ascii="Times New Roman" w:hAnsi="Times New Roman" w:cs="Times New Roman"/>
          <w:sz w:val="24"/>
          <w:szCs w:val="24"/>
        </w:rPr>
        <w:t>показателя</w:t>
      </w:r>
      <w:r w:rsidR="0099253E" w:rsidRPr="00087090">
        <w:rPr>
          <w:rFonts w:ascii="Times New Roman" w:hAnsi="Times New Roman" w:cs="Times New Roman"/>
          <w:sz w:val="24"/>
          <w:szCs w:val="24"/>
        </w:rPr>
        <w:t xml:space="preserve"> </w:t>
      </w:r>
      <w:r w:rsidRPr="00087090">
        <w:rPr>
          <w:rFonts w:ascii="Times New Roman" w:hAnsi="Times New Roman" w:cs="Times New Roman"/>
          <w:sz w:val="24"/>
          <w:szCs w:val="24"/>
        </w:rPr>
        <w:t>ЦУР</w:t>
      </w:r>
      <w:r w:rsidR="0099253E" w:rsidRPr="00087090">
        <w:rPr>
          <w:rFonts w:ascii="Times New Roman" w:hAnsi="Times New Roman" w:cs="Times New Roman"/>
          <w:sz w:val="24"/>
          <w:szCs w:val="24"/>
        </w:rPr>
        <w:t xml:space="preserve"> 3.8.2. Для любого типа обследования домашних хозяйств, учитывая акцент на расходах на здравоохранение домашних хозяйств, необходимо улучшить существующие инструменты обследования для сопоставимости между странами. Всемирная организация здравоохранения сотрудничает с различными учреждениями ООН и другими важными заинтересованными сторонами для обеспечения этого</w:t>
      </w:r>
      <w:r w:rsidR="00F72B75">
        <w:rPr>
          <w:rStyle w:val="a5"/>
          <w:rFonts w:ascii="Times New Roman" w:hAnsi="Times New Roman" w:cs="Times New Roman"/>
          <w:sz w:val="24"/>
          <w:szCs w:val="24"/>
        </w:rPr>
        <w:footnoteReference w:id="13"/>
      </w:r>
      <w:r w:rsidR="0099253E" w:rsidRPr="00087090">
        <w:rPr>
          <w:rFonts w:ascii="Times New Roman" w:hAnsi="Times New Roman" w:cs="Times New Roman"/>
          <w:sz w:val="24"/>
          <w:szCs w:val="24"/>
        </w:rPr>
        <w:t xml:space="preserve">. </w:t>
      </w:r>
    </w:p>
    <w:p w:rsidR="00121AD7"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Процесс сбора: </w:t>
      </w:r>
    </w:p>
    <w:p w:rsidR="00973607"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ВОЗ получает данные обследований домашних хозяйств из национальных статистических управлений, где знаменатель и числитель соотношения расходов на здравоохранение строятся по их собственным руководящим принципам либо непосредственно ими, либо консультантами ВОЗ. ВОЗ работает через свои региональные отделения или страновые отделения для поддержки министерств здравоохранения. Никакой систематической корректировки не предпринимается. </w:t>
      </w:r>
    </w:p>
    <w:p w:rsidR="00973607"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Всемирный банк также обычно получает данные от национальных статистических управлений (НС</w:t>
      </w:r>
      <w:r w:rsidR="00973607" w:rsidRPr="00087090">
        <w:rPr>
          <w:rFonts w:ascii="Times New Roman" w:hAnsi="Times New Roman" w:cs="Times New Roman"/>
          <w:sz w:val="24"/>
          <w:szCs w:val="24"/>
        </w:rPr>
        <w:t>У</w:t>
      </w:r>
      <w:r w:rsidRPr="00087090">
        <w:rPr>
          <w:rFonts w:ascii="Times New Roman" w:hAnsi="Times New Roman" w:cs="Times New Roman"/>
          <w:sz w:val="24"/>
          <w:szCs w:val="24"/>
        </w:rPr>
        <w:t xml:space="preserve">) напрямую. В других случаях он использует данные </w:t>
      </w:r>
      <w:r w:rsidR="00973607" w:rsidRPr="00087090">
        <w:rPr>
          <w:rFonts w:ascii="Times New Roman" w:hAnsi="Times New Roman" w:cs="Times New Roman"/>
          <w:sz w:val="24"/>
          <w:szCs w:val="24"/>
        </w:rPr>
        <w:t>НСУ</w:t>
      </w:r>
      <w:r w:rsidRPr="00087090">
        <w:rPr>
          <w:rFonts w:ascii="Times New Roman" w:hAnsi="Times New Roman" w:cs="Times New Roman"/>
          <w:sz w:val="24"/>
          <w:szCs w:val="24"/>
        </w:rPr>
        <w:t xml:space="preserve">, полученные косвенно. Например, он получает данные от Евростата и из LIS (Люксембургское исследование доходов), которые предоставляют </w:t>
      </w:r>
      <w:r w:rsidR="00973607" w:rsidRPr="00087090">
        <w:rPr>
          <w:rFonts w:ascii="Times New Roman" w:hAnsi="Times New Roman" w:cs="Times New Roman"/>
          <w:sz w:val="24"/>
          <w:szCs w:val="24"/>
        </w:rPr>
        <w:t xml:space="preserve">полученные/согласованные </w:t>
      </w:r>
      <w:r w:rsidRPr="00087090">
        <w:rPr>
          <w:rFonts w:ascii="Times New Roman" w:hAnsi="Times New Roman" w:cs="Times New Roman"/>
          <w:sz w:val="24"/>
          <w:szCs w:val="24"/>
        </w:rPr>
        <w:t xml:space="preserve">данные НСУ Всемирного банка. Национальный университет штата Ла-Плата, Аргентина и Всемирный банк совместно поддерживают базу данных SEDLAC (Социально-экономическая база данных для Латинской Америки и Карибского бассейна), которая включает согласованные статистические данные о бедности и других распределительных и социальных показателях из 24 стран Латинской Америки и Карибского бассейна на основе микроданных из обследований домашних хозяйств, проводимых НСУ. Данные получены в рамках страновых программ, в том числе программ технической помощи и совместных аналитических мероприятий и мероприятий по наращиванию потенциала. Всемирный банк имеет </w:t>
      </w:r>
      <w:r w:rsidR="00973607" w:rsidRPr="00087090">
        <w:rPr>
          <w:rFonts w:ascii="Times New Roman" w:hAnsi="Times New Roman" w:cs="Times New Roman"/>
          <w:sz w:val="24"/>
          <w:szCs w:val="24"/>
        </w:rPr>
        <w:t>отношения</w:t>
      </w:r>
      <w:r w:rsidRPr="00087090">
        <w:rPr>
          <w:rFonts w:ascii="Times New Roman" w:hAnsi="Times New Roman" w:cs="Times New Roman"/>
          <w:sz w:val="24"/>
          <w:szCs w:val="24"/>
        </w:rPr>
        <w:t xml:space="preserve"> с НСУ по программам работы с использованием статистических систем и анализа данных. Экономисты по бедности из Всемирного банка обычно взаимодействуют с НСУ в целом по измерению и анализу бедности в рамках деятельности по оказанию технической помощи. </w:t>
      </w:r>
    </w:p>
    <w:p w:rsidR="00D8339E"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Всемирная организация здравоохранения и Всемирный банк генерируют показатель 3.8.2, придерживаясь того же подхода. Оба учреждения объединили оценки на мезоуровне. Приемлемость оценок, включенных в общую итоговую базу данных для составления региональных и глобальных оценок, основывается на следующих проверках качества: </w:t>
      </w:r>
    </w:p>
    <w:p w:rsidR="00D8339E" w:rsidRPr="00F72B75" w:rsidRDefault="00D8339E" w:rsidP="00293300">
      <w:pPr>
        <w:jc w:val="both"/>
        <w:rPr>
          <w:rFonts w:ascii="Times New Roman" w:hAnsi="Times New Roman" w:cs="Times New Roman"/>
          <w:i/>
          <w:sz w:val="24"/>
          <w:szCs w:val="24"/>
        </w:rPr>
      </w:pPr>
      <w:r w:rsidRPr="00F72B75">
        <w:rPr>
          <w:rFonts w:ascii="Times New Roman" w:hAnsi="Times New Roman" w:cs="Times New Roman"/>
          <w:i/>
          <w:sz w:val="24"/>
          <w:szCs w:val="24"/>
        </w:rPr>
        <w:lastRenderedPageBreak/>
        <w:t>Д</w:t>
      </w:r>
      <w:r w:rsidR="0099253E" w:rsidRPr="00F72B75">
        <w:rPr>
          <w:rFonts w:ascii="Times New Roman" w:hAnsi="Times New Roman" w:cs="Times New Roman"/>
          <w:i/>
          <w:sz w:val="24"/>
          <w:szCs w:val="24"/>
        </w:rPr>
        <w:t>ля знаменателя соотноше</w:t>
      </w:r>
      <w:r w:rsidRPr="00F72B75">
        <w:rPr>
          <w:rFonts w:ascii="Times New Roman" w:hAnsi="Times New Roman" w:cs="Times New Roman"/>
          <w:i/>
          <w:sz w:val="24"/>
          <w:szCs w:val="24"/>
        </w:rPr>
        <w:t>ния расходов на здравоохранение:</w:t>
      </w:r>
    </w:p>
    <w:p w:rsidR="00D8339E" w:rsidRPr="00F72B75" w:rsidRDefault="0099253E" w:rsidP="00F72B75">
      <w:pPr>
        <w:pStyle w:val="ac"/>
        <w:numPr>
          <w:ilvl w:val="0"/>
          <w:numId w:val="10"/>
        </w:numPr>
        <w:jc w:val="both"/>
        <w:rPr>
          <w:rFonts w:ascii="Times New Roman" w:hAnsi="Times New Roman" w:cs="Times New Roman"/>
          <w:sz w:val="24"/>
          <w:szCs w:val="24"/>
        </w:rPr>
      </w:pPr>
      <w:r w:rsidRPr="00F72B75">
        <w:rPr>
          <w:rFonts w:ascii="Times New Roman" w:hAnsi="Times New Roman" w:cs="Times New Roman"/>
          <w:sz w:val="24"/>
          <w:szCs w:val="24"/>
        </w:rPr>
        <w:t>Проверя</w:t>
      </w:r>
      <w:r w:rsidR="00D8339E" w:rsidRPr="00F72B75">
        <w:rPr>
          <w:rFonts w:ascii="Times New Roman" w:hAnsi="Times New Roman" w:cs="Times New Roman"/>
          <w:sz w:val="24"/>
          <w:szCs w:val="24"/>
        </w:rPr>
        <w:t>ю</w:t>
      </w:r>
      <w:r w:rsidRPr="00F72B75">
        <w:rPr>
          <w:rFonts w:ascii="Times New Roman" w:hAnsi="Times New Roman" w:cs="Times New Roman"/>
          <w:sz w:val="24"/>
          <w:szCs w:val="24"/>
        </w:rPr>
        <w:t xml:space="preserve">т, нормально ли распределяется потребление на душу населения </w:t>
      </w:r>
    </w:p>
    <w:p w:rsidR="00D8339E" w:rsidRPr="00F72B75" w:rsidRDefault="0099253E" w:rsidP="00F72B75">
      <w:pPr>
        <w:pStyle w:val="ac"/>
        <w:numPr>
          <w:ilvl w:val="0"/>
          <w:numId w:val="10"/>
        </w:numPr>
        <w:jc w:val="both"/>
        <w:rPr>
          <w:rFonts w:ascii="Times New Roman" w:hAnsi="Times New Roman" w:cs="Times New Roman"/>
          <w:sz w:val="24"/>
          <w:szCs w:val="24"/>
        </w:rPr>
      </w:pPr>
      <w:r w:rsidRPr="00F72B75">
        <w:rPr>
          <w:rFonts w:ascii="Times New Roman" w:hAnsi="Times New Roman" w:cs="Times New Roman"/>
          <w:sz w:val="24"/>
          <w:szCs w:val="24"/>
        </w:rPr>
        <w:t>Сравни</w:t>
      </w:r>
      <w:r w:rsidR="00D8339E" w:rsidRPr="00F72B75">
        <w:rPr>
          <w:rFonts w:ascii="Times New Roman" w:hAnsi="Times New Roman" w:cs="Times New Roman"/>
          <w:sz w:val="24"/>
          <w:szCs w:val="24"/>
        </w:rPr>
        <w:t>ваю</w:t>
      </w:r>
      <w:r w:rsidRPr="00F72B75">
        <w:rPr>
          <w:rFonts w:ascii="Times New Roman" w:hAnsi="Times New Roman" w:cs="Times New Roman"/>
          <w:sz w:val="24"/>
          <w:szCs w:val="24"/>
        </w:rPr>
        <w:t xml:space="preserve">т логарифм </w:t>
      </w:r>
      <w:r w:rsidR="00D8339E" w:rsidRPr="00F72B75">
        <w:rPr>
          <w:rFonts w:ascii="Times New Roman" w:hAnsi="Times New Roman" w:cs="Times New Roman"/>
          <w:sz w:val="24"/>
          <w:szCs w:val="24"/>
        </w:rPr>
        <w:t xml:space="preserve">потребления </w:t>
      </w:r>
      <w:r w:rsidRPr="00F72B75">
        <w:rPr>
          <w:rFonts w:ascii="Times New Roman" w:hAnsi="Times New Roman" w:cs="Times New Roman"/>
          <w:sz w:val="24"/>
          <w:szCs w:val="24"/>
        </w:rPr>
        <w:t xml:space="preserve">на душу населения с доступными цифрами в </w:t>
      </w:r>
      <w:r w:rsidR="00D8339E" w:rsidRPr="00F72B75">
        <w:rPr>
          <w:rFonts w:ascii="Times New Roman" w:hAnsi="Times New Roman" w:cs="Times New Roman"/>
          <w:sz w:val="24"/>
          <w:szCs w:val="24"/>
        </w:rPr>
        <w:t xml:space="preserve">базе данных </w:t>
      </w:r>
      <w:r w:rsidRPr="00F72B75">
        <w:rPr>
          <w:rFonts w:ascii="Times New Roman" w:hAnsi="Times New Roman" w:cs="Times New Roman"/>
          <w:sz w:val="24"/>
          <w:szCs w:val="24"/>
        </w:rPr>
        <w:t xml:space="preserve">PovcalNet </w:t>
      </w:r>
    </w:p>
    <w:p w:rsidR="00D8339E" w:rsidRPr="00F72B75" w:rsidRDefault="0099253E" w:rsidP="00F72B75">
      <w:pPr>
        <w:pStyle w:val="ac"/>
        <w:numPr>
          <w:ilvl w:val="0"/>
          <w:numId w:val="10"/>
        </w:numPr>
        <w:jc w:val="both"/>
        <w:rPr>
          <w:rFonts w:ascii="Times New Roman" w:hAnsi="Times New Roman" w:cs="Times New Roman"/>
          <w:sz w:val="24"/>
          <w:szCs w:val="24"/>
        </w:rPr>
      </w:pPr>
      <w:r w:rsidRPr="00F72B75">
        <w:rPr>
          <w:rFonts w:ascii="Times New Roman" w:hAnsi="Times New Roman" w:cs="Times New Roman"/>
          <w:sz w:val="24"/>
          <w:szCs w:val="24"/>
        </w:rPr>
        <w:t>Сравни</w:t>
      </w:r>
      <w:r w:rsidR="00D8339E" w:rsidRPr="00F72B75">
        <w:rPr>
          <w:rFonts w:ascii="Times New Roman" w:hAnsi="Times New Roman" w:cs="Times New Roman"/>
          <w:sz w:val="24"/>
          <w:szCs w:val="24"/>
        </w:rPr>
        <w:t>вают</w:t>
      </w:r>
      <w:r w:rsidRPr="00F72B75">
        <w:rPr>
          <w:rFonts w:ascii="Times New Roman" w:hAnsi="Times New Roman" w:cs="Times New Roman"/>
          <w:sz w:val="24"/>
          <w:szCs w:val="24"/>
        </w:rPr>
        <w:t xml:space="preserve"> численность населения по </w:t>
      </w:r>
      <w:r w:rsidR="00D8339E" w:rsidRPr="00F72B75">
        <w:rPr>
          <w:rFonts w:ascii="Times New Roman" w:hAnsi="Times New Roman" w:cs="Times New Roman"/>
          <w:sz w:val="24"/>
          <w:szCs w:val="24"/>
        </w:rPr>
        <w:t xml:space="preserve">уровню </w:t>
      </w:r>
      <w:r w:rsidRPr="00F72B75">
        <w:rPr>
          <w:rFonts w:ascii="Times New Roman" w:hAnsi="Times New Roman" w:cs="Times New Roman"/>
          <w:sz w:val="24"/>
          <w:szCs w:val="24"/>
        </w:rPr>
        <w:t>бедности</w:t>
      </w:r>
      <w:r w:rsidR="00D8339E" w:rsidRPr="00F72B75">
        <w:rPr>
          <w:rFonts w:ascii="Times New Roman" w:hAnsi="Times New Roman" w:cs="Times New Roman"/>
          <w:sz w:val="24"/>
          <w:szCs w:val="24"/>
        </w:rPr>
        <w:t>,</w:t>
      </w:r>
      <w:r w:rsidRPr="00F72B75">
        <w:rPr>
          <w:rFonts w:ascii="Times New Roman" w:hAnsi="Times New Roman" w:cs="Times New Roman"/>
          <w:sz w:val="24"/>
          <w:szCs w:val="24"/>
        </w:rPr>
        <w:t xml:space="preserve"> </w:t>
      </w:r>
      <w:r w:rsidR="00D8339E" w:rsidRPr="00F72B75">
        <w:rPr>
          <w:rFonts w:ascii="Times New Roman" w:hAnsi="Times New Roman" w:cs="Times New Roman"/>
          <w:sz w:val="24"/>
          <w:szCs w:val="24"/>
        </w:rPr>
        <w:t>живущих</w:t>
      </w:r>
      <w:r w:rsidRPr="00F72B75">
        <w:rPr>
          <w:rFonts w:ascii="Times New Roman" w:hAnsi="Times New Roman" w:cs="Times New Roman"/>
          <w:sz w:val="24"/>
          <w:szCs w:val="24"/>
        </w:rPr>
        <w:t xml:space="preserve"> </w:t>
      </w:r>
      <w:r w:rsidR="00D8339E" w:rsidRPr="00F72B75">
        <w:rPr>
          <w:rFonts w:ascii="Times New Roman" w:hAnsi="Times New Roman" w:cs="Times New Roman"/>
          <w:sz w:val="24"/>
          <w:szCs w:val="24"/>
        </w:rPr>
        <w:t xml:space="preserve">на </w:t>
      </w:r>
      <w:r w:rsidRPr="00F72B75">
        <w:rPr>
          <w:rFonts w:ascii="Times New Roman" w:hAnsi="Times New Roman" w:cs="Times New Roman"/>
          <w:sz w:val="24"/>
          <w:szCs w:val="24"/>
        </w:rPr>
        <w:t>1,90 долл. США в день с цифр</w:t>
      </w:r>
      <w:r w:rsidR="00D8339E" w:rsidRPr="00F72B75">
        <w:rPr>
          <w:rFonts w:ascii="Times New Roman" w:hAnsi="Times New Roman" w:cs="Times New Roman"/>
          <w:sz w:val="24"/>
          <w:szCs w:val="24"/>
        </w:rPr>
        <w:t>ами в базе данных</w:t>
      </w:r>
      <w:r w:rsidRPr="00F72B75">
        <w:rPr>
          <w:rFonts w:ascii="Times New Roman" w:hAnsi="Times New Roman" w:cs="Times New Roman"/>
          <w:sz w:val="24"/>
          <w:szCs w:val="24"/>
        </w:rPr>
        <w:t xml:space="preserve"> PovcalNet. </w:t>
      </w:r>
    </w:p>
    <w:p w:rsidR="00D8339E" w:rsidRPr="00F72B75" w:rsidRDefault="0099253E" w:rsidP="00293300">
      <w:pPr>
        <w:jc w:val="both"/>
        <w:rPr>
          <w:rFonts w:ascii="Times New Roman" w:hAnsi="Times New Roman" w:cs="Times New Roman"/>
          <w:i/>
          <w:sz w:val="24"/>
          <w:szCs w:val="24"/>
        </w:rPr>
      </w:pPr>
      <w:r w:rsidRPr="00F72B75">
        <w:rPr>
          <w:rFonts w:ascii="Times New Roman" w:hAnsi="Times New Roman" w:cs="Times New Roman"/>
          <w:i/>
          <w:sz w:val="24"/>
          <w:szCs w:val="24"/>
        </w:rPr>
        <w:t>Для числителя соотношения расходов на здравоохранение</w:t>
      </w:r>
      <w:r w:rsidR="00D8339E" w:rsidRPr="00F72B75">
        <w:rPr>
          <w:rFonts w:ascii="Times New Roman" w:hAnsi="Times New Roman" w:cs="Times New Roman"/>
          <w:i/>
          <w:sz w:val="24"/>
          <w:szCs w:val="24"/>
        </w:rPr>
        <w:t>:</w:t>
      </w:r>
      <w:r w:rsidRPr="00F72B75">
        <w:rPr>
          <w:rFonts w:ascii="Times New Roman" w:hAnsi="Times New Roman" w:cs="Times New Roman"/>
          <w:i/>
          <w:sz w:val="24"/>
          <w:szCs w:val="24"/>
        </w:rPr>
        <w:t xml:space="preserve"> </w:t>
      </w:r>
    </w:p>
    <w:p w:rsidR="00D8339E" w:rsidRPr="00F72B75" w:rsidRDefault="0099253E" w:rsidP="00F72B75">
      <w:pPr>
        <w:pStyle w:val="ac"/>
        <w:numPr>
          <w:ilvl w:val="0"/>
          <w:numId w:val="11"/>
        </w:numPr>
        <w:jc w:val="both"/>
        <w:rPr>
          <w:rFonts w:ascii="Times New Roman" w:hAnsi="Times New Roman" w:cs="Times New Roman"/>
          <w:sz w:val="24"/>
          <w:szCs w:val="24"/>
        </w:rPr>
      </w:pPr>
      <w:r w:rsidRPr="00F72B75">
        <w:rPr>
          <w:rFonts w:ascii="Times New Roman" w:hAnsi="Times New Roman" w:cs="Times New Roman"/>
          <w:sz w:val="24"/>
          <w:szCs w:val="24"/>
        </w:rPr>
        <w:t>Сравни</w:t>
      </w:r>
      <w:r w:rsidR="00D8339E" w:rsidRPr="00F72B75">
        <w:rPr>
          <w:rFonts w:ascii="Times New Roman" w:hAnsi="Times New Roman" w:cs="Times New Roman"/>
          <w:sz w:val="24"/>
          <w:szCs w:val="24"/>
        </w:rPr>
        <w:t>вают</w:t>
      </w:r>
      <w:r w:rsidRPr="00F72B75">
        <w:rPr>
          <w:rFonts w:ascii="Times New Roman" w:hAnsi="Times New Roman" w:cs="Times New Roman"/>
          <w:sz w:val="24"/>
          <w:szCs w:val="24"/>
        </w:rPr>
        <w:t xml:space="preserve"> </w:t>
      </w:r>
      <w:r w:rsidR="00D8339E" w:rsidRPr="00F72B75">
        <w:rPr>
          <w:rFonts w:ascii="Times New Roman" w:hAnsi="Times New Roman" w:cs="Times New Roman"/>
          <w:sz w:val="24"/>
          <w:szCs w:val="24"/>
        </w:rPr>
        <w:t>среднее отношение</w:t>
      </w:r>
      <w:r w:rsidRPr="00F72B75">
        <w:rPr>
          <w:rFonts w:ascii="Times New Roman" w:hAnsi="Times New Roman" w:cs="Times New Roman"/>
          <w:sz w:val="24"/>
          <w:szCs w:val="24"/>
        </w:rPr>
        <w:t xml:space="preserve"> расходов на здравоохранение в </w:t>
      </w:r>
      <w:r w:rsidR="00D8339E" w:rsidRPr="00F72B75">
        <w:rPr>
          <w:rFonts w:ascii="Times New Roman" w:hAnsi="Times New Roman" w:cs="Times New Roman"/>
          <w:sz w:val="24"/>
          <w:szCs w:val="24"/>
        </w:rPr>
        <w:t>обследовании</w:t>
      </w:r>
      <w:r w:rsidRPr="00F72B75">
        <w:rPr>
          <w:rFonts w:ascii="Times New Roman" w:hAnsi="Times New Roman" w:cs="Times New Roman"/>
          <w:sz w:val="24"/>
          <w:szCs w:val="24"/>
        </w:rPr>
        <w:t xml:space="preserve"> с</w:t>
      </w:r>
      <w:r w:rsidR="00D8339E" w:rsidRPr="00F72B75">
        <w:rPr>
          <w:rFonts w:ascii="Times New Roman" w:hAnsi="Times New Roman" w:cs="Times New Roman"/>
          <w:sz w:val="24"/>
          <w:szCs w:val="24"/>
        </w:rPr>
        <w:t>о</w:t>
      </w:r>
      <w:r w:rsidRPr="00F72B75">
        <w:rPr>
          <w:rFonts w:ascii="Times New Roman" w:hAnsi="Times New Roman" w:cs="Times New Roman"/>
          <w:sz w:val="24"/>
          <w:szCs w:val="24"/>
        </w:rPr>
        <w:t xml:space="preserve"> средней долей бюджета, созданной как отношение макроэкономической меры внутренних расходов домашних хозяйств в текущей местной валюте; это доступно из Глобальной базы данных о расходах на здравоохранение (GHED) через базу данных показателей развития мира (WDI) и расходов на конечное потребление домашних хозяйств в текущей местной валюте, также </w:t>
      </w:r>
      <w:r w:rsidR="00D8339E" w:rsidRPr="00F72B75">
        <w:rPr>
          <w:rFonts w:ascii="Times New Roman" w:hAnsi="Times New Roman" w:cs="Times New Roman"/>
          <w:sz w:val="24"/>
          <w:szCs w:val="24"/>
        </w:rPr>
        <w:t>полученных</w:t>
      </w:r>
      <w:r w:rsidRPr="00F72B75">
        <w:rPr>
          <w:rFonts w:ascii="Times New Roman" w:hAnsi="Times New Roman" w:cs="Times New Roman"/>
          <w:sz w:val="24"/>
          <w:szCs w:val="24"/>
        </w:rPr>
        <w:t xml:space="preserve"> из WDI. </w:t>
      </w:r>
    </w:p>
    <w:p w:rsidR="00F76479"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Эти контрольные показатели также используются для определения двух оценок для этих стран и тех лет, для которых оба учреждения имеют одинаковый источник данных. Эта работа </w:t>
      </w:r>
      <w:r w:rsidR="00316D72" w:rsidRPr="00087090">
        <w:rPr>
          <w:rFonts w:ascii="Times New Roman" w:hAnsi="Times New Roman" w:cs="Times New Roman"/>
          <w:sz w:val="24"/>
          <w:szCs w:val="24"/>
        </w:rPr>
        <w:t>продолжается,</w:t>
      </w:r>
      <w:r w:rsidRPr="00087090">
        <w:rPr>
          <w:rFonts w:ascii="Times New Roman" w:hAnsi="Times New Roman" w:cs="Times New Roman"/>
          <w:sz w:val="24"/>
          <w:szCs w:val="24"/>
        </w:rPr>
        <w:t xml:space="preserve"> и могут быть добавлены дополнительные проверки качества. </w:t>
      </w:r>
    </w:p>
    <w:p w:rsidR="00316D72"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На страновом уровне ВОЗ и Всемирный банк собирают не дублированные оценки доли населения после подхода, описанного в разделе «региональные </w:t>
      </w:r>
      <w:r w:rsidR="00F76479" w:rsidRPr="00087090">
        <w:rPr>
          <w:rFonts w:ascii="Times New Roman" w:hAnsi="Times New Roman" w:cs="Times New Roman"/>
          <w:sz w:val="24"/>
          <w:szCs w:val="24"/>
        </w:rPr>
        <w:t>сводные показатели</w:t>
      </w:r>
      <w:r w:rsidRPr="00087090">
        <w:rPr>
          <w:rFonts w:ascii="Times New Roman" w:hAnsi="Times New Roman" w:cs="Times New Roman"/>
          <w:sz w:val="24"/>
          <w:szCs w:val="24"/>
        </w:rPr>
        <w:t xml:space="preserve">»; и Всемирная организация здравоохранения проводит процесс консультаций </w:t>
      </w:r>
      <w:r w:rsidR="00F76479" w:rsidRPr="00087090">
        <w:rPr>
          <w:rFonts w:ascii="Times New Roman" w:hAnsi="Times New Roman" w:cs="Times New Roman"/>
          <w:sz w:val="24"/>
          <w:szCs w:val="24"/>
        </w:rPr>
        <w:t>в</w:t>
      </w:r>
      <w:r w:rsidRPr="00087090">
        <w:rPr>
          <w:rFonts w:ascii="Times New Roman" w:hAnsi="Times New Roman" w:cs="Times New Roman"/>
          <w:sz w:val="24"/>
          <w:szCs w:val="24"/>
        </w:rPr>
        <w:t xml:space="preserve"> стран</w:t>
      </w:r>
      <w:r w:rsidR="00F76479" w:rsidRPr="00087090">
        <w:rPr>
          <w:rFonts w:ascii="Times New Roman" w:hAnsi="Times New Roman" w:cs="Times New Roman"/>
          <w:sz w:val="24"/>
          <w:szCs w:val="24"/>
        </w:rPr>
        <w:t>е</w:t>
      </w:r>
      <w:r w:rsidRPr="00087090">
        <w:rPr>
          <w:rFonts w:ascii="Times New Roman" w:hAnsi="Times New Roman" w:cs="Times New Roman"/>
          <w:sz w:val="24"/>
          <w:szCs w:val="24"/>
        </w:rPr>
        <w:t>. В соответствии с резолюцией Исполнительного совета ВОЗ (EB107.R8)</w:t>
      </w:r>
      <w:r w:rsidR="00F76479" w:rsidRPr="00087090">
        <w:rPr>
          <w:rFonts w:ascii="Times New Roman" w:hAnsi="Times New Roman" w:cs="Times New Roman"/>
          <w:sz w:val="24"/>
          <w:szCs w:val="24"/>
        </w:rPr>
        <w:t>,</w:t>
      </w:r>
      <w:r w:rsidRPr="00087090">
        <w:rPr>
          <w:rFonts w:ascii="Times New Roman" w:hAnsi="Times New Roman" w:cs="Times New Roman"/>
          <w:sz w:val="24"/>
          <w:szCs w:val="24"/>
        </w:rPr>
        <w:t xml:space="preserve"> ВОЗ предлагается сделать это до публикации оценок на страновом уровне от имени государств-членов. Для любого данного показателя этот процесс начинается с того, что ВОЗ направляет официальные запросы в министерства здравоохранения о назначении координационного центра для консультации по показателю. После того, как государства-члены назначают координационные центры, ВОЗ затем направляет им проекты оценок и методологические описания. Затем координационные центры направляют ВОЗ свои комментарии, часто включающие новые данные, которые используются для обновления оценок стран. </w:t>
      </w:r>
    </w:p>
    <w:p w:rsidR="0099253E"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В дополнение к этим консультациям Всемирная организация здравоохранения и Всемирный банк регулярно проводят учебные мероприятия по измерению отсутствия охвата финансовой защитой, в которую входят участники из Министерства здравоохранения, а также из Национального статистического управления.</w:t>
      </w:r>
    </w:p>
    <w:p w:rsidR="005634A4" w:rsidRPr="00087090" w:rsidRDefault="00087090" w:rsidP="00293300">
      <w:pPr>
        <w:jc w:val="both"/>
        <w:rPr>
          <w:rFonts w:ascii="Times New Roman" w:hAnsi="Times New Roman" w:cs="Times New Roman"/>
          <w:b/>
          <w:sz w:val="24"/>
          <w:szCs w:val="24"/>
        </w:rPr>
      </w:pPr>
      <w:r w:rsidRPr="00087090">
        <w:rPr>
          <w:rFonts w:ascii="Times New Roman" w:hAnsi="Times New Roman" w:cs="Times New Roman"/>
          <w:b/>
          <w:sz w:val="24"/>
          <w:szCs w:val="24"/>
        </w:rPr>
        <w:t xml:space="preserve">Доступность данных </w:t>
      </w:r>
    </w:p>
    <w:p w:rsidR="005634A4" w:rsidRPr="00087090" w:rsidRDefault="0099253E"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Описание: </w:t>
      </w:r>
    </w:p>
    <w:p w:rsidR="008961D5" w:rsidRPr="00087090" w:rsidRDefault="00F72B75" w:rsidP="00293300">
      <w:pPr>
        <w:jc w:val="both"/>
        <w:rPr>
          <w:rFonts w:ascii="Times New Roman" w:hAnsi="Times New Roman" w:cs="Times New Roman"/>
          <w:sz w:val="24"/>
          <w:szCs w:val="24"/>
        </w:rPr>
      </w:pPr>
      <w:r>
        <w:rPr>
          <w:rFonts w:ascii="Times New Roman" w:hAnsi="Times New Roman" w:cs="Times New Roman"/>
          <w:sz w:val="24"/>
          <w:szCs w:val="24"/>
        </w:rPr>
        <w:t>П</w:t>
      </w:r>
      <w:r w:rsidR="0099253E" w:rsidRPr="00087090">
        <w:rPr>
          <w:rFonts w:ascii="Times New Roman" w:hAnsi="Times New Roman" w:cs="Times New Roman"/>
          <w:sz w:val="24"/>
          <w:szCs w:val="24"/>
        </w:rPr>
        <w:t xml:space="preserve">оказатель в основном основан на тех же источниках данных, которые используются для мониторинга показателя </w:t>
      </w:r>
      <w:r w:rsidR="008961D5" w:rsidRPr="00087090">
        <w:rPr>
          <w:rFonts w:ascii="Times New Roman" w:hAnsi="Times New Roman" w:cs="Times New Roman"/>
          <w:sz w:val="24"/>
          <w:szCs w:val="24"/>
        </w:rPr>
        <w:t xml:space="preserve">ЦУР </w:t>
      </w:r>
      <w:r w:rsidR="0099253E" w:rsidRPr="00087090">
        <w:rPr>
          <w:rFonts w:ascii="Times New Roman" w:hAnsi="Times New Roman" w:cs="Times New Roman"/>
          <w:sz w:val="24"/>
          <w:szCs w:val="24"/>
        </w:rPr>
        <w:t xml:space="preserve">1.1.1 с дополнительным требованием наличия информации о расходах на здравоохранение. Учитывая это, Всемирный банк и ВОЗ определили 1526 потенциально подходящих наборов данных обследований домашних хозяйств из 151 страны. 168 из этих наборов данных в настоящее время недоступны ни для Всемирного банка, ни для ВОЗ, а 450 еще не имеют всех ключевых переменных, необходимых для анализа. Остальные 911 наборов данных были проанализированы. Доступность данных, измеряемая с точки зрения </w:t>
      </w:r>
      <w:r w:rsidR="0099253E" w:rsidRPr="00087090">
        <w:rPr>
          <w:rFonts w:ascii="Times New Roman" w:hAnsi="Times New Roman" w:cs="Times New Roman"/>
          <w:sz w:val="24"/>
          <w:szCs w:val="24"/>
        </w:rPr>
        <w:lastRenderedPageBreak/>
        <w:t>количества стран, которые ВОЗ и Всемирный банк в настоящее время пересматривает и удерживает для оценки «</w:t>
      </w:r>
      <w:r w:rsidR="008961D5" w:rsidRPr="00087090">
        <w:rPr>
          <w:rFonts w:ascii="Times New Roman" w:hAnsi="Times New Roman" w:cs="Times New Roman"/>
          <w:sz w:val="24"/>
          <w:szCs w:val="24"/>
        </w:rPr>
        <w:t>доли населения с большим удельным весом семейных расходов на медицинскую помощь в общем объеме расходов или доходов домохозяйств</w:t>
      </w:r>
      <w:r w:rsidR="0099253E" w:rsidRPr="00087090">
        <w:rPr>
          <w:rFonts w:ascii="Times New Roman" w:hAnsi="Times New Roman" w:cs="Times New Roman"/>
          <w:sz w:val="24"/>
          <w:szCs w:val="24"/>
        </w:rPr>
        <w:t xml:space="preserve">», выглядит следующим образом за последний год: </w:t>
      </w:r>
    </w:p>
    <w:p w:rsidR="008961D5" w:rsidRPr="00087090" w:rsidRDefault="00DC6422" w:rsidP="00293300">
      <w:pPr>
        <w:jc w:val="both"/>
        <w:rPr>
          <w:rFonts w:ascii="Times New Roman" w:hAnsi="Times New Roman" w:cs="Times New Roman"/>
          <w:sz w:val="24"/>
          <w:szCs w:val="24"/>
        </w:rPr>
      </w:pPr>
      <w:r w:rsidRPr="00087090">
        <w:rPr>
          <w:rFonts w:ascii="Times New Roman" w:hAnsi="Times New Roman" w:cs="Times New Roman"/>
          <w:sz w:val="24"/>
          <w:szCs w:val="24"/>
        </w:rPr>
        <w:t>В</w:t>
      </w:r>
      <w:r w:rsidR="008961D5" w:rsidRPr="00087090">
        <w:rPr>
          <w:rFonts w:ascii="Times New Roman" w:hAnsi="Times New Roman" w:cs="Times New Roman"/>
          <w:sz w:val="24"/>
          <w:szCs w:val="24"/>
        </w:rPr>
        <w:t>ыбранны</w:t>
      </w:r>
      <w:r w:rsidRPr="00087090">
        <w:rPr>
          <w:rFonts w:ascii="Times New Roman" w:hAnsi="Times New Roman" w:cs="Times New Roman"/>
          <w:sz w:val="24"/>
          <w:szCs w:val="24"/>
        </w:rPr>
        <w:t>е</w:t>
      </w:r>
      <w:r w:rsidR="008961D5" w:rsidRPr="00087090">
        <w:rPr>
          <w:rFonts w:ascii="Times New Roman" w:hAnsi="Times New Roman" w:cs="Times New Roman"/>
          <w:sz w:val="24"/>
          <w:szCs w:val="24"/>
        </w:rPr>
        <w:t xml:space="preserve"> ВОЗ и Всемирным банком для оценки «</w:t>
      </w:r>
      <w:r w:rsidRPr="00087090">
        <w:rPr>
          <w:rFonts w:ascii="Times New Roman" w:hAnsi="Times New Roman" w:cs="Times New Roman"/>
          <w:sz w:val="24"/>
          <w:szCs w:val="24"/>
        </w:rPr>
        <w:t>доли населения с большим удельным весом семейных расходов на медицинскую помощь в общем объеме расходов или доходов домохозяйств</w:t>
      </w:r>
      <w:r w:rsidR="008961D5" w:rsidRPr="00087090">
        <w:rPr>
          <w:rFonts w:ascii="Times New Roman" w:hAnsi="Times New Roman" w:cs="Times New Roman"/>
          <w:sz w:val="24"/>
          <w:szCs w:val="24"/>
        </w:rPr>
        <w:t>» по состоянию на февраль 2017 года</w:t>
      </w:r>
    </w:p>
    <w:tbl>
      <w:tblPr>
        <w:tblStyle w:val="ad"/>
        <w:tblW w:w="0" w:type="auto"/>
        <w:tblLayout w:type="fixed"/>
        <w:tblLook w:val="04A0"/>
      </w:tblPr>
      <w:tblGrid>
        <w:gridCol w:w="3369"/>
        <w:gridCol w:w="1559"/>
        <w:gridCol w:w="1276"/>
        <w:gridCol w:w="1275"/>
        <w:gridCol w:w="993"/>
        <w:gridCol w:w="1701"/>
      </w:tblGrid>
      <w:tr w:rsidR="00206AEE" w:rsidRPr="00087090" w:rsidTr="003D2BAA">
        <w:tc>
          <w:tcPr>
            <w:tcW w:w="3369" w:type="dxa"/>
          </w:tcPr>
          <w:p w:rsidR="008961D5" w:rsidRPr="00087090" w:rsidRDefault="008961D5"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Региональная разбивка по ЦУР</w:t>
            </w:r>
          </w:p>
        </w:tc>
        <w:tc>
          <w:tcPr>
            <w:tcW w:w="1559" w:type="dxa"/>
          </w:tcPr>
          <w:p w:rsidR="008961D5" w:rsidRPr="00087090" w:rsidRDefault="008961D5"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Число государств-членов ВОЗ</w:t>
            </w:r>
          </w:p>
        </w:tc>
        <w:tc>
          <w:tcPr>
            <w:tcW w:w="1276" w:type="dxa"/>
          </w:tcPr>
          <w:p w:rsidR="008961D5" w:rsidRPr="00087090" w:rsidRDefault="008961D5"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1995-2004</w:t>
            </w:r>
          </w:p>
          <w:p w:rsidR="008961D5" w:rsidRPr="00087090" w:rsidRDefault="008961D5" w:rsidP="00293300">
            <w:pPr>
              <w:spacing w:line="276" w:lineRule="auto"/>
              <w:jc w:val="both"/>
              <w:rPr>
                <w:rFonts w:ascii="Times New Roman" w:hAnsi="Times New Roman" w:cs="Times New Roman"/>
                <w:sz w:val="24"/>
                <w:szCs w:val="24"/>
              </w:rPr>
            </w:pPr>
          </w:p>
        </w:tc>
        <w:tc>
          <w:tcPr>
            <w:tcW w:w="1275" w:type="dxa"/>
          </w:tcPr>
          <w:p w:rsidR="008961D5" w:rsidRPr="00087090" w:rsidRDefault="008961D5"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 xml:space="preserve">2005-2015 </w:t>
            </w:r>
          </w:p>
          <w:p w:rsidR="008961D5" w:rsidRPr="00087090" w:rsidRDefault="008961D5" w:rsidP="00293300">
            <w:pPr>
              <w:spacing w:line="276" w:lineRule="auto"/>
              <w:jc w:val="both"/>
              <w:rPr>
                <w:rFonts w:ascii="Times New Roman" w:hAnsi="Times New Roman" w:cs="Times New Roman"/>
                <w:sz w:val="24"/>
                <w:szCs w:val="24"/>
              </w:rPr>
            </w:pPr>
          </w:p>
        </w:tc>
        <w:tc>
          <w:tcPr>
            <w:tcW w:w="993" w:type="dxa"/>
          </w:tcPr>
          <w:p w:rsidR="008961D5" w:rsidRPr="00087090" w:rsidRDefault="008961D5"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Всего</w:t>
            </w:r>
          </w:p>
        </w:tc>
        <w:tc>
          <w:tcPr>
            <w:tcW w:w="1701" w:type="dxa"/>
          </w:tcPr>
          <w:p w:rsidR="008961D5" w:rsidRPr="00087090" w:rsidRDefault="008961D5"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Всего в виде доли от числа стран в регионе ЦУР</w:t>
            </w:r>
          </w:p>
        </w:tc>
      </w:tr>
      <w:tr w:rsidR="00206AEE" w:rsidRPr="00087090" w:rsidTr="003D2BAA">
        <w:tc>
          <w:tcPr>
            <w:tcW w:w="3369" w:type="dxa"/>
          </w:tcPr>
          <w:p w:rsidR="008961D5" w:rsidRPr="00087090" w:rsidRDefault="008961D5"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 xml:space="preserve">Австралия и Новая Зеландия </w:t>
            </w:r>
          </w:p>
        </w:tc>
        <w:tc>
          <w:tcPr>
            <w:tcW w:w="1559"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2</w:t>
            </w:r>
          </w:p>
        </w:tc>
        <w:tc>
          <w:tcPr>
            <w:tcW w:w="1276"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0</w:t>
            </w:r>
          </w:p>
        </w:tc>
        <w:tc>
          <w:tcPr>
            <w:tcW w:w="1275"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1</w:t>
            </w:r>
          </w:p>
        </w:tc>
        <w:tc>
          <w:tcPr>
            <w:tcW w:w="993"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1</w:t>
            </w:r>
          </w:p>
        </w:tc>
        <w:tc>
          <w:tcPr>
            <w:tcW w:w="1701"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50.0 %</w:t>
            </w:r>
          </w:p>
        </w:tc>
      </w:tr>
      <w:tr w:rsidR="00206AEE" w:rsidRPr="00087090" w:rsidTr="003D2BAA">
        <w:tc>
          <w:tcPr>
            <w:tcW w:w="3369" w:type="dxa"/>
          </w:tcPr>
          <w:p w:rsidR="008961D5" w:rsidRPr="00087090" w:rsidRDefault="008961D5"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Центральная Азия и Южная Азия</w:t>
            </w:r>
          </w:p>
        </w:tc>
        <w:tc>
          <w:tcPr>
            <w:tcW w:w="1559"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14</w:t>
            </w:r>
          </w:p>
        </w:tc>
        <w:tc>
          <w:tcPr>
            <w:tcW w:w="1276"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0</w:t>
            </w:r>
          </w:p>
        </w:tc>
        <w:tc>
          <w:tcPr>
            <w:tcW w:w="1275"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10</w:t>
            </w:r>
          </w:p>
        </w:tc>
        <w:tc>
          <w:tcPr>
            <w:tcW w:w="993"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10</w:t>
            </w:r>
          </w:p>
        </w:tc>
        <w:tc>
          <w:tcPr>
            <w:tcW w:w="1701"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71.4 %</w:t>
            </w:r>
          </w:p>
        </w:tc>
      </w:tr>
      <w:tr w:rsidR="00206AEE" w:rsidRPr="00087090" w:rsidTr="003D2BAA">
        <w:tc>
          <w:tcPr>
            <w:tcW w:w="3369" w:type="dxa"/>
          </w:tcPr>
          <w:p w:rsidR="008961D5" w:rsidRPr="00087090" w:rsidRDefault="008961D5"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Восточная Азия и Юго-Восточная Азия</w:t>
            </w:r>
          </w:p>
        </w:tc>
        <w:tc>
          <w:tcPr>
            <w:tcW w:w="1559"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16</w:t>
            </w:r>
          </w:p>
        </w:tc>
        <w:tc>
          <w:tcPr>
            <w:tcW w:w="1276"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1</w:t>
            </w:r>
          </w:p>
        </w:tc>
        <w:tc>
          <w:tcPr>
            <w:tcW w:w="1275"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11</w:t>
            </w:r>
          </w:p>
        </w:tc>
        <w:tc>
          <w:tcPr>
            <w:tcW w:w="993"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12</w:t>
            </w:r>
          </w:p>
        </w:tc>
        <w:tc>
          <w:tcPr>
            <w:tcW w:w="1701"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75.0 %</w:t>
            </w:r>
          </w:p>
        </w:tc>
      </w:tr>
      <w:tr w:rsidR="00206AEE" w:rsidRPr="00087090" w:rsidTr="003D2BAA">
        <w:tc>
          <w:tcPr>
            <w:tcW w:w="3369" w:type="dxa"/>
          </w:tcPr>
          <w:p w:rsidR="008961D5" w:rsidRPr="00087090" w:rsidRDefault="008961D5"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Латинская Америка и Карибский бассейн</w:t>
            </w:r>
          </w:p>
        </w:tc>
        <w:tc>
          <w:tcPr>
            <w:tcW w:w="1559"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33</w:t>
            </w:r>
          </w:p>
        </w:tc>
        <w:tc>
          <w:tcPr>
            <w:tcW w:w="1276"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6</w:t>
            </w:r>
          </w:p>
        </w:tc>
        <w:tc>
          <w:tcPr>
            <w:tcW w:w="1275"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8</w:t>
            </w:r>
          </w:p>
        </w:tc>
        <w:tc>
          <w:tcPr>
            <w:tcW w:w="993"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14</w:t>
            </w:r>
          </w:p>
        </w:tc>
        <w:tc>
          <w:tcPr>
            <w:tcW w:w="1701"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42.4 %</w:t>
            </w:r>
          </w:p>
        </w:tc>
      </w:tr>
      <w:tr w:rsidR="00206AEE" w:rsidRPr="00087090" w:rsidTr="003D2BAA">
        <w:tc>
          <w:tcPr>
            <w:tcW w:w="3369" w:type="dxa"/>
          </w:tcPr>
          <w:p w:rsidR="008961D5" w:rsidRPr="00087090" w:rsidRDefault="008961D5"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Северная Америка и Европа</w:t>
            </w:r>
          </w:p>
        </w:tc>
        <w:tc>
          <w:tcPr>
            <w:tcW w:w="1559"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44</w:t>
            </w:r>
          </w:p>
        </w:tc>
        <w:tc>
          <w:tcPr>
            <w:tcW w:w="1276"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7</w:t>
            </w:r>
          </w:p>
        </w:tc>
        <w:tc>
          <w:tcPr>
            <w:tcW w:w="1275"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25</w:t>
            </w:r>
          </w:p>
        </w:tc>
        <w:tc>
          <w:tcPr>
            <w:tcW w:w="993"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32</w:t>
            </w:r>
          </w:p>
        </w:tc>
        <w:tc>
          <w:tcPr>
            <w:tcW w:w="1701"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72.7 %</w:t>
            </w:r>
          </w:p>
        </w:tc>
      </w:tr>
      <w:tr w:rsidR="00206AEE" w:rsidRPr="00087090" w:rsidTr="003D2BAA">
        <w:tc>
          <w:tcPr>
            <w:tcW w:w="3369" w:type="dxa"/>
          </w:tcPr>
          <w:p w:rsidR="008961D5" w:rsidRPr="00087090" w:rsidRDefault="008961D5"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Океания, за исключением Австралии и Новой Зеландии</w:t>
            </w:r>
          </w:p>
        </w:tc>
        <w:tc>
          <w:tcPr>
            <w:tcW w:w="1559"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14</w:t>
            </w:r>
          </w:p>
        </w:tc>
        <w:tc>
          <w:tcPr>
            <w:tcW w:w="1276"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1</w:t>
            </w:r>
          </w:p>
        </w:tc>
        <w:tc>
          <w:tcPr>
            <w:tcW w:w="1275"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0</w:t>
            </w:r>
          </w:p>
        </w:tc>
        <w:tc>
          <w:tcPr>
            <w:tcW w:w="993"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1</w:t>
            </w:r>
          </w:p>
        </w:tc>
        <w:tc>
          <w:tcPr>
            <w:tcW w:w="1701"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7.1 %</w:t>
            </w:r>
          </w:p>
        </w:tc>
      </w:tr>
      <w:tr w:rsidR="00206AEE" w:rsidRPr="00087090" w:rsidTr="003D2BAA">
        <w:tc>
          <w:tcPr>
            <w:tcW w:w="3369" w:type="dxa"/>
          </w:tcPr>
          <w:p w:rsidR="008961D5" w:rsidRPr="00087090" w:rsidRDefault="008961D5"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К югу от Сахары</w:t>
            </w:r>
          </w:p>
        </w:tc>
        <w:tc>
          <w:tcPr>
            <w:tcW w:w="1559"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48</w:t>
            </w:r>
          </w:p>
        </w:tc>
        <w:tc>
          <w:tcPr>
            <w:tcW w:w="1276"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8</w:t>
            </w:r>
          </w:p>
        </w:tc>
        <w:tc>
          <w:tcPr>
            <w:tcW w:w="1275"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27</w:t>
            </w:r>
          </w:p>
        </w:tc>
        <w:tc>
          <w:tcPr>
            <w:tcW w:w="993"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35</w:t>
            </w:r>
          </w:p>
        </w:tc>
        <w:tc>
          <w:tcPr>
            <w:tcW w:w="1701"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 xml:space="preserve">72.9 % </w:t>
            </w:r>
          </w:p>
        </w:tc>
      </w:tr>
      <w:tr w:rsidR="00206AEE" w:rsidRPr="00087090" w:rsidTr="003D2BAA">
        <w:tc>
          <w:tcPr>
            <w:tcW w:w="3369" w:type="dxa"/>
          </w:tcPr>
          <w:p w:rsidR="008961D5" w:rsidRPr="00087090" w:rsidRDefault="008961D5"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Западная Азия и Северная Африка</w:t>
            </w:r>
          </w:p>
        </w:tc>
        <w:tc>
          <w:tcPr>
            <w:tcW w:w="1559"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23</w:t>
            </w:r>
          </w:p>
        </w:tc>
        <w:tc>
          <w:tcPr>
            <w:tcW w:w="1276"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1</w:t>
            </w:r>
          </w:p>
        </w:tc>
        <w:tc>
          <w:tcPr>
            <w:tcW w:w="1275"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10</w:t>
            </w:r>
          </w:p>
        </w:tc>
        <w:tc>
          <w:tcPr>
            <w:tcW w:w="993"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11</w:t>
            </w:r>
          </w:p>
        </w:tc>
        <w:tc>
          <w:tcPr>
            <w:tcW w:w="1701"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47.8 %</w:t>
            </w:r>
          </w:p>
        </w:tc>
      </w:tr>
      <w:tr w:rsidR="00206AEE" w:rsidRPr="00087090" w:rsidTr="003D2BAA">
        <w:tc>
          <w:tcPr>
            <w:tcW w:w="3369" w:type="dxa"/>
          </w:tcPr>
          <w:p w:rsidR="008961D5" w:rsidRPr="00087090" w:rsidRDefault="008961D5" w:rsidP="00293300">
            <w:pPr>
              <w:spacing w:line="276" w:lineRule="auto"/>
              <w:jc w:val="both"/>
              <w:rPr>
                <w:rFonts w:ascii="Times New Roman" w:hAnsi="Times New Roman" w:cs="Times New Roman"/>
                <w:sz w:val="24"/>
                <w:szCs w:val="24"/>
              </w:rPr>
            </w:pPr>
          </w:p>
        </w:tc>
        <w:tc>
          <w:tcPr>
            <w:tcW w:w="1559"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194</w:t>
            </w:r>
          </w:p>
        </w:tc>
        <w:tc>
          <w:tcPr>
            <w:tcW w:w="1276"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24</w:t>
            </w:r>
          </w:p>
        </w:tc>
        <w:tc>
          <w:tcPr>
            <w:tcW w:w="1275"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92</w:t>
            </w:r>
          </w:p>
        </w:tc>
        <w:tc>
          <w:tcPr>
            <w:tcW w:w="993"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116</w:t>
            </w:r>
          </w:p>
        </w:tc>
        <w:tc>
          <w:tcPr>
            <w:tcW w:w="1701" w:type="dxa"/>
          </w:tcPr>
          <w:p w:rsidR="008961D5" w:rsidRPr="00087090" w:rsidRDefault="00206AEE" w:rsidP="00293300">
            <w:pPr>
              <w:spacing w:line="276" w:lineRule="auto"/>
              <w:jc w:val="both"/>
              <w:rPr>
                <w:rFonts w:ascii="Times New Roman" w:hAnsi="Times New Roman" w:cs="Times New Roman"/>
                <w:sz w:val="24"/>
                <w:szCs w:val="24"/>
              </w:rPr>
            </w:pPr>
            <w:r w:rsidRPr="00087090">
              <w:rPr>
                <w:rFonts w:ascii="Times New Roman" w:hAnsi="Times New Roman" w:cs="Times New Roman"/>
                <w:sz w:val="24"/>
                <w:szCs w:val="24"/>
              </w:rPr>
              <w:t>59.8 %</w:t>
            </w:r>
          </w:p>
        </w:tc>
      </w:tr>
    </w:tbl>
    <w:p w:rsidR="00DC6422" w:rsidRPr="00087090" w:rsidRDefault="00DC6422" w:rsidP="00293300">
      <w:pPr>
        <w:jc w:val="both"/>
        <w:rPr>
          <w:rFonts w:ascii="Times New Roman" w:hAnsi="Times New Roman" w:cs="Times New Roman"/>
          <w:sz w:val="24"/>
          <w:szCs w:val="24"/>
        </w:rPr>
      </w:pPr>
    </w:p>
    <w:p w:rsidR="008961D5" w:rsidRPr="00087090" w:rsidRDefault="00DC6422" w:rsidP="00293300">
      <w:pPr>
        <w:jc w:val="both"/>
        <w:rPr>
          <w:rFonts w:ascii="Times New Roman" w:hAnsi="Times New Roman" w:cs="Times New Roman"/>
          <w:sz w:val="24"/>
          <w:szCs w:val="24"/>
        </w:rPr>
      </w:pPr>
      <w:r w:rsidRPr="00087090">
        <w:rPr>
          <w:rFonts w:ascii="Times New Roman" w:hAnsi="Times New Roman" w:cs="Times New Roman"/>
          <w:sz w:val="24"/>
          <w:szCs w:val="24"/>
        </w:rPr>
        <w:t>Доступность данных охватывает не менее 50% всех государств-членов ВОЗ во всех регионах ЦУР, за исключением стран Латинской Америки и Карибского бассейна (42,4%), Океании (7,1%), Западной Азии и Северной Африки. В настоящее время ВОЗ проводит страновой консультационный процесс, который заканчивается 2 апреля 2017 года. В марте Всемирный банк также проведет консультации со страновым персоналом Всемирного банка. В результате этого процесса ожидается, что будет определено больше данных.</w:t>
      </w:r>
    </w:p>
    <w:p w:rsidR="00482D44" w:rsidRDefault="007E7DA6" w:rsidP="003D2BAA">
      <w:pPr>
        <w:spacing w:after="0" w:line="240" w:lineRule="auto"/>
        <w:jc w:val="both"/>
        <w:rPr>
          <w:rFonts w:ascii="Times New Roman" w:hAnsi="Times New Roman" w:cs="Times New Roman"/>
          <w:sz w:val="24"/>
          <w:szCs w:val="24"/>
        </w:rPr>
      </w:pPr>
      <w:r w:rsidRPr="00087090">
        <w:rPr>
          <w:rFonts w:ascii="Times New Roman" w:hAnsi="Times New Roman" w:cs="Times New Roman"/>
          <w:sz w:val="24"/>
          <w:szCs w:val="24"/>
        </w:rPr>
        <w:t>Для получения дополнительной информации см.</w:t>
      </w:r>
    </w:p>
    <w:p w:rsidR="007E7DA6" w:rsidRPr="00087090" w:rsidRDefault="007E7DA6" w:rsidP="003D2BAA">
      <w:pPr>
        <w:spacing w:after="0" w:line="240" w:lineRule="auto"/>
        <w:jc w:val="both"/>
        <w:rPr>
          <w:rFonts w:ascii="Times New Roman" w:hAnsi="Times New Roman" w:cs="Times New Roman"/>
          <w:sz w:val="24"/>
          <w:szCs w:val="24"/>
        </w:rPr>
      </w:pPr>
      <w:r w:rsidRPr="00087090">
        <w:rPr>
          <w:rFonts w:ascii="Times New Roman" w:hAnsi="Times New Roman" w:cs="Times New Roman"/>
          <w:sz w:val="24"/>
          <w:szCs w:val="24"/>
        </w:rPr>
        <w:t xml:space="preserve"> </w:t>
      </w:r>
      <w:hyperlink r:id="rId8" w:history="1">
        <w:r w:rsidRPr="00087090">
          <w:rPr>
            <w:rStyle w:val="ae"/>
            <w:rFonts w:ascii="Times New Roman" w:hAnsi="Times New Roman" w:cs="Times New Roman"/>
            <w:sz w:val="24"/>
            <w:szCs w:val="24"/>
          </w:rPr>
          <w:t>http://www.who.int/health_financing/topics/financial-protection/monitoring-data/en/</w:t>
        </w:r>
      </w:hyperlink>
      <w:r w:rsidRPr="00087090">
        <w:rPr>
          <w:rFonts w:ascii="Times New Roman" w:hAnsi="Times New Roman" w:cs="Times New Roman"/>
          <w:sz w:val="24"/>
          <w:szCs w:val="24"/>
        </w:rPr>
        <w:t xml:space="preserve"> </w:t>
      </w:r>
    </w:p>
    <w:p w:rsidR="007E7DA6" w:rsidRPr="00087090" w:rsidRDefault="007E7DA6"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Временные ряды. </w:t>
      </w:r>
    </w:p>
    <w:p w:rsidR="007E7DA6" w:rsidRPr="00087090" w:rsidRDefault="007E7DA6"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Частота таких данных аналогична частоте данных, используемых для производства показателя ЦУР 1.1.1. Он варьируется в разных странах, но в среднем </w:t>
      </w:r>
      <w:r w:rsidR="00685088" w:rsidRPr="00087090">
        <w:rPr>
          <w:rFonts w:ascii="Times New Roman" w:hAnsi="Times New Roman" w:cs="Times New Roman"/>
          <w:sz w:val="24"/>
          <w:szCs w:val="24"/>
        </w:rPr>
        <w:t xml:space="preserve">частота данных для </w:t>
      </w:r>
      <w:r w:rsidRPr="00087090">
        <w:rPr>
          <w:rFonts w:ascii="Times New Roman" w:hAnsi="Times New Roman" w:cs="Times New Roman"/>
          <w:sz w:val="24"/>
          <w:szCs w:val="24"/>
        </w:rPr>
        <w:t>этот показател</w:t>
      </w:r>
      <w:r w:rsidR="00685088" w:rsidRPr="00087090">
        <w:rPr>
          <w:rFonts w:ascii="Times New Roman" w:hAnsi="Times New Roman" w:cs="Times New Roman"/>
          <w:sz w:val="24"/>
          <w:szCs w:val="24"/>
        </w:rPr>
        <w:t>я</w:t>
      </w:r>
      <w:r w:rsidRPr="00087090">
        <w:rPr>
          <w:rFonts w:ascii="Times New Roman" w:hAnsi="Times New Roman" w:cs="Times New Roman"/>
          <w:sz w:val="24"/>
          <w:szCs w:val="24"/>
        </w:rPr>
        <w:t xml:space="preserve"> варьируется от ежегодно</w:t>
      </w:r>
      <w:r w:rsidR="00685088" w:rsidRPr="00087090">
        <w:rPr>
          <w:rFonts w:ascii="Times New Roman" w:hAnsi="Times New Roman" w:cs="Times New Roman"/>
          <w:sz w:val="24"/>
          <w:szCs w:val="24"/>
        </w:rPr>
        <w:t>й</w:t>
      </w:r>
      <w:r w:rsidRPr="00087090">
        <w:rPr>
          <w:rFonts w:ascii="Times New Roman" w:hAnsi="Times New Roman" w:cs="Times New Roman"/>
          <w:sz w:val="24"/>
          <w:szCs w:val="24"/>
        </w:rPr>
        <w:t xml:space="preserve"> до 3 - 5 летне</w:t>
      </w:r>
      <w:r w:rsidR="00685088" w:rsidRPr="00087090">
        <w:rPr>
          <w:rFonts w:ascii="Times New Roman" w:hAnsi="Times New Roman" w:cs="Times New Roman"/>
          <w:sz w:val="24"/>
          <w:szCs w:val="24"/>
        </w:rPr>
        <w:t>й</w:t>
      </w:r>
      <w:r w:rsidRPr="00087090">
        <w:rPr>
          <w:rFonts w:ascii="Times New Roman" w:hAnsi="Times New Roman" w:cs="Times New Roman"/>
          <w:sz w:val="24"/>
          <w:szCs w:val="24"/>
        </w:rPr>
        <w:t xml:space="preserve">. </w:t>
      </w:r>
    </w:p>
    <w:p w:rsidR="007E7DA6" w:rsidRPr="00087090" w:rsidRDefault="00087090" w:rsidP="00293300">
      <w:pPr>
        <w:jc w:val="both"/>
        <w:rPr>
          <w:rFonts w:ascii="Times New Roman" w:hAnsi="Times New Roman" w:cs="Times New Roman"/>
          <w:b/>
          <w:sz w:val="24"/>
          <w:szCs w:val="24"/>
        </w:rPr>
      </w:pPr>
      <w:r w:rsidRPr="00087090">
        <w:rPr>
          <w:rFonts w:ascii="Times New Roman" w:hAnsi="Times New Roman" w:cs="Times New Roman"/>
          <w:b/>
          <w:sz w:val="24"/>
          <w:szCs w:val="24"/>
        </w:rPr>
        <w:t xml:space="preserve">Календарь </w:t>
      </w:r>
    </w:p>
    <w:p w:rsidR="007E7DA6" w:rsidRPr="00087090" w:rsidRDefault="007E7DA6"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Сбор данных: </w:t>
      </w:r>
    </w:p>
    <w:p w:rsidR="00685088" w:rsidRPr="00087090" w:rsidRDefault="00685088" w:rsidP="00293300">
      <w:pPr>
        <w:jc w:val="both"/>
        <w:rPr>
          <w:rFonts w:ascii="Times New Roman" w:hAnsi="Times New Roman" w:cs="Times New Roman"/>
          <w:sz w:val="24"/>
          <w:szCs w:val="24"/>
        </w:rPr>
      </w:pPr>
      <w:r w:rsidRPr="00087090">
        <w:rPr>
          <w:rFonts w:ascii="Times New Roman" w:hAnsi="Times New Roman" w:cs="Times New Roman"/>
          <w:sz w:val="24"/>
          <w:szCs w:val="24"/>
        </w:rPr>
        <w:lastRenderedPageBreak/>
        <w:t>С</w:t>
      </w:r>
      <w:r w:rsidR="007E7DA6" w:rsidRPr="00087090">
        <w:rPr>
          <w:rFonts w:ascii="Times New Roman" w:hAnsi="Times New Roman" w:cs="Times New Roman"/>
          <w:sz w:val="24"/>
          <w:szCs w:val="24"/>
        </w:rPr>
        <w:t xml:space="preserve">бор данных соответствует плану страны по проведению обследований расходов домашних хозяйств, </w:t>
      </w:r>
      <w:r w:rsidRPr="00087090">
        <w:rPr>
          <w:rFonts w:ascii="Times New Roman" w:hAnsi="Times New Roman" w:cs="Times New Roman"/>
          <w:sz w:val="24"/>
          <w:szCs w:val="24"/>
        </w:rPr>
        <w:t>обследований</w:t>
      </w:r>
      <w:r w:rsidR="007E7DA6" w:rsidRPr="00087090">
        <w:rPr>
          <w:rFonts w:ascii="Times New Roman" w:hAnsi="Times New Roman" w:cs="Times New Roman"/>
          <w:sz w:val="24"/>
          <w:szCs w:val="24"/>
        </w:rPr>
        <w:t xml:space="preserve"> бюджетов домашних хозяйств и обследования доходов и расходов домашних хозяйств. </w:t>
      </w:r>
    </w:p>
    <w:p w:rsidR="007E7DA6" w:rsidRPr="00087090" w:rsidRDefault="007E7DA6" w:rsidP="00293300">
      <w:pPr>
        <w:jc w:val="both"/>
        <w:rPr>
          <w:rFonts w:ascii="Times New Roman" w:hAnsi="Times New Roman" w:cs="Times New Roman"/>
          <w:sz w:val="24"/>
          <w:szCs w:val="24"/>
        </w:rPr>
      </w:pPr>
      <w:r w:rsidRPr="00087090">
        <w:rPr>
          <w:rFonts w:ascii="Times New Roman" w:hAnsi="Times New Roman" w:cs="Times New Roman"/>
          <w:sz w:val="24"/>
          <w:szCs w:val="24"/>
        </w:rPr>
        <w:t>Выпуск данных:</w:t>
      </w:r>
    </w:p>
    <w:p w:rsidR="00685088" w:rsidRPr="00087090" w:rsidRDefault="00685088"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Оценки </w:t>
      </w:r>
      <w:r w:rsidR="00332EE7" w:rsidRPr="00087090">
        <w:rPr>
          <w:rFonts w:ascii="Times New Roman" w:hAnsi="Times New Roman" w:cs="Times New Roman"/>
          <w:sz w:val="24"/>
          <w:szCs w:val="24"/>
        </w:rPr>
        <w:t>доли населения с большим удельным весом семейных расходов на медицинскую помощь в общем объеме расходов или доходов домохозяйств</w:t>
      </w:r>
      <w:r w:rsidRPr="00087090">
        <w:rPr>
          <w:rFonts w:ascii="Times New Roman" w:hAnsi="Times New Roman" w:cs="Times New Roman"/>
          <w:sz w:val="24"/>
          <w:szCs w:val="24"/>
        </w:rPr>
        <w:t xml:space="preserve"> будут опубликованы к июлю 2017 года. В будущем новые данные будут добавлены, поскольку дополнительная информация получена от назначенных координацио</w:t>
      </w:r>
      <w:r w:rsidR="00332EE7" w:rsidRPr="00087090">
        <w:rPr>
          <w:rFonts w:ascii="Times New Roman" w:hAnsi="Times New Roman" w:cs="Times New Roman"/>
          <w:sz w:val="24"/>
          <w:szCs w:val="24"/>
        </w:rPr>
        <w:t>нных центров (см. Процесс сбора</w:t>
      </w:r>
      <w:r w:rsidRPr="00087090">
        <w:rPr>
          <w:rFonts w:ascii="Times New Roman" w:hAnsi="Times New Roman" w:cs="Times New Roman"/>
          <w:sz w:val="24"/>
          <w:szCs w:val="24"/>
        </w:rPr>
        <w:t xml:space="preserve">). Обновления региональных и глобальных оценок планируются каждые два года. </w:t>
      </w:r>
    </w:p>
    <w:p w:rsidR="00685088" w:rsidRPr="00087090" w:rsidRDefault="00685088" w:rsidP="00293300">
      <w:pPr>
        <w:jc w:val="both"/>
        <w:rPr>
          <w:rFonts w:ascii="Times New Roman" w:hAnsi="Times New Roman" w:cs="Times New Roman"/>
          <w:b/>
          <w:sz w:val="24"/>
          <w:szCs w:val="24"/>
        </w:rPr>
      </w:pPr>
      <w:r w:rsidRPr="00087090">
        <w:rPr>
          <w:rFonts w:ascii="Times New Roman" w:hAnsi="Times New Roman" w:cs="Times New Roman"/>
          <w:b/>
          <w:sz w:val="24"/>
          <w:szCs w:val="24"/>
        </w:rPr>
        <w:t xml:space="preserve">Поставщики данных </w:t>
      </w:r>
    </w:p>
    <w:p w:rsidR="00685088" w:rsidRPr="00087090" w:rsidRDefault="00685088"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Национальные статистические управления в сотрудничестве с министерствами здравоохранения. Дополнительные сведения см. </w:t>
      </w:r>
      <w:r w:rsidR="00332EE7" w:rsidRPr="00087090">
        <w:rPr>
          <w:rFonts w:ascii="Times New Roman" w:hAnsi="Times New Roman" w:cs="Times New Roman"/>
          <w:sz w:val="24"/>
          <w:szCs w:val="24"/>
        </w:rPr>
        <w:t>в</w:t>
      </w:r>
      <w:r w:rsidRPr="00087090">
        <w:rPr>
          <w:rFonts w:ascii="Times New Roman" w:hAnsi="Times New Roman" w:cs="Times New Roman"/>
          <w:sz w:val="24"/>
          <w:szCs w:val="24"/>
        </w:rPr>
        <w:t xml:space="preserve"> источниках данных. </w:t>
      </w:r>
    </w:p>
    <w:p w:rsidR="00685088" w:rsidRPr="00087090" w:rsidRDefault="00332EE7" w:rsidP="00293300">
      <w:pPr>
        <w:jc w:val="both"/>
        <w:rPr>
          <w:rFonts w:ascii="Times New Roman" w:hAnsi="Times New Roman" w:cs="Times New Roman"/>
          <w:b/>
          <w:sz w:val="24"/>
          <w:szCs w:val="24"/>
        </w:rPr>
      </w:pPr>
      <w:r w:rsidRPr="00087090">
        <w:rPr>
          <w:rFonts w:ascii="Times New Roman" w:hAnsi="Times New Roman" w:cs="Times New Roman"/>
          <w:b/>
          <w:sz w:val="24"/>
          <w:szCs w:val="24"/>
        </w:rPr>
        <w:t>Составители</w:t>
      </w:r>
      <w:r w:rsidR="00685088" w:rsidRPr="00087090">
        <w:rPr>
          <w:rFonts w:ascii="Times New Roman" w:hAnsi="Times New Roman" w:cs="Times New Roman"/>
          <w:b/>
          <w:sz w:val="24"/>
          <w:szCs w:val="24"/>
        </w:rPr>
        <w:t xml:space="preserve"> данных </w:t>
      </w:r>
    </w:p>
    <w:p w:rsidR="00685088" w:rsidRPr="00087090" w:rsidRDefault="00685088"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Всемирная организация здравоохранения и Всемирный банк. </w:t>
      </w:r>
    </w:p>
    <w:p w:rsidR="00685088" w:rsidRPr="00087090" w:rsidRDefault="00685088" w:rsidP="003D2BAA">
      <w:pPr>
        <w:spacing w:after="0" w:line="240" w:lineRule="auto"/>
        <w:jc w:val="both"/>
        <w:rPr>
          <w:rFonts w:ascii="Times New Roman" w:hAnsi="Times New Roman" w:cs="Times New Roman"/>
          <w:b/>
          <w:sz w:val="24"/>
          <w:szCs w:val="24"/>
        </w:rPr>
      </w:pPr>
      <w:r w:rsidRPr="00087090">
        <w:rPr>
          <w:rFonts w:ascii="Times New Roman" w:hAnsi="Times New Roman" w:cs="Times New Roman"/>
          <w:b/>
          <w:sz w:val="24"/>
          <w:szCs w:val="24"/>
        </w:rPr>
        <w:t xml:space="preserve">Ссылки: </w:t>
      </w:r>
    </w:p>
    <w:p w:rsidR="00685088" w:rsidRPr="00087090" w:rsidRDefault="007B4647" w:rsidP="003D2BAA">
      <w:pPr>
        <w:spacing w:after="0" w:line="240" w:lineRule="auto"/>
        <w:jc w:val="both"/>
        <w:rPr>
          <w:rFonts w:ascii="Times New Roman" w:hAnsi="Times New Roman" w:cs="Times New Roman"/>
          <w:sz w:val="24"/>
          <w:szCs w:val="24"/>
        </w:rPr>
      </w:pPr>
      <w:hyperlink r:id="rId9" w:history="1">
        <w:r w:rsidR="00685088" w:rsidRPr="00087090">
          <w:rPr>
            <w:rStyle w:val="ae"/>
            <w:rFonts w:ascii="Times New Roman" w:hAnsi="Times New Roman" w:cs="Times New Roman"/>
            <w:sz w:val="24"/>
            <w:szCs w:val="24"/>
          </w:rPr>
          <w:t>http://www.who.int/health_financing/topics/financial-protection/monitoring-sdg/en/</w:t>
        </w:r>
      </w:hyperlink>
    </w:p>
    <w:p w:rsidR="00332EE7" w:rsidRPr="00087090" w:rsidRDefault="00332EE7"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Ссылки: </w:t>
      </w:r>
    </w:p>
    <w:p w:rsidR="00332EE7" w:rsidRPr="00482D44" w:rsidRDefault="00332EE7" w:rsidP="00293300">
      <w:pPr>
        <w:jc w:val="both"/>
        <w:rPr>
          <w:rFonts w:ascii="Times New Roman" w:hAnsi="Times New Roman" w:cs="Times New Roman"/>
          <w:i/>
          <w:sz w:val="24"/>
          <w:szCs w:val="24"/>
        </w:rPr>
      </w:pPr>
      <w:r w:rsidRPr="00482D44">
        <w:rPr>
          <w:rFonts w:ascii="Times New Roman" w:hAnsi="Times New Roman" w:cs="Times New Roman"/>
          <w:i/>
          <w:sz w:val="24"/>
          <w:szCs w:val="24"/>
        </w:rPr>
        <w:t xml:space="preserve">О базовых подходах, лежащих в основе нынешнего определения больших расходов на здравоохранение как доли от общего потребления или дохода домашних хозяйств: </w:t>
      </w:r>
    </w:p>
    <w:p w:rsidR="00332EE7" w:rsidRPr="00482D44" w:rsidRDefault="00332EE7" w:rsidP="00482D44">
      <w:pPr>
        <w:pStyle w:val="ac"/>
        <w:numPr>
          <w:ilvl w:val="0"/>
          <w:numId w:val="11"/>
        </w:numPr>
        <w:jc w:val="both"/>
        <w:rPr>
          <w:rFonts w:ascii="Times New Roman" w:hAnsi="Times New Roman" w:cs="Times New Roman"/>
          <w:sz w:val="24"/>
          <w:szCs w:val="24"/>
        </w:rPr>
      </w:pPr>
      <w:r w:rsidRPr="00482D44">
        <w:rPr>
          <w:rFonts w:ascii="Times New Roman" w:hAnsi="Times New Roman" w:cs="Times New Roman"/>
          <w:sz w:val="24"/>
          <w:szCs w:val="24"/>
        </w:rPr>
        <w:t xml:space="preserve">Глава 18 «Анализ справедливости в отношении здоровья с использованием данных обследования домохозяйств». Вашингтон, округ Колумбия: Группа Всемирного банка; 2008, </w:t>
      </w:r>
      <w:hyperlink r:id="rId10" w:history="1">
        <w:r w:rsidRPr="00482D44">
          <w:rPr>
            <w:rStyle w:val="ae"/>
            <w:rFonts w:ascii="Times New Roman" w:hAnsi="Times New Roman" w:cs="Times New Roman"/>
            <w:sz w:val="24"/>
            <w:szCs w:val="24"/>
          </w:rPr>
          <w:t>http://www.worldbank.org/en/topic/health/publication/analyzing-health-equity-using-household-survey-data</w:t>
        </w:r>
      </w:hyperlink>
      <w:r w:rsidRPr="00482D44">
        <w:rPr>
          <w:rFonts w:ascii="Times New Roman" w:hAnsi="Times New Roman" w:cs="Times New Roman"/>
          <w:sz w:val="24"/>
          <w:szCs w:val="24"/>
        </w:rPr>
        <w:t xml:space="preserve"> </w:t>
      </w:r>
    </w:p>
    <w:p w:rsidR="00332EE7" w:rsidRPr="00482D44" w:rsidRDefault="00332EE7" w:rsidP="00293300">
      <w:pPr>
        <w:jc w:val="both"/>
        <w:rPr>
          <w:rFonts w:ascii="Times New Roman" w:hAnsi="Times New Roman" w:cs="Times New Roman"/>
          <w:i/>
          <w:sz w:val="24"/>
          <w:szCs w:val="24"/>
        </w:rPr>
      </w:pPr>
      <w:r w:rsidRPr="00482D44">
        <w:rPr>
          <w:rFonts w:ascii="Times New Roman" w:hAnsi="Times New Roman" w:cs="Times New Roman"/>
          <w:i/>
          <w:sz w:val="24"/>
          <w:szCs w:val="24"/>
        </w:rPr>
        <w:t xml:space="preserve">Для определения расходов на здравоохранение </w:t>
      </w:r>
    </w:p>
    <w:p w:rsidR="00332EE7" w:rsidRPr="00482D44" w:rsidRDefault="007B4647" w:rsidP="00482D44">
      <w:pPr>
        <w:pStyle w:val="ac"/>
        <w:numPr>
          <w:ilvl w:val="0"/>
          <w:numId w:val="11"/>
        </w:numPr>
        <w:jc w:val="both"/>
        <w:rPr>
          <w:rFonts w:ascii="Times New Roman" w:hAnsi="Times New Roman" w:cs="Times New Roman"/>
          <w:sz w:val="24"/>
          <w:szCs w:val="24"/>
        </w:rPr>
      </w:pPr>
      <w:hyperlink r:id="rId11" w:history="1">
        <w:r w:rsidR="00332EE7" w:rsidRPr="00482D44">
          <w:rPr>
            <w:rStyle w:val="ae"/>
            <w:rFonts w:ascii="Times New Roman" w:hAnsi="Times New Roman" w:cs="Times New Roman"/>
            <w:sz w:val="24"/>
            <w:szCs w:val="24"/>
          </w:rPr>
          <w:t>http://www.oecd-ilibrary.org/social-issues-migration-health/a-system-of-health-accounts/classification-of-health-care-financing-schemes-icha-hf_9789264116016-9-en</w:t>
        </w:r>
      </w:hyperlink>
    </w:p>
    <w:p w:rsidR="00332EE7" w:rsidRPr="00482D44" w:rsidRDefault="00332EE7" w:rsidP="00293300">
      <w:pPr>
        <w:jc w:val="both"/>
        <w:rPr>
          <w:rFonts w:ascii="Times New Roman" w:hAnsi="Times New Roman" w:cs="Times New Roman"/>
          <w:i/>
          <w:sz w:val="24"/>
          <w:szCs w:val="24"/>
        </w:rPr>
      </w:pPr>
      <w:r w:rsidRPr="00482D44">
        <w:rPr>
          <w:rFonts w:ascii="Times New Roman" w:hAnsi="Times New Roman" w:cs="Times New Roman"/>
          <w:i/>
          <w:sz w:val="24"/>
          <w:szCs w:val="24"/>
        </w:rPr>
        <w:t xml:space="preserve">Для компонентов расходов на здравоохранение </w:t>
      </w:r>
    </w:p>
    <w:p w:rsidR="00482D44" w:rsidRDefault="00332EE7" w:rsidP="00482D44">
      <w:pPr>
        <w:pStyle w:val="ac"/>
        <w:numPr>
          <w:ilvl w:val="0"/>
          <w:numId w:val="11"/>
        </w:numPr>
        <w:jc w:val="both"/>
        <w:rPr>
          <w:rFonts w:ascii="Times New Roman" w:hAnsi="Times New Roman" w:cs="Times New Roman"/>
          <w:sz w:val="24"/>
          <w:szCs w:val="24"/>
        </w:rPr>
      </w:pPr>
      <w:r w:rsidRPr="00482D44">
        <w:rPr>
          <w:rFonts w:ascii="Times New Roman" w:hAnsi="Times New Roman" w:cs="Times New Roman"/>
          <w:sz w:val="24"/>
          <w:szCs w:val="24"/>
        </w:rPr>
        <w:t>Раздел 06 Классификация ООН индивидуального потребления в соответствии с назначением (КИПЦ)</w:t>
      </w:r>
    </w:p>
    <w:p w:rsidR="00332EE7" w:rsidRPr="00482D44" w:rsidRDefault="00332EE7" w:rsidP="00482D44">
      <w:pPr>
        <w:pStyle w:val="ac"/>
        <w:jc w:val="both"/>
        <w:rPr>
          <w:rFonts w:ascii="Times New Roman" w:hAnsi="Times New Roman" w:cs="Times New Roman"/>
          <w:sz w:val="24"/>
          <w:szCs w:val="24"/>
        </w:rPr>
      </w:pPr>
      <w:bookmarkStart w:id="0" w:name="_GoBack"/>
      <w:bookmarkEnd w:id="0"/>
      <w:r w:rsidRPr="00482D44">
        <w:rPr>
          <w:rFonts w:ascii="Times New Roman" w:hAnsi="Times New Roman" w:cs="Times New Roman"/>
          <w:sz w:val="24"/>
          <w:szCs w:val="24"/>
        </w:rPr>
        <w:t xml:space="preserve"> </w:t>
      </w:r>
      <w:hyperlink r:id="rId12" w:history="1">
        <w:r w:rsidRPr="00482D44">
          <w:rPr>
            <w:rStyle w:val="ae"/>
            <w:rFonts w:ascii="Times New Roman" w:hAnsi="Times New Roman" w:cs="Times New Roman"/>
            <w:sz w:val="24"/>
            <w:szCs w:val="24"/>
          </w:rPr>
          <w:t>http://unstats.un.org/unsd/cr/registry/regcs.asp?Cl=5&amp;Lg=1&amp;Co=06.1</w:t>
        </w:r>
      </w:hyperlink>
    </w:p>
    <w:p w:rsidR="00994182" w:rsidRPr="00087090" w:rsidRDefault="00087090" w:rsidP="00293300">
      <w:pPr>
        <w:jc w:val="both"/>
        <w:rPr>
          <w:rFonts w:ascii="Times New Roman" w:hAnsi="Times New Roman" w:cs="Times New Roman"/>
          <w:b/>
          <w:sz w:val="24"/>
          <w:szCs w:val="24"/>
        </w:rPr>
      </w:pPr>
      <w:r w:rsidRPr="00087090">
        <w:rPr>
          <w:rFonts w:ascii="Times New Roman" w:hAnsi="Times New Roman" w:cs="Times New Roman"/>
          <w:b/>
          <w:sz w:val="24"/>
          <w:szCs w:val="24"/>
        </w:rPr>
        <w:t xml:space="preserve">Связанные показатели </w:t>
      </w:r>
    </w:p>
    <w:p w:rsidR="00994182" w:rsidRPr="00087090" w:rsidRDefault="00994182"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Показатели ЦУР: 3.8.1; 1.1.1 и 1.2.1 </w:t>
      </w:r>
    </w:p>
    <w:p w:rsidR="00994182" w:rsidRPr="00087090" w:rsidRDefault="00994182" w:rsidP="00293300">
      <w:pPr>
        <w:jc w:val="both"/>
        <w:rPr>
          <w:rFonts w:ascii="Times New Roman" w:hAnsi="Times New Roman" w:cs="Times New Roman"/>
          <w:sz w:val="24"/>
          <w:szCs w:val="24"/>
        </w:rPr>
      </w:pPr>
      <w:r w:rsidRPr="00087090">
        <w:rPr>
          <w:rFonts w:ascii="Times New Roman" w:hAnsi="Times New Roman" w:cs="Times New Roman"/>
          <w:sz w:val="24"/>
          <w:szCs w:val="24"/>
        </w:rPr>
        <w:t xml:space="preserve">Дополнительную информацию об этих показателях можно получить на следующей веб-странице </w:t>
      </w:r>
      <w:hyperlink r:id="rId13" w:history="1">
        <w:r w:rsidRPr="00087090">
          <w:rPr>
            <w:rStyle w:val="ae"/>
            <w:rFonts w:ascii="Times New Roman" w:hAnsi="Times New Roman" w:cs="Times New Roman"/>
            <w:sz w:val="24"/>
            <w:szCs w:val="24"/>
          </w:rPr>
          <w:t>http://unstats.un.org/sdgs/iaeg-sdgs/metadata-compilation/</w:t>
        </w:r>
      </w:hyperlink>
    </w:p>
    <w:sectPr w:rsidR="00994182" w:rsidRPr="00087090" w:rsidSect="003D2BAA">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70E" w:rsidRDefault="0092170E" w:rsidP="0086350A">
      <w:pPr>
        <w:spacing w:after="0" w:line="240" w:lineRule="auto"/>
      </w:pPr>
      <w:r>
        <w:separator/>
      </w:r>
    </w:p>
  </w:endnote>
  <w:endnote w:type="continuationSeparator" w:id="1">
    <w:p w:rsidR="0092170E" w:rsidRDefault="0092170E" w:rsidP="00863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70E" w:rsidRDefault="0092170E" w:rsidP="0086350A">
      <w:pPr>
        <w:spacing w:after="0" w:line="240" w:lineRule="auto"/>
      </w:pPr>
      <w:r>
        <w:separator/>
      </w:r>
    </w:p>
  </w:footnote>
  <w:footnote w:type="continuationSeparator" w:id="1">
    <w:p w:rsidR="0092170E" w:rsidRDefault="0092170E" w:rsidP="0086350A">
      <w:pPr>
        <w:spacing w:after="0" w:line="240" w:lineRule="auto"/>
      </w:pPr>
      <w:r>
        <w:continuationSeparator/>
      </w:r>
    </w:p>
  </w:footnote>
  <w:footnote w:id="2">
    <w:p w:rsidR="00F72B75" w:rsidRPr="00087090" w:rsidRDefault="00F72B75">
      <w:pPr>
        <w:pStyle w:val="a3"/>
        <w:rPr>
          <w:rFonts w:ascii="Times New Roman" w:hAnsi="Times New Roman" w:cs="Times New Roman"/>
        </w:rPr>
      </w:pPr>
      <w:r>
        <w:rPr>
          <w:rStyle w:val="a5"/>
        </w:rPr>
        <w:footnoteRef/>
      </w:r>
      <w:r>
        <w:t xml:space="preserve"> </w:t>
      </w:r>
      <w:r w:rsidRPr="00087090">
        <w:rPr>
          <w:rFonts w:ascii="Times New Roman" w:hAnsi="Times New Roman" w:cs="Times New Roman"/>
        </w:rPr>
        <w:t xml:space="preserve">http://www.oecd-ilibrary.org/social-issues-migration-health/a-system-of-health-accounts/classification-of-health-care-financing-schemes-icha-hf_9789264116016-9-en  </w:t>
      </w:r>
    </w:p>
  </w:footnote>
  <w:footnote w:id="3">
    <w:p w:rsidR="00F72B75" w:rsidRPr="00087090" w:rsidRDefault="00F72B75">
      <w:pPr>
        <w:pStyle w:val="a3"/>
        <w:rPr>
          <w:rFonts w:ascii="Times New Roman" w:hAnsi="Times New Roman" w:cs="Times New Roman"/>
        </w:rPr>
      </w:pPr>
      <w:r w:rsidRPr="00087090">
        <w:rPr>
          <w:rStyle w:val="a5"/>
          <w:rFonts w:ascii="Times New Roman" w:hAnsi="Times New Roman" w:cs="Times New Roman"/>
        </w:rPr>
        <w:footnoteRef/>
      </w:r>
      <w:r w:rsidRPr="00087090">
        <w:rPr>
          <w:rFonts w:ascii="Times New Roman" w:hAnsi="Times New Roman" w:cs="Times New Roman"/>
        </w:rPr>
        <w:t xml:space="preserve"> http://unstats.un.org/unsd/cr/registry/regcs.asp?Cl=5&amp;Lg=1&amp;Co=06.1  </w:t>
      </w:r>
    </w:p>
  </w:footnote>
  <w:footnote w:id="4">
    <w:p w:rsidR="00F72B75" w:rsidRDefault="00F72B75">
      <w:pPr>
        <w:pStyle w:val="a3"/>
      </w:pPr>
      <w:r w:rsidRPr="00087090">
        <w:rPr>
          <w:rStyle w:val="a5"/>
          <w:rFonts w:ascii="Times New Roman" w:hAnsi="Times New Roman" w:cs="Times New Roman"/>
        </w:rPr>
        <w:footnoteRef/>
      </w:r>
      <w:r w:rsidRPr="00087090">
        <w:rPr>
          <w:rFonts w:ascii="Times New Roman" w:hAnsi="Times New Roman" w:cs="Times New Roman"/>
        </w:rPr>
        <w:t xml:space="preserve"> http://www.ilo.org/public/english/bureau/stat/download/17thicls/r2hies.pdf</w:t>
      </w:r>
      <w:r>
        <w:rPr>
          <w:sz w:val="18"/>
          <w:szCs w:val="18"/>
        </w:rPr>
        <w:t xml:space="preserve"> </w:t>
      </w:r>
      <w:r>
        <w:t xml:space="preserve"> </w:t>
      </w:r>
    </w:p>
  </w:footnote>
  <w:footnote w:id="5">
    <w:p w:rsidR="00F72B75" w:rsidRPr="00087090" w:rsidRDefault="00F72B75">
      <w:pPr>
        <w:pStyle w:val="a3"/>
        <w:rPr>
          <w:rFonts w:ascii="Times New Roman" w:hAnsi="Times New Roman" w:cs="Times New Roman"/>
        </w:rPr>
      </w:pPr>
      <w:r w:rsidRPr="00087090">
        <w:rPr>
          <w:rStyle w:val="a5"/>
          <w:rFonts w:ascii="Times New Roman" w:hAnsi="Times New Roman" w:cs="Times New Roman"/>
        </w:rPr>
        <w:footnoteRef/>
      </w:r>
      <w:r w:rsidRPr="00087090">
        <w:rPr>
          <w:rFonts w:ascii="Times New Roman" w:hAnsi="Times New Roman" w:cs="Times New Roman"/>
        </w:rPr>
        <w:t xml:space="preserve"> http://unstats.un.org/sdgs/metadata/files/Metadata-01-01-01a.pdf  </w:t>
      </w:r>
    </w:p>
  </w:footnote>
  <w:footnote w:id="6">
    <w:p w:rsidR="00F72B75" w:rsidRPr="00413D82" w:rsidRDefault="00F72B75" w:rsidP="00413D82">
      <w:pPr>
        <w:pStyle w:val="a3"/>
        <w:rPr>
          <w:rFonts w:ascii="Times New Roman" w:hAnsi="Times New Roman" w:cs="Times New Roman"/>
          <w:lang w:val="en-US"/>
        </w:rPr>
      </w:pPr>
      <w:r w:rsidRPr="00413D82">
        <w:rPr>
          <w:rStyle w:val="a5"/>
          <w:rFonts w:ascii="Times New Roman" w:hAnsi="Times New Roman" w:cs="Times New Roman"/>
        </w:rPr>
        <w:footnoteRef/>
      </w:r>
      <w:r w:rsidRPr="00413D82">
        <w:rPr>
          <w:rFonts w:ascii="Times New Roman" w:hAnsi="Times New Roman" w:cs="Times New Roman"/>
          <w:lang w:val="en-US"/>
        </w:rPr>
        <w:t xml:space="preserve"> Xu, K., Evans, D. B., Carrin, G., Aguilar-Rivera, A. M., Musgrove, P., and Evans, T. (2007), “Protecting Households From Catastrophic Health Spending,” Health Affairs, 26, 972–983. Xu, L., Evans, D., Kawabata, K., Zeramdini, R., Klavus, J., and Murray, C. (2003), “Households Catastrophic Health Expenditure: A Multi-Country Analysis,” The Lancet, 326, 111–117. Wagstaff, A. and van Doorslaer, E. (2003), “Catastrophe and Impoverishment in Paying for Health Care: with applications to Vietnam 1993-98,” Health Economics, 12, 921–934</w:t>
      </w:r>
    </w:p>
  </w:footnote>
  <w:footnote w:id="7">
    <w:p w:rsidR="00F72B75" w:rsidRPr="00413D82" w:rsidRDefault="00F72B75" w:rsidP="00413D82">
      <w:pPr>
        <w:pStyle w:val="a3"/>
        <w:rPr>
          <w:rFonts w:ascii="Times New Roman" w:hAnsi="Times New Roman" w:cs="Times New Roman"/>
          <w:lang w:val="en-US"/>
        </w:rPr>
      </w:pPr>
      <w:r w:rsidRPr="00413D82">
        <w:rPr>
          <w:rStyle w:val="a5"/>
          <w:rFonts w:ascii="Times New Roman" w:hAnsi="Times New Roman" w:cs="Times New Roman"/>
        </w:rPr>
        <w:footnoteRef/>
      </w:r>
      <w:r w:rsidRPr="00413D82">
        <w:rPr>
          <w:rFonts w:ascii="Times New Roman" w:hAnsi="Times New Roman" w:cs="Times New Roman"/>
          <w:lang w:val="en-US"/>
        </w:rPr>
        <w:t xml:space="preserve"> </w:t>
      </w:r>
      <w:hyperlink r:id="rId1" w:history="1">
        <w:r w:rsidRPr="00DE547F">
          <w:rPr>
            <w:rStyle w:val="ae"/>
            <w:rFonts w:ascii="Times New Roman" w:hAnsi="Times New Roman" w:cs="Times New Roman"/>
            <w:lang w:val="en-US"/>
          </w:rPr>
          <w:t>http://www.who.int/healthinfo/indicators/2015/en/</w:t>
        </w:r>
      </w:hyperlink>
      <w:r>
        <w:rPr>
          <w:rFonts w:ascii="Times New Roman" w:hAnsi="Times New Roman" w:cs="Times New Roman"/>
          <w:lang w:val="en-US"/>
        </w:rPr>
        <w:t xml:space="preserve"> </w:t>
      </w:r>
      <w:r w:rsidRPr="00413D82">
        <w:rPr>
          <w:rFonts w:ascii="Times New Roman" w:hAnsi="Times New Roman" w:cs="Times New Roman"/>
          <w:lang w:val="en-US"/>
        </w:rPr>
        <w:t xml:space="preserve">; </w:t>
      </w:r>
      <w:hyperlink r:id="rId2" w:history="1">
        <w:r w:rsidRPr="00DE547F">
          <w:rPr>
            <w:rStyle w:val="ae"/>
            <w:rFonts w:ascii="Times New Roman" w:hAnsi="Times New Roman" w:cs="Times New Roman"/>
            <w:lang w:val="en-US"/>
          </w:rPr>
          <w:t>http://www.who.int/healthinfo/universal_health_coverage/en/</w:t>
        </w:r>
      </w:hyperlink>
      <w:r>
        <w:rPr>
          <w:rFonts w:ascii="Times New Roman" w:hAnsi="Times New Roman" w:cs="Times New Roman"/>
          <w:lang w:val="en-US"/>
        </w:rPr>
        <w:t xml:space="preserve"> </w:t>
      </w:r>
    </w:p>
  </w:footnote>
  <w:footnote w:id="8">
    <w:p w:rsidR="00F72B75" w:rsidRPr="00413D82" w:rsidRDefault="00F72B75" w:rsidP="00413D82">
      <w:pPr>
        <w:pStyle w:val="a3"/>
        <w:rPr>
          <w:rFonts w:ascii="Times New Roman" w:hAnsi="Times New Roman" w:cs="Times New Roman"/>
          <w:lang w:val="en-US"/>
        </w:rPr>
      </w:pPr>
      <w:r w:rsidRPr="00413D82">
        <w:rPr>
          <w:rStyle w:val="a5"/>
          <w:rFonts w:ascii="Times New Roman" w:hAnsi="Times New Roman" w:cs="Times New Roman"/>
        </w:rPr>
        <w:footnoteRef/>
      </w:r>
      <w:r w:rsidRPr="00413D82">
        <w:rPr>
          <w:rFonts w:ascii="Times New Roman" w:hAnsi="Times New Roman" w:cs="Times New Roman"/>
          <w:lang w:val="en-US"/>
        </w:rPr>
        <w:t xml:space="preserve"> </w:t>
      </w:r>
      <w:hyperlink r:id="rId3" w:history="1">
        <w:r w:rsidRPr="00DE547F">
          <w:rPr>
            <w:rStyle w:val="ae"/>
            <w:rFonts w:ascii="Times New Roman" w:hAnsi="Times New Roman" w:cs="Times New Roman"/>
            <w:lang w:val="en-US"/>
          </w:rPr>
          <w:t>http://www.euro.who.int/en/health-topics/Health-systems/health-systems-financing/publications/clusters/universalhealth-coverage-financial-protection</w:t>
        </w:r>
      </w:hyperlink>
      <w:r>
        <w:rPr>
          <w:rFonts w:ascii="Times New Roman" w:hAnsi="Times New Roman" w:cs="Times New Roman"/>
          <w:lang w:val="en-US"/>
        </w:rPr>
        <w:t xml:space="preserve"> </w:t>
      </w:r>
    </w:p>
  </w:footnote>
  <w:footnote w:id="9">
    <w:p w:rsidR="00F72B75" w:rsidRPr="00413D82" w:rsidRDefault="00F72B75" w:rsidP="00413D82">
      <w:pPr>
        <w:pStyle w:val="a3"/>
        <w:rPr>
          <w:rFonts w:ascii="Times New Roman" w:hAnsi="Times New Roman" w:cs="Times New Roman"/>
          <w:lang w:val="en-US"/>
        </w:rPr>
      </w:pPr>
      <w:r w:rsidRPr="00413D82">
        <w:rPr>
          <w:rStyle w:val="a5"/>
          <w:rFonts w:ascii="Times New Roman" w:hAnsi="Times New Roman" w:cs="Times New Roman"/>
        </w:rPr>
        <w:footnoteRef/>
      </w:r>
      <w:r w:rsidRPr="00413D82">
        <w:rPr>
          <w:rFonts w:ascii="Times New Roman" w:hAnsi="Times New Roman" w:cs="Times New Roman"/>
          <w:lang w:val="en-US"/>
        </w:rPr>
        <w:t xml:space="preserve"> </w:t>
      </w:r>
      <w:hyperlink r:id="rId4" w:history="1">
        <w:r w:rsidRPr="00DE547F">
          <w:rPr>
            <w:rStyle w:val="ae"/>
            <w:rFonts w:ascii="Times New Roman" w:hAnsi="Times New Roman" w:cs="Times New Roman"/>
            <w:lang w:val="en-US"/>
          </w:rPr>
          <w:t>http://www.paho.org/hq/index.php?option=com_content&amp;view=article&amp;id=11065%3A2015-universal-health-coveragelatin-america-caribbean&amp;catid=3316%3Apublications&amp;Itemid=3562&amp;lang=en</w:t>
        </w:r>
      </w:hyperlink>
      <w:r>
        <w:rPr>
          <w:rFonts w:ascii="Times New Roman" w:hAnsi="Times New Roman" w:cs="Times New Roman"/>
          <w:lang w:val="en-US"/>
        </w:rPr>
        <w:t xml:space="preserve"> </w:t>
      </w:r>
    </w:p>
  </w:footnote>
  <w:footnote w:id="10">
    <w:p w:rsidR="00F72B75" w:rsidRPr="00413D82" w:rsidRDefault="00F72B75" w:rsidP="00413D82">
      <w:pPr>
        <w:pStyle w:val="a3"/>
        <w:rPr>
          <w:rFonts w:ascii="Times New Roman" w:hAnsi="Times New Roman" w:cs="Times New Roman"/>
          <w:lang w:val="en-US"/>
        </w:rPr>
      </w:pPr>
      <w:r w:rsidRPr="00413D82">
        <w:rPr>
          <w:rStyle w:val="a5"/>
          <w:rFonts w:ascii="Times New Roman" w:hAnsi="Times New Roman" w:cs="Times New Roman"/>
        </w:rPr>
        <w:footnoteRef/>
      </w:r>
      <w:r w:rsidRPr="00413D82">
        <w:rPr>
          <w:rFonts w:ascii="Times New Roman" w:hAnsi="Times New Roman" w:cs="Times New Roman"/>
          <w:lang w:val="en-US"/>
        </w:rPr>
        <w:t xml:space="preserve"> </w:t>
      </w:r>
      <w:hyperlink r:id="rId5" w:history="1">
        <w:r w:rsidRPr="00DE547F">
          <w:rPr>
            <w:rStyle w:val="ae"/>
            <w:rFonts w:ascii="Times New Roman" w:hAnsi="Times New Roman" w:cs="Times New Roman"/>
            <w:lang w:val="en-US"/>
          </w:rPr>
          <w:t>http://applications.emro.who.int/dsaf/EMROPUB_2016_EN_19169.pdf?ua=1</w:t>
        </w:r>
      </w:hyperlink>
      <w:r>
        <w:rPr>
          <w:rFonts w:ascii="Times New Roman" w:hAnsi="Times New Roman" w:cs="Times New Roman"/>
          <w:lang w:val="en-US"/>
        </w:rPr>
        <w:t xml:space="preserve"> </w:t>
      </w:r>
    </w:p>
  </w:footnote>
  <w:footnote w:id="11">
    <w:p w:rsidR="00F72B75" w:rsidRPr="00413D82" w:rsidRDefault="00F72B75" w:rsidP="00413D82">
      <w:pPr>
        <w:pStyle w:val="a3"/>
        <w:rPr>
          <w:rFonts w:ascii="Times New Roman" w:hAnsi="Times New Roman" w:cs="Times New Roman"/>
          <w:lang w:val="en-US"/>
        </w:rPr>
      </w:pPr>
      <w:r w:rsidRPr="00413D82">
        <w:rPr>
          <w:rStyle w:val="a5"/>
          <w:rFonts w:ascii="Times New Roman" w:hAnsi="Times New Roman" w:cs="Times New Roman"/>
        </w:rPr>
        <w:footnoteRef/>
      </w:r>
      <w:r w:rsidRPr="00413D82">
        <w:rPr>
          <w:rFonts w:ascii="Times New Roman" w:hAnsi="Times New Roman" w:cs="Times New Roman"/>
          <w:lang w:val="en-US"/>
        </w:rPr>
        <w:t xml:space="preserve"> </w:t>
      </w:r>
      <w:hyperlink r:id="rId6" w:history="1">
        <w:r w:rsidRPr="00DE547F">
          <w:rPr>
            <w:rStyle w:val="ae"/>
            <w:rFonts w:ascii="Times New Roman" w:hAnsi="Times New Roman" w:cs="Times New Roman"/>
            <w:lang w:val="en-US"/>
          </w:rPr>
          <w:t>http://apps.searo.who.int/uhc</w:t>
        </w:r>
      </w:hyperlink>
      <w:r>
        <w:rPr>
          <w:rFonts w:ascii="Times New Roman" w:hAnsi="Times New Roman" w:cs="Times New Roman"/>
          <w:lang w:val="en-US"/>
        </w:rPr>
        <w:t xml:space="preserve"> </w:t>
      </w:r>
    </w:p>
  </w:footnote>
  <w:footnote w:id="12">
    <w:p w:rsidR="00F72B75" w:rsidRPr="00F72B75" w:rsidRDefault="00F72B75">
      <w:pPr>
        <w:pStyle w:val="a3"/>
        <w:rPr>
          <w:rFonts w:ascii="Times New Roman" w:hAnsi="Times New Roman" w:cs="Times New Roman"/>
          <w:lang w:val="en-US"/>
        </w:rPr>
      </w:pPr>
      <w:r w:rsidRPr="00F72B75">
        <w:rPr>
          <w:rStyle w:val="a5"/>
          <w:rFonts w:ascii="Times New Roman" w:hAnsi="Times New Roman" w:cs="Times New Roman"/>
        </w:rPr>
        <w:footnoteRef/>
      </w:r>
      <w:r w:rsidRPr="00F72B75">
        <w:rPr>
          <w:rFonts w:ascii="Times New Roman" w:hAnsi="Times New Roman" w:cs="Times New Roman"/>
          <w:lang w:val="en-US"/>
        </w:rPr>
        <w:t xml:space="preserve"> http://unstats.un.org/sdgs/metadata/files/Metadata-01-01-01a.pdf  </w:t>
      </w:r>
    </w:p>
  </w:footnote>
  <w:footnote w:id="13">
    <w:p w:rsidR="00F72B75" w:rsidRPr="00F72B75" w:rsidRDefault="00F72B75">
      <w:pPr>
        <w:pStyle w:val="a3"/>
      </w:pPr>
      <w:r w:rsidRPr="00F72B75">
        <w:rPr>
          <w:rStyle w:val="a5"/>
          <w:rFonts w:ascii="Times New Roman" w:hAnsi="Times New Roman" w:cs="Times New Roman"/>
        </w:rPr>
        <w:footnoteRef/>
      </w:r>
      <w:r w:rsidRPr="00F72B75">
        <w:rPr>
          <w:rFonts w:ascii="Times New Roman" w:hAnsi="Times New Roman" w:cs="Times New Roman"/>
        </w:rPr>
        <w:t xml:space="preserve"> Одним из примеров является участие ВОЗ в текущем пересмотре КИПЦ ООН по СОООН http://unstats.un.org/unsd/class/intercop/expertgroup/tor_tsg-coicop-2013.pdf. Другим примером является проект BMGF. ВОЗ поддерживает улучшение измерения расходов на здра</w:t>
      </w:r>
      <w:r>
        <w:rPr>
          <w:rFonts w:ascii="Times New Roman" w:hAnsi="Times New Roman" w:cs="Times New Roman"/>
        </w:rPr>
        <w:t xml:space="preserve">воохранение домашних хозяйств. </w:t>
      </w:r>
      <w:r>
        <w:rPr>
          <w:rFonts w:ascii="Times New Roman" w:hAnsi="Times New Roman" w:cs="Times New Roman"/>
          <w:lang w:val="en-US"/>
        </w:rPr>
        <w:t>h</w:t>
      </w:r>
      <w:r w:rsidRPr="00F72B75">
        <w:rPr>
          <w:rFonts w:ascii="Times New Roman" w:hAnsi="Times New Roman" w:cs="Times New Roman"/>
        </w:rPr>
        <w:t>ttp://www.indepthnetwork.org/projects/ihope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3BC2"/>
    <w:multiLevelType w:val="hybridMultilevel"/>
    <w:tmpl w:val="68389FC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002DC2"/>
    <w:multiLevelType w:val="hybridMultilevel"/>
    <w:tmpl w:val="43629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C73609"/>
    <w:multiLevelType w:val="hybridMultilevel"/>
    <w:tmpl w:val="C6E61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2E6182"/>
    <w:multiLevelType w:val="hybridMultilevel"/>
    <w:tmpl w:val="006A5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F169E2"/>
    <w:multiLevelType w:val="singleLevel"/>
    <w:tmpl w:val="85FA6C02"/>
    <w:lvl w:ilvl="0">
      <w:start w:val="1"/>
      <w:numFmt w:val="decimal"/>
      <w:lvlText w:val="3.8.%1"/>
      <w:legacy w:legacy="1" w:legacySpace="0" w:legacyIndent="581"/>
      <w:lvlJc w:val="left"/>
      <w:rPr>
        <w:rFonts w:ascii="Times New Roman" w:hAnsi="Times New Roman" w:cs="Times New Roman" w:hint="default"/>
      </w:rPr>
    </w:lvl>
  </w:abstractNum>
  <w:abstractNum w:abstractNumId="5">
    <w:nsid w:val="48203E87"/>
    <w:multiLevelType w:val="singleLevel"/>
    <w:tmpl w:val="0C3A6BCE"/>
    <w:lvl w:ilvl="0">
      <w:start w:val="6"/>
      <w:numFmt w:val="decimal"/>
      <w:lvlText w:val="3.%1"/>
      <w:legacy w:legacy="1" w:legacySpace="0" w:legacyIndent="475"/>
      <w:lvlJc w:val="left"/>
      <w:rPr>
        <w:rFonts w:ascii="Times New Roman" w:hAnsi="Times New Roman" w:cs="Times New Roman" w:hint="default"/>
      </w:rPr>
    </w:lvl>
  </w:abstractNum>
  <w:abstractNum w:abstractNumId="6">
    <w:nsid w:val="60CD5489"/>
    <w:multiLevelType w:val="hybridMultilevel"/>
    <w:tmpl w:val="EE583CD2"/>
    <w:lvl w:ilvl="0" w:tplc="F370ACE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11B029B"/>
    <w:multiLevelType w:val="hybridMultilevel"/>
    <w:tmpl w:val="47D669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36734A6"/>
    <w:multiLevelType w:val="hybridMultilevel"/>
    <w:tmpl w:val="FCC4AF50"/>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55074CB"/>
    <w:multiLevelType w:val="hybridMultilevel"/>
    <w:tmpl w:val="8B8C1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786810"/>
    <w:multiLevelType w:val="hybridMultilevel"/>
    <w:tmpl w:val="EE4C7720"/>
    <w:lvl w:ilvl="0" w:tplc="F370ACE2">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10"/>
  </w:num>
  <w:num w:numId="6">
    <w:abstractNumId w:val="8"/>
  </w:num>
  <w:num w:numId="7">
    <w:abstractNumId w:val="2"/>
  </w:num>
  <w:num w:numId="8">
    <w:abstractNumId w:val="0"/>
  </w:num>
  <w:num w:numId="9">
    <w:abstractNumId w:val="1"/>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footnotePr>
    <w:footnote w:id="0"/>
    <w:footnote w:id="1"/>
  </w:footnotePr>
  <w:endnotePr>
    <w:endnote w:id="0"/>
    <w:endnote w:id="1"/>
  </w:endnotePr>
  <w:compat/>
  <w:rsids>
    <w:rsidRoot w:val="00EA34B2"/>
    <w:rsid w:val="00040BCA"/>
    <w:rsid w:val="00055B02"/>
    <w:rsid w:val="00087090"/>
    <w:rsid w:val="00095F03"/>
    <w:rsid w:val="000A1581"/>
    <w:rsid w:val="000C4418"/>
    <w:rsid w:val="00121AD7"/>
    <w:rsid w:val="0015094B"/>
    <w:rsid w:val="00153DC2"/>
    <w:rsid w:val="00176013"/>
    <w:rsid w:val="001A1EC1"/>
    <w:rsid w:val="001A2D0E"/>
    <w:rsid w:val="001B5AE6"/>
    <w:rsid w:val="001E0106"/>
    <w:rsid w:val="0020533E"/>
    <w:rsid w:val="00206AEE"/>
    <w:rsid w:val="002206E6"/>
    <w:rsid w:val="00223E3C"/>
    <w:rsid w:val="00235A8E"/>
    <w:rsid w:val="00245B29"/>
    <w:rsid w:val="00251423"/>
    <w:rsid w:val="00290DEE"/>
    <w:rsid w:val="00293300"/>
    <w:rsid w:val="002A3DF0"/>
    <w:rsid w:val="00302B66"/>
    <w:rsid w:val="003071A2"/>
    <w:rsid w:val="00310B32"/>
    <w:rsid w:val="00316D72"/>
    <w:rsid w:val="00332EE7"/>
    <w:rsid w:val="003A5EC6"/>
    <w:rsid w:val="003B4F66"/>
    <w:rsid w:val="003C1EBB"/>
    <w:rsid w:val="003D2BAA"/>
    <w:rsid w:val="00413D82"/>
    <w:rsid w:val="0045451A"/>
    <w:rsid w:val="00462263"/>
    <w:rsid w:val="00482D44"/>
    <w:rsid w:val="00483E0F"/>
    <w:rsid w:val="0048769C"/>
    <w:rsid w:val="004C786C"/>
    <w:rsid w:val="004F51ED"/>
    <w:rsid w:val="00521B4E"/>
    <w:rsid w:val="00524715"/>
    <w:rsid w:val="005634A4"/>
    <w:rsid w:val="005B7BDD"/>
    <w:rsid w:val="005E7B28"/>
    <w:rsid w:val="005F0F50"/>
    <w:rsid w:val="005F125C"/>
    <w:rsid w:val="00623E47"/>
    <w:rsid w:val="00626D9F"/>
    <w:rsid w:val="00672A0D"/>
    <w:rsid w:val="00685088"/>
    <w:rsid w:val="006B4D79"/>
    <w:rsid w:val="00717BAE"/>
    <w:rsid w:val="0076722B"/>
    <w:rsid w:val="00797BE3"/>
    <w:rsid w:val="007A0429"/>
    <w:rsid w:val="007B4647"/>
    <w:rsid w:val="007E357A"/>
    <w:rsid w:val="007E7DA6"/>
    <w:rsid w:val="007F6593"/>
    <w:rsid w:val="008130F7"/>
    <w:rsid w:val="008509C2"/>
    <w:rsid w:val="008536D1"/>
    <w:rsid w:val="0086350A"/>
    <w:rsid w:val="008961D5"/>
    <w:rsid w:val="008A1590"/>
    <w:rsid w:val="008A4EA7"/>
    <w:rsid w:val="008F6040"/>
    <w:rsid w:val="0092170E"/>
    <w:rsid w:val="00973607"/>
    <w:rsid w:val="0099253E"/>
    <w:rsid w:val="00994182"/>
    <w:rsid w:val="00997535"/>
    <w:rsid w:val="00A36962"/>
    <w:rsid w:val="00A71FA3"/>
    <w:rsid w:val="00AA39DB"/>
    <w:rsid w:val="00AB2A97"/>
    <w:rsid w:val="00AC0F77"/>
    <w:rsid w:val="00AD6371"/>
    <w:rsid w:val="00B13462"/>
    <w:rsid w:val="00B25D6C"/>
    <w:rsid w:val="00B836AC"/>
    <w:rsid w:val="00B96CE8"/>
    <w:rsid w:val="00BB0462"/>
    <w:rsid w:val="00BF77E6"/>
    <w:rsid w:val="00C01A3C"/>
    <w:rsid w:val="00C06303"/>
    <w:rsid w:val="00C173B0"/>
    <w:rsid w:val="00C43CD8"/>
    <w:rsid w:val="00CC44B3"/>
    <w:rsid w:val="00CD32BB"/>
    <w:rsid w:val="00CE4655"/>
    <w:rsid w:val="00D43FCD"/>
    <w:rsid w:val="00D8339E"/>
    <w:rsid w:val="00D863B0"/>
    <w:rsid w:val="00DC4D71"/>
    <w:rsid w:val="00DC6422"/>
    <w:rsid w:val="00DF3EA1"/>
    <w:rsid w:val="00DF3F2E"/>
    <w:rsid w:val="00E03B13"/>
    <w:rsid w:val="00E11256"/>
    <w:rsid w:val="00EA34B2"/>
    <w:rsid w:val="00F309D8"/>
    <w:rsid w:val="00F30BB3"/>
    <w:rsid w:val="00F719FE"/>
    <w:rsid w:val="00F72B75"/>
    <w:rsid w:val="00F76479"/>
    <w:rsid w:val="00F91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4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6350A"/>
    <w:pPr>
      <w:spacing w:after="0" w:line="240" w:lineRule="auto"/>
    </w:pPr>
    <w:rPr>
      <w:sz w:val="20"/>
      <w:szCs w:val="20"/>
    </w:rPr>
  </w:style>
  <w:style w:type="character" w:customStyle="1" w:styleId="a4">
    <w:name w:val="Текст сноски Знак"/>
    <w:basedOn w:val="a0"/>
    <w:link w:val="a3"/>
    <w:uiPriority w:val="99"/>
    <w:semiHidden/>
    <w:rsid w:val="0086350A"/>
    <w:rPr>
      <w:sz w:val="20"/>
      <w:szCs w:val="20"/>
    </w:rPr>
  </w:style>
  <w:style w:type="character" w:styleId="a5">
    <w:name w:val="footnote reference"/>
    <w:basedOn w:val="a0"/>
    <w:uiPriority w:val="99"/>
    <w:semiHidden/>
    <w:unhideWhenUsed/>
    <w:rsid w:val="0086350A"/>
    <w:rPr>
      <w:vertAlign w:val="superscript"/>
    </w:rPr>
  </w:style>
  <w:style w:type="paragraph" w:styleId="a6">
    <w:name w:val="endnote text"/>
    <w:basedOn w:val="a"/>
    <w:link w:val="a7"/>
    <w:uiPriority w:val="99"/>
    <w:semiHidden/>
    <w:unhideWhenUsed/>
    <w:rsid w:val="00797BE3"/>
    <w:pPr>
      <w:spacing w:after="0" w:line="240" w:lineRule="auto"/>
    </w:pPr>
    <w:rPr>
      <w:sz w:val="20"/>
      <w:szCs w:val="20"/>
    </w:rPr>
  </w:style>
  <w:style w:type="character" w:customStyle="1" w:styleId="a7">
    <w:name w:val="Текст концевой сноски Знак"/>
    <w:basedOn w:val="a0"/>
    <w:link w:val="a6"/>
    <w:uiPriority w:val="99"/>
    <w:semiHidden/>
    <w:rsid w:val="00797BE3"/>
    <w:rPr>
      <w:sz w:val="20"/>
      <w:szCs w:val="20"/>
    </w:rPr>
  </w:style>
  <w:style w:type="character" w:styleId="a8">
    <w:name w:val="endnote reference"/>
    <w:basedOn w:val="a0"/>
    <w:uiPriority w:val="99"/>
    <w:semiHidden/>
    <w:unhideWhenUsed/>
    <w:rsid w:val="00797BE3"/>
    <w:rPr>
      <w:vertAlign w:val="superscript"/>
    </w:rPr>
  </w:style>
  <w:style w:type="character" w:styleId="a9">
    <w:name w:val="Placeholder Text"/>
    <w:basedOn w:val="a0"/>
    <w:uiPriority w:val="99"/>
    <w:semiHidden/>
    <w:rsid w:val="008A1590"/>
    <w:rPr>
      <w:color w:val="808080"/>
    </w:rPr>
  </w:style>
  <w:style w:type="paragraph" w:styleId="aa">
    <w:name w:val="Balloon Text"/>
    <w:basedOn w:val="a"/>
    <w:link w:val="ab"/>
    <w:uiPriority w:val="99"/>
    <w:semiHidden/>
    <w:unhideWhenUsed/>
    <w:rsid w:val="008A159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1590"/>
    <w:rPr>
      <w:rFonts w:ascii="Tahoma" w:hAnsi="Tahoma" w:cs="Tahoma"/>
      <w:sz w:val="16"/>
      <w:szCs w:val="16"/>
    </w:rPr>
  </w:style>
  <w:style w:type="paragraph" w:styleId="ac">
    <w:name w:val="List Paragraph"/>
    <w:basedOn w:val="a"/>
    <w:uiPriority w:val="34"/>
    <w:qFormat/>
    <w:rsid w:val="00AA39DB"/>
    <w:pPr>
      <w:ind w:left="720"/>
      <w:contextualSpacing/>
    </w:pPr>
  </w:style>
  <w:style w:type="table" w:styleId="ad">
    <w:name w:val="Table Grid"/>
    <w:basedOn w:val="a1"/>
    <w:uiPriority w:val="59"/>
    <w:rsid w:val="00896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961D5"/>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basedOn w:val="a0"/>
    <w:uiPriority w:val="99"/>
    <w:unhideWhenUsed/>
    <w:rsid w:val="007E7D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6350A"/>
    <w:pPr>
      <w:spacing w:after="0" w:line="240" w:lineRule="auto"/>
    </w:pPr>
    <w:rPr>
      <w:sz w:val="20"/>
      <w:szCs w:val="20"/>
    </w:rPr>
  </w:style>
  <w:style w:type="character" w:customStyle="1" w:styleId="a4">
    <w:name w:val="Текст сноски Знак"/>
    <w:basedOn w:val="a0"/>
    <w:link w:val="a3"/>
    <w:uiPriority w:val="99"/>
    <w:semiHidden/>
    <w:rsid w:val="0086350A"/>
    <w:rPr>
      <w:sz w:val="20"/>
      <w:szCs w:val="20"/>
    </w:rPr>
  </w:style>
  <w:style w:type="character" w:styleId="a5">
    <w:name w:val="footnote reference"/>
    <w:basedOn w:val="a0"/>
    <w:uiPriority w:val="99"/>
    <w:semiHidden/>
    <w:unhideWhenUsed/>
    <w:rsid w:val="0086350A"/>
    <w:rPr>
      <w:vertAlign w:val="superscript"/>
    </w:rPr>
  </w:style>
  <w:style w:type="paragraph" w:styleId="a6">
    <w:name w:val="endnote text"/>
    <w:basedOn w:val="a"/>
    <w:link w:val="a7"/>
    <w:uiPriority w:val="99"/>
    <w:semiHidden/>
    <w:unhideWhenUsed/>
    <w:rsid w:val="00797BE3"/>
    <w:pPr>
      <w:spacing w:after="0" w:line="240" w:lineRule="auto"/>
    </w:pPr>
    <w:rPr>
      <w:sz w:val="20"/>
      <w:szCs w:val="20"/>
    </w:rPr>
  </w:style>
  <w:style w:type="character" w:customStyle="1" w:styleId="a7">
    <w:name w:val="Текст концевой сноски Знак"/>
    <w:basedOn w:val="a0"/>
    <w:link w:val="a6"/>
    <w:uiPriority w:val="99"/>
    <w:semiHidden/>
    <w:rsid w:val="00797BE3"/>
    <w:rPr>
      <w:sz w:val="20"/>
      <w:szCs w:val="20"/>
    </w:rPr>
  </w:style>
  <w:style w:type="character" w:styleId="a8">
    <w:name w:val="endnote reference"/>
    <w:basedOn w:val="a0"/>
    <w:uiPriority w:val="99"/>
    <w:semiHidden/>
    <w:unhideWhenUsed/>
    <w:rsid w:val="00797BE3"/>
    <w:rPr>
      <w:vertAlign w:val="superscript"/>
    </w:rPr>
  </w:style>
  <w:style w:type="character" w:styleId="a9">
    <w:name w:val="Placeholder Text"/>
    <w:basedOn w:val="a0"/>
    <w:uiPriority w:val="99"/>
    <w:semiHidden/>
    <w:rsid w:val="008A1590"/>
    <w:rPr>
      <w:color w:val="808080"/>
    </w:rPr>
  </w:style>
  <w:style w:type="paragraph" w:styleId="aa">
    <w:name w:val="Balloon Text"/>
    <w:basedOn w:val="a"/>
    <w:link w:val="ab"/>
    <w:uiPriority w:val="99"/>
    <w:semiHidden/>
    <w:unhideWhenUsed/>
    <w:rsid w:val="008A159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1590"/>
    <w:rPr>
      <w:rFonts w:ascii="Tahoma" w:hAnsi="Tahoma" w:cs="Tahoma"/>
      <w:sz w:val="16"/>
      <w:szCs w:val="16"/>
    </w:rPr>
  </w:style>
  <w:style w:type="paragraph" w:styleId="ac">
    <w:name w:val="List Paragraph"/>
    <w:basedOn w:val="a"/>
    <w:uiPriority w:val="34"/>
    <w:qFormat/>
    <w:rsid w:val="00AA39DB"/>
    <w:pPr>
      <w:ind w:left="720"/>
      <w:contextualSpacing/>
    </w:pPr>
  </w:style>
  <w:style w:type="table" w:styleId="ad">
    <w:name w:val="Table Grid"/>
    <w:basedOn w:val="a1"/>
    <w:uiPriority w:val="59"/>
    <w:rsid w:val="00896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961D5"/>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basedOn w:val="a0"/>
    <w:uiPriority w:val="99"/>
    <w:unhideWhenUsed/>
    <w:rsid w:val="007E7DA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6909172">
      <w:bodyDiv w:val="1"/>
      <w:marLeft w:val="0"/>
      <w:marRight w:val="0"/>
      <w:marTop w:val="0"/>
      <w:marBottom w:val="0"/>
      <w:divBdr>
        <w:top w:val="none" w:sz="0" w:space="0" w:color="auto"/>
        <w:left w:val="none" w:sz="0" w:space="0" w:color="auto"/>
        <w:bottom w:val="none" w:sz="0" w:space="0" w:color="auto"/>
        <w:right w:val="none" w:sz="0" w:space="0" w:color="auto"/>
      </w:divBdr>
    </w:div>
    <w:div w:id="113490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health_financing/topics/financial-protection/monitoring-data/en/" TargetMode="External"/><Relationship Id="rId13" Type="http://schemas.openxmlformats.org/officeDocument/2006/relationships/hyperlink" Target="http://unstats.un.org/sdgs/iaeg-sdgs/metadata-compil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nstats.un.org/unsd/cr/registry/regcs.asp?Cl=5&amp;Lg=1&amp;Co=06.1"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d-ilibrary.org/social-issues-migration-health/a-system-of-health-accounts/classification-of-health-care-financing-schemes-icha-hf_9789264116016-9-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orldbank.org/en/topic/health/publication/analyzing-health-equity-using-household-survey-data" TargetMode="External"/><Relationship Id="rId4" Type="http://schemas.openxmlformats.org/officeDocument/2006/relationships/settings" Target="settings.xml"/><Relationship Id="rId9" Type="http://schemas.openxmlformats.org/officeDocument/2006/relationships/hyperlink" Target="http://www.who.int/health_financing/topics/financial-protection/monitoring-sdg/e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uro.who.int/en/health-topics/Health-systems/health-systems-financing/publications/clusters/universalhealth-coverage-financial-protection" TargetMode="External"/><Relationship Id="rId2" Type="http://schemas.openxmlformats.org/officeDocument/2006/relationships/hyperlink" Target="http://www.who.int/healthinfo/universal_health_coverage/en/" TargetMode="External"/><Relationship Id="rId1" Type="http://schemas.openxmlformats.org/officeDocument/2006/relationships/hyperlink" Target="http://www.who.int/healthinfo/indicators/2015/en/" TargetMode="External"/><Relationship Id="rId6" Type="http://schemas.openxmlformats.org/officeDocument/2006/relationships/hyperlink" Target="http://apps.searo.who.int/uhc" TargetMode="External"/><Relationship Id="rId5" Type="http://schemas.openxmlformats.org/officeDocument/2006/relationships/hyperlink" Target="http://applications.emro.who.int/dsaf/EMROPUB_2016_EN_19169.pdf?ua=1" TargetMode="External"/><Relationship Id="rId4" Type="http://schemas.openxmlformats.org/officeDocument/2006/relationships/hyperlink" Target="http://www.paho.org/hq/index.php?option=com_content&amp;view=article&amp;id=11065%3A2015-universal-health-coveragelatin-america-caribbean&amp;catid=3316%3Apublications&amp;Itemid=3562&amp;lang=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7FD22-1ECC-4F74-9641-1BDC35F6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4023</Words>
  <Characters>22933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Никольская Алёна Игоревна</dc:creator>
  <cp:lastModifiedBy>sh.iskakova</cp:lastModifiedBy>
  <cp:revision>3</cp:revision>
  <cp:lastPrinted>2018-10-12T06:47:00Z</cp:lastPrinted>
  <dcterms:created xsi:type="dcterms:W3CDTF">2018-05-08T12:42:00Z</dcterms:created>
  <dcterms:modified xsi:type="dcterms:W3CDTF">2018-10-12T06:47:00Z</dcterms:modified>
</cp:coreProperties>
</file>