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780F08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BD29EC">
        <w:rPr>
          <w:rFonts w:eastAsia="Arial Unicode MS" w:cs="Times New Roman"/>
          <w:szCs w:val="24"/>
          <w:bdr w:val="nil"/>
          <w:lang w:eastAsia="ru-RU"/>
        </w:rPr>
        <w:t>Цель 1: Повсеместная ликвидация нищеты во всех ее формах</w:t>
      </w:r>
      <w:r w:rsidR="00090327">
        <w:rPr>
          <w:rFonts w:eastAsia="Arial Unicode MS" w:cs="Times New Roman"/>
          <w:szCs w:val="24"/>
          <w:bdr w:val="nil"/>
          <w:lang w:eastAsia="ru-RU"/>
        </w:rPr>
        <w:t>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780F08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>1.</w:t>
      </w:r>
      <w:r w:rsidR="00090327">
        <w:rPr>
          <w:rFonts w:cs="Times New Roman"/>
          <w:szCs w:val="24"/>
        </w:rPr>
        <w:t>а</w:t>
      </w:r>
      <w:r w:rsidRPr="00BD29EC">
        <w:rPr>
          <w:rFonts w:cs="Times New Roman"/>
          <w:szCs w:val="24"/>
        </w:rPr>
        <w:t xml:space="preserve">.  </w:t>
      </w:r>
      <w:r w:rsidR="00090327" w:rsidRPr="00090327">
        <w:rPr>
          <w:rFonts w:cs="Times New Roman"/>
          <w:szCs w:val="24"/>
        </w:rPr>
        <w:t xml:space="preserve">Обеспечить мобилизацию значительных ресурсов из самых разных источников, в том числе на основе активизации сотрудничества в целях развития, с </w:t>
      </w:r>
      <w:proofErr w:type="gramStart"/>
      <w:r w:rsidR="00090327" w:rsidRPr="00090327">
        <w:rPr>
          <w:rFonts w:cs="Times New Roman"/>
          <w:szCs w:val="24"/>
        </w:rPr>
        <w:t>тем</w:t>
      </w:r>
      <w:proofErr w:type="gramEnd"/>
      <w:r w:rsidR="00090327" w:rsidRPr="00090327">
        <w:rPr>
          <w:rFonts w:cs="Times New Roman"/>
          <w:szCs w:val="24"/>
        </w:rPr>
        <w:t xml:space="preserve"> чтобы предоставить развивающимся странам, особенно наименее развитым странам, достаточные и предсказуемые средства для осуществления программ и стратегий по ликвидации нищеты во всех ее формах</w:t>
      </w:r>
      <w:r w:rsidR="00090327">
        <w:rPr>
          <w:rFonts w:cs="Times New Roman"/>
          <w:szCs w:val="24"/>
        </w:rPr>
        <w:t>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80F08" w:rsidRPr="00BD29EC">
        <w:rPr>
          <w:rFonts w:cs="Times New Roman"/>
          <w:szCs w:val="24"/>
        </w:rPr>
        <w:t>1.</w:t>
      </w:r>
      <w:r w:rsidR="00090327">
        <w:rPr>
          <w:rFonts w:cs="Times New Roman"/>
          <w:szCs w:val="24"/>
        </w:rPr>
        <w:t>а</w:t>
      </w:r>
      <w:r w:rsidR="00780F08" w:rsidRPr="00BD29EC">
        <w:rPr>
          <w:rFonts w:cs="Times New Roman"/>
          <w:szCs w:val="24"/>
        </w:rPr>
        <w:t xml:space="preserve">.1 </w:t>
      </w:r>
      <w:r w:rsidR="00090327" w:rsidRPr="00090327">
        <w:rPr>
          <w:rFonts w:cs="Times New Roman"/>
          <w:szCs w:val="24"/>
        </w:rPr>
        <w:t>Суммарный объем субсидий на официальную помощь в целях развития, полученных от всех доноров и направляемых на искоренение нищеты, в качестве доли от валового национального дохода страны-получателя</w:t>
      </w:r>
      <w:r w:rsidR="00090327">
        <w:rPr>
          <w:rFonts w:cs="Times New Roman"/>
          <w:szCs w:val="24"/>
        </w:rPr>
        <w:t>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C8596F" w:rsidRPr="00BD29EC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39054D" w:rsidRDefault="0039054D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39054D">
        <w:rPr>
          <w:rFonts w:eastAsia="Arial Unicode MS" w:cs="Times New Roman"/>
          <w:szCs w:val="24"/>
          <w:bdr w:val="nil"/>
          <w:lang w:eastAsia="ru-RU"/>
        </w:rPr>
        <w:t xml:space="preserve">2020-04-14 </w:t>
      </w:r>
    </w:p>
    <w:p w:rsidR="00C8596F" w:rsidRPr="00DA19D7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39054D" w:rsidRPr="0039054D" w:rsidRDefault="0039054D" w:rsidP="003905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39054D">
        <w:rPr>
          <w:rFonts w:cs="Times New Roman"/>
          <w:szCs w:val="24"/>
        </w:rPr>
        <w:t>ОЭСР</w:t>
      </w:r>
    </w:p>
    <w:p w:rsidR="00957A62" w:rsidRPr="00BD29EC" w:rsidRDefault="00957A62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39054D" w:rsidRPr="0039054D" w:rsidRDefault="0039054D" w:rsidP="0039054D">
      <w:pPr>
        <w:pStyle w:val="MText"/>
        <w:rPr>
          <w:color w:val="000000" w:themeColor="text1"/>
          <w:sz w:val="24"/>
          <w:szCs w:val="24"/>
        </w:rPr>
      </w:pPr>
      <w:r w:rsidRPr="0039054D">
        <w:rPr>
          <w:color w:val="000000" w:themeColor="text1"/>
          <w:sz w:val="24"/>
          <w:szCs w:val="24"/>
        </w:rPr>
        <w:t>ОЭСР</w:t>
      </w:r>
    </w:p>
    <w:p w:rsidR="00957A62" w:rsidRPr="00BD29EC" w:rsidRDefault="00957A62" w:rsidP="0075371E">
      <w:pPr>
        <w:pStyle w:val="MText"/>
        <w:rPr>
          <w:color w:val="auto"/>
          <w:sz w:val="24"/>
          <w:szCs w:val="24"/>
          <w:lang w:val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AE0347" w:rsidRDefault="00DA19D7" w:rsidP="00AE0347">
      <w:pPr>
        <w:rPr>
          <w:b/>
        </w:rPr>
      </w:pPr>
      <w:r w:rsidRPr="00AE0347">
        <w:rPr>
          <w:b/>
        </w:rPr>
        <w:t>Определение:</w:t>
      </w:r>
    </w:p>
    <w:p w:rsidR="00AE0347" w:rsidRPr="00AE0347" w:rsidRDefault="00AE0347" w:rsidP="00AE0347">
      <w:r w:rsidRPr="00AE0347">
        <w:t>Суммарный объем субсидий на официальную помощь в целях развития (</w:t>
      </w:r>
      <w:proofErr w:type="gramStart"/>
      <w:r w:rsidRPr="00AE0347">
        <w:t>ОПР</w:t>
      </w:r>
      <w:proofErr w:type="gramEnd"/>
      <w:r w:rsidRPr="00AE0347">
        <w:t xml:space="preserve">), полученных от всех доноров и направляемых на искоренение нищеты, в качестве доли от валового национального дохода страны-получателя. </w:t>
      </w:r>
    </w:p>
    <w:p w:rsidR="00AE0347" w:rsidRPr="00AE0347" w:rsidRDefault="00AE0347" w:rsidP="00AE0347">
      <w:r w:rsidRPr="00AE0347">
        <w:t xml:space="preserve">ОЭСР/Комитет содействия развитию (КСР) определяет </w:t>
      </w:r>
      <w:proofErr w:type="gramStart"/>
      <w:r w:rsidRPr="00AE0347">
        <w:t>ОПР</w:t>
      </w:r>
      <w:proofErr w:type="gramEnd"/>
      <w:r w:rsidRPr="00AE0347">
        <w:t xml:space="preserve"> как «потоки в страны и территории из списка стран-получателей официальной помощи в целях развития (КСР) и в многосторонние учреждения, которые: i) представлены официальными учреждениями, в том числе государственными и местными органами власти, или их исполнительными органами; и </w:t>
      </w:r>
      <w:proofErr w:type="spellStart"/>
      <w:r w:rsidRPr="00AE0347">
        <w:t>ii</w:t>
      </w:r>
      <w:proofErr w:type="spellEnd"/>
      <w:r w:rsidRPr="00AE0347">
        <w:t xml:space="preserve">) управляют каждой транзакцией с целью содействия экономическому развитию и благосостоянию развивающихся стран в качестве основной цели; являются льготными по своему характеру и передают дотационный элемент не менее чем 25 </w:t>
      </w:r>
      <w:r w:rsidRPr="00AE0347">
        <w:lastRenderedPageBreak/>
        <w:t>процентов (рассчитывается по учетной ставке в 10%). (См. http://www.oecd.org/dac/stats/officialdevelopmentassistancedefinitionandcoverage.htm).</w:t>
      </w:r>
    </w:p>
    <w:p w:rsidR="00DA19D7" w:rsidRDefault="00AE0347" w:rsidP="00AE0347">
      <w:r w:rsidRPr="00AE0347">
        <w:t xml:space="preserve">Пункты искоренения масштабов нищеты можно определить как </w:t>
      </w:r>
      <w:proofErr w:type="gramStart"/>
      <w:r w:rsidRPr="00AE0347">
        <w:t>ОПР</w:t>
      </w:r>
      <w:proofErr w:type="gramEnd"/>
      <w:r w:rsidRPr="00AE0347">
        <w:t xml:space="preserve"> для основных социальных услуг (базовое здравоохранение, базовое образование, базовые услуги в области водоснабжения и санитарии, программы в области народонаселения и репродуктивного здоровья) и для  продовольственной помощи в целях развития (См.: </w:t>
      </w:r>
      <w:hyperlink r:id="rId9" w:history="1">
        <w:r w:rsidRPr="00F734CB">
          <w:rPr>
            <w:rStyle w:val="ac"/>
            <w:szCs w:val="24"/>
          </w:rPr>
          <w:t>http://www.oecd.org/dac/stats/purposecodessectorclassification.htm</w:t>
        </w:r>
      </w:hyperlink>
      <w:r w:rsidRPr="00AE0347">
        <w:t>).</w:t>
      </w:r>
    </w:p>
    <w:p w:rsidR="00AE0347" w:rsidRPr="00AE0347" w:rsidRDefault="00AE0347" w:rsidP="00AE0347">
      <w:pPr>
        <w:rPr>
          <w:rFonts w:eastAsia="Times New Roman" w:cs="Times New Roman"/>
          <w:b/>
          <w:lang w:eastAsia="en-GB"/>
        </w:rPr>
      </w:pPr>
      <w:r w:rsidRPr="00AE0347">
        <w:rPr>
          <w:rFonts w:eastAsia="Times New Roman" w:cs="Times New Roman"/>
          <w:b/>
          <w:lang w:eastAsia="en-GB"/>
        </w:rPr>
        <w:t>Основные понятия:</w:t>
      </w:r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r w:rsidRPr="00AE0347">
        <w:rPr>
          <w:rFonts w:eastAsia="Times New Roman" w:cs="Times New Roman"/>
          <w:lang w:eastAsia="en-GB"/>
        </w:rPr>
        <w:t xml:space="preserve">Комитет содействия развитию (КСР) ОЭСР определяет </w:t>
      </w:r>
      <w:proofErr w:type="gramStart"/>
      <w:r w:rsidRPr="00AE0347">
        <w:rPr>
          <w:rFonts w:eastAsia="Times New Roman" w:cs="Times New Roman"/>
          <w:lang w:eastAsia="en-GB"/>
        </w:rPr>
        <w:t>ОПР</w:t>
      </w:r>
      <w:proofErr w:type="gramEnd"/>
      <w:r w:rsidRPr="00AE0347">
        <w:rPr>
          <w:rFonts w:eastAsia="Times New Roman" w:cs="Times New Roman"/>
          <w:lang w:eastAsia="en-GB"/>
        </w:rPr>
        <w:t xml:space="preserve"> как «потоки в страны и территории из списка стран-получателей официальной помощи в целях развития (КСР) и в многосторонние учреждения, которые: i) представлены официальными учреждениями, в том числе государственными и местными органами власти, или их исполнительными органами; и </w:t>
      </w:r>
      <w:proofErr w:type="spellStart"/>
      <w:r w:rsidRPr="00AE0347">
        <w:rPr>
          <w:rFonts w:eastAsia="Times New Roman" w:cs="Times New Roman"/>
          <w:lang w:eastAsia="en-GB"/>
        </w:rPr>
        <w:t>ii</w:t>
      </w:r>
      <w:proofErr w:type="spellEnd"/>
      <w:r w:rsidRPr="00AE0347">
        <w:rPr>
          <w:rFonts w:eastAsia="Times New Roman" w:cs="Times New Roman"/>
          <w:lang w:eastAsia="en-GB"/>
        </w:rPr>
        <w:t xml:space="preserve">) управляют каждой транзакцией с целью содействия экономическому развитию и благосостоянию развивающихся стран в качестве основной цели; являются льготными по своему характеру и передают дотационный элемент не менее чем 25 процентов (рассчитывается по учетной ставке в 10%). (См. </w:t>
      </w:r>
      <w:hyperlink r:id="rId10" w:history="1">
        <w:r w:rsidRPr="00AE0347">
          <w:rPr>
            <w:rStyle w:val="ac"/>
            <w:szCs w:val="24"/>
            <w:lang w:eastAsia="en-GB"/>
          </w:rPr>
          <w:t>http://www.oecd.org/dac/stats/officialdevelopmentassistancedefinitionandcoverage.htm</w:t>
        </w:r>
      </w:hyperlink>
      <w:r w:rsidRPr="00AE0347">
        <w:rPr>
          <w:rFonts w:eastAsia="Times New Roman" w:cs="Times New Roman"/>
          <w:lang w:eastAsia="en-GB"/>
        </w:rPr>
        <w:t>).</w:t>
      </w:r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r w:rsidRPr="00AE0347">
        <w:rPr>
          <w:rFonts w:eastAsia="Times New Roman" w:cs="Times New Roman"/>
          <w:lang w:eastAsia="en-GB"/>
        </w:rPr>
        <w:t xml:space="preserve">Основные социальные услуги и продовольственная помощь в целях развития, ориентированные на сокращение масштабов нищеты, определяются с использованием следующих целевых кодов Системы отчетности кредиторов (CRS) ОЭСР, которые определяют сектор, в котором осуществляется деятельность, направленная </w:t>
      </w:r>
      <w:proofErr w:type="gramStart"/>
      <w:r w:rsidRPr="00AE0347">
        <w:rPr>
          <w:rFonts w:eastAsia="Times New Roman" w:cs="Times New Roman"/>
          <w:lang w:eastAsia="en-GB"/>
        </w:rPr>
        <w:t>на</w:t>
      </w:r>
      <w:proofErr w:type="gramEnd"/>
      <w:r w:rsidRPr="00AE0347">
        <w:rPr>
          <w:rFonts w:eastAsia="Times New Roman" w:cs="Times New Roman"/>
          <w:lang w:eastAsia="en-GB"/>
        </w:rPr>
        <w:t>:</w:t>
      </w:r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r w:rsidRPr="00AE0347">
        <w:rPr>
          <w:rFonts w:eastAsia="Times New Roman" w:cs="Times New Roman"/>
          <w:lang w:eastAsia="en-GB"/>
        </w:rPr>
        <w:t>• Базовое образование (коды CRS 112xx)</w:t>
      </w:r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proofErr w:type="gramStart"/>
      <w:r w:rsidRPr="00AE0347">
        <w:rPr>
          <w:rFonts w:eastAsia="Times New Roman" w:cs="Times New Roman"/>
          <w:lang w:eastAsia="en-GB"/>
        </w:rPr>
        <w:t>• Базовое здравоохранение (коды CRS (122xx)</w:t>
      </w:r>
      <w:proofErr w:type="gramEnd"/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r w:rsidRPr="00AE0347">
        <w:rPr>
          <w:rFonts w:eastAsia="Times New Roman" w:cs="Times New Roman"/>
          <w:lang w:eastAsia="en-GB"/>
        </w:rPr>
        <w:t>• Базовые услуги в области водоснабжения и санитарии (коды CRS 140xx)</w:t>
      </w:r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r w:rsidRPr="00AE0347">
        <w:rPr>
          <w:rFonts w:eastAsia="Times New Roman" w:cs="Times New Roman"/>
          <w:lang w:eastAsia="en-GB"/>
        </w:rPr>
        <w:t>• Многосекторная помощь для базовых социальных услуг (код CRS 16050)</w:t>
      </w:r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r w:rsidRPr="00AE0347">
        <w:rPr>
          <w:rFonts w:eastAsia="Times New Roman" w:cs="Times New Roman"/>
          <w:lang w:eastAsia="en-GB"/>
        </w:rPr>
        <w:t>• Развитие продовольственной помощи (код CRS 52010)</w:t>
      </w:r>
    </w:p>
    <w:p w:rsidR="00AE0347" w:rsidRPr="00AE0347" w:rsidRDefault="00AE0347" w:rsidP="00AE0347">
      <w:pPr>
        <w:rPr>
          <w:rFonts w:eastAsia="Times New Roman" w:cs="Times New Roman"/>
          <w:lang w:eastAsia="en-GB"/>
        </w:rPr>
      </w:pPr>
      <w:r w:rsidRPr="00AE0347">
        <w:rPr>
          <w:rFonts w:eastAsia="Times New Roman" w:cs="Times New Roman"/>
          <w:lang w:eastAsia="en-GB"/>
        </w:rPr>
        <w:t xml:space="preserve">Подробный список целевых кодов CRS и их определения доступны здесь: </w:t>
      </w:r>
      <w:hyperlink r:id="rId11" w:history="1">
        <w:r w:rsidRPr="00AE0347">
          <w:rPr>
            <w:rStyle w:val="ac"/>
            <w:szCs w:val="24"/>
            <w:lang w:eastAsia="en-GB"/>
          </w:rPr>
          <w:t>http://www.oecd.org/dac/stats/purposecodessectorclassification.htm</w:t>
        </w:r>
      </w:hyperlink>
    </w:p>
    <w:p w:rsidR="00AE0347" w:rsidRPr="00DA19D7" w:rsidRDefault="00AE0347" w:rsidP="00AE0347">
      <w:pPr>
        <w:pStyle w:val="MText"/>
        <w:rPr>
          <w:color w:val="000000" w:themeColor="text1"/>
          <w:sz w:val="24"/>
          <w:szCs w:val="24"/>
          <w:lang w:val="ru-RU"/>
        </w:rPr>
      </w:pP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407E4E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0A229E" w:rsidP="0075371E">
      <w:pPr>
        <w:pStyle w:val="MText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F554F3" w:rsidRPr="00F554F3" w:rsidRDefault="00F554F3" w:rsidP="00F554F3">
      <w:r w:rsidRPr="00F554F3">
        <w:lastRenderedPageBreak/>
        <w:t>ОЭСР/КСР собирает данные о потоках официальных и частных ресурсов, начиная с 1960 года на агрегированном уровне, и с 1973 года на уровне деятельности через Систему отчетности кредиторов (данные CRS считаются полными с 1995 года по обязательствам на уровне деятельности и с 2002 года по выплатам).</w:t>
      </w:r>
    </w:p>
    <w:p w:rsidR="00F554F3" w:rsidRPr="00F554F3" w:rsidRDefault="00F554F3" w:rsidP="00F554F3">
      <w:r w:rsidRPr="00F554F3">
        <w:t xml:space="preserve">Данные предоставляются донорами в соответствии с теми же стандартами и методологиями (см.: </w:t>
      </w:r>
      <w:hyperlink r:id="rId12" w:history="1">
        <w:r w:rsidRPr="00F554F3">
          <w:rPr>
            <w:rStyle w:val="ac"/>
            <w:b/>
            <w:szCs w:val="24"/>
            <w:lang w:eastAsia="en-GB"/>
          </w:rPr>
          <w:t>http://www.oecd.org/dac/stats/methodology.htm</w:t>
        </w:r>
      </w:hyperlink>
      <w:proofErr w:type="gramStart"/>
      <w:r w:rsidRPr="00F554F3">
        <w:t xml:space="preserve"> )</w:t>
      </w:r>
      <w:proofErr w:type="gramEnd"/>
      <w:r w:rsidRPr="00F554F3">
        <w:t>.</w:t>
      </w:r>
    </w:p>
    <w:p w:rsidR="00F554F3" w:rsidRPr="00F554F3" w:rsidRDefault="00F554F3" w:rsidP="00F554F3">
      <w:r w:rsidRPr="00F554F3">
        <w:t>Данные представляются на ежегодной основе в календарном году составителями статистических отчетов в национальных администрациях (учреждения по оказанию помощи, министерства иностранных дел или финансов и т. д.)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F554F3" w:rsidRPr="00F554F3" w:rsidRDefault="00F554F3" w:rsidP="00F554F3">
      <w:r w:rsidRPr="00F554F3">
        <w:t xml:space="preserve">Составитель статистического отчета отвечает за сбор статистики КСР в каждой стране/учреждении, </w:t>
      </w:r>
      <w:proofErr w:type="gramStart"/>
      <w:r w:rsidRPr="00F554F3">
        <w:t>предоставляющим</w:t>
      </w:r>
      <w:proofErr w:type="gramEnd"/>
      <w:r w:rsidRPr="00F554F3">
        <w:t xml:space="preserve"> данные. Этот составитель обычно относится к национальному учреждению по оказанию помощи, министерству иностранных дел или финансов и т. д.</w:t>
      </w:r>
    </w:p>
    <w:p w:rsidR="00F554F3" w:rsidRPr="00F554F3" w:rsidRDefault="00F554F3" w:rsidP="00F554F3">
      <w:pPr>
        <w:rPr>
          <w:color w:val="1C75BC"/>
          <w:sz w:val="26"/>
        </w:rPr>
      </w:pPr>
      <w:r w:rsidRPr="00F554F3">
        <w:t xml:space="preserve">ОЭСР готовит и рассылает вопросник о потоках помощи (на уровне деятельности и агрегированном уровне) национальным составителям статистического отчета каждый год.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A921E0" w:rsidRPr="00BD29EC" w:rsidRDefault="00A921E0" w:rsidP="00A921E0">
      <w:r w:rsidRPr="00A921E0">
        <w:t>Сбор данных ежегодный. Подробные данные о потоках за 2019 год будут опубликованы в декабре 2020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A921E0" w:rsidRPr="00BD29EC" w:rsidRDefault="00A921E0" w:rsidP="00A921E0">
      <w:r w:rsidRPr="00A921E0">
        <w:t>Подробные данные о потоках за 2019 год будут опубликованы в декабре 2020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B11635" w:rsidRPr="00A71EC6" w:rsidRDefault="00B11635" w:rsidP="00B11635">
      <w:r w:rsidRPr="00B11635">
        <w:t>Статистический репортер отвечает за сбор статистики DAC в каждой стране/учреждении, предоставляющем данные. Этот репортер обычно находится в национальном агентстве по оказанию помощи, Министерстве иностранных дел или финансов и т. д.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2714E1" w:rsidRPr="00BD29EC" w:rsidRDefault="002714E1" w:rsidP="002714E1">
      <w:r w:rsidRPr="002714E1">
        <w:t>ОЭСР, Директорат по сотрудничеству в целях развития.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980F7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Pr="00BD29EC" w:rsidRDefault="006E27A5" w:rsidP="006E27A5">
      <w:r w:rsidRPr="006E27A5">
        <w:t xml:space="preserve">Общие потоки </w:t>
      </w:r>
      <w:proofErr w:type="gramStart"/>
      <w:r w:rsidRPr="006E27A5">
        <w:t>ОПР</w:t>
      </w:r>
      <w:proofErr w:type="gramEnd"/>
      <w:r w:rsidRPr="006E27A5">
        <w:t xml:space="preserve"> в развивающиеся страны дают количественную оценку усилиям государства (исключая неконцессионные потоки и экспортные кредиты), которые обеспечивают все доноры в целях экономического развития и благосостояния </w:t>
      </w:r>
      <w:r w:rsidRPr="006E27A5">
        <w:lastRenderedPageBreak/>
        <w:t xml:space="preserve">развивающихся стран. В рамках </w:t>
      </w:r>
      <w:proofErr w:type="gramStart"/>
      <w:r w:rsidRPr="006E27A5">
        <w:t>ОПР</w:t>
      </w:r>
      <w:proofErr w:type="gramEnd"/>
      <w:r w:rsidRPr="006E27A5">
        <w:t xml:space="preserve"> основные социальные услуги и продовольственная помощь в целях развития сосредоточены на борьбе с нищетой в развивающихся странах.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6E27A5" w:rsidRPr="00BD29EC" w:rsidRDefault="006E27A5" w:rsidP="006E27A5">
      <w:r w:rsidRPr="006E27A5">
        <w:t>Данные в Системе отчетности кредиторов (т.е. на уровне деятельности) доступны с 1973 года. Тем не менее, охват данных считается полным с 1995 года по обязательствам и с 2002 года по выплатам.</w:t>
      </w:r>
    </w:p>
    <w:p w:rsidR="002E15F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F86BAB" w:rsidRPr="00F86BAB" w:rsidRDefault="00F86BAB" w:rsidP="00F86BAB">
      <w:r w:rsidRPr="00F86BAB">
        <w:rPr>
          <w:u w:val="single"/>
        </w:rPr>
        <w:t>С точки зрения страны-донора</w:t>
      </w:r>
      <w:r w:rsidRPr="00F86BAB">
        <w:t xml:space="preserve">: сумма двусторонних субсидий </w:t>
      </w:r>
      <w:proofErr w:type="gramStart"/>
      <w:r w:rsidRPr="00F86BAB">
        <w:t>ОПР</w:t>
      </w:r>
      <w:proofErr w:type="gramEnd"/>
      <w:r w:rsidRPr="00F86BAB">
        <w:t xml:space="preserve">, полученных от донора, и направляемых на искоренение нищеты, в качестве доли валового национального дохода страны-донора.  </w:t>
      </w:r>
    </w:p>
    <w:p w:rsidR="00F86BAB" w:rsidRPr="00F86BAB" w:rsidRDefault="00F86BAB" w:rsidP="00F86BAB">
      <w:pPr>
        <w:rPr>
          <w:color w:val="1C75BC"/>
          <w:sz w:val="26"/>
        </w:rPr>
      </w:pPr>
      <w:r w:rsidRPr="00F86BAB">
        <w:rPr>
          <w:u w:val="single"/>
        </w:rPr>
        <w:t>С точки зрения страны-получателя</w:t>
      </w:r>
      <w:r w:rsidRPr="00F86BAB">
        <w:t xml:space="preserve">: общая сумма субсидий </w:t>
      </w:r>
      <w:proofErr w:type="gramStart"/>
      <w:r w:rsidRPr="00F86BAB">
        <w:t>ОПР</w:t>
      </w:r>
      <w:proofErr w:type="gramEnd"/>
      <w:r w:rsidRPr="00F86BAB">
        <w:t>, полученных от всех доноров (т.е. доноров КСР, многосторонних организаций и других двусторонних поставщиков сотрудничества в целях развития), и направляемых на искоренение нищеты, в качестве доли валового национального дохода страны-получателя.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2E15F9" w:rsidRPr="00BD29EC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A5349E">
      <w:r w:rsidRPr="00BD29EC">
        <w:t>•</w:t>
      </w:r>
      <w:r w:rsidRPr="00BD29EC">
        <w:tab/>
      </w:r>
      <w:r w:rsidR="00694160" w:rsidRPr="00BD29EC">
        <w:t>На уровне страны</w:t>
      </w:r>
    </w:p>
    <w:p w:rsidR="00A5349E" w:rsidRDefault="00A5349E" w:rsidP="00A5349E">
      <w:r w:rsidRPr="00A5349E">
        <w:t>Из-за высокого качества отчетности оценки недостающих данных не производятся.</w:t>
      </w:r>
    </w:p>
    <w:p w:rsidR="002E15F9" w:rsidRPr="00BD29EC" w:rsidRDefault="002E15F9" w:rsidP="00A5349E">
      <w:r w:rsidRPr="00BD29EC">
        <w:t>•</w:t>
      </w:r>
      <w:r w:rsidRPr="00BD29EC">
        <w:tab/>
      </w:r>
      <w:r w:rsidR="00694160" w:rsidRPr="00BD29EC">
        <w:t>На региональном и глобальном уровнях</w:t>
      </w:r>
    </w:p>
    <w:p w:rsidR="00A5349E" w:rsidRDefault="00A5349E" w:rsidP="00A5349E">
      <w:r w:rsidRPr="00A5349E">
        <w:t>Из-за высокого качества отчетности оценки недостающих данных не производятся.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202628" w:rsidP="0075371E">
      <w:pPr>
        <w:pStyle w:val="MText"/>
        <w:rPr>
          <w:color w:val="auto"/>
          <w:sz w:val="24"/>
          <w:szCs w:val="24"/>
          <w:lang w:val="ru-RU"/>
        </w:rPr>
      </w:pPr>
      <w:r w:rsidRPr="00202628">
        <w:rPr>
          <w:color w:val="auto"/>
          <w:sz w:val="24"/>
          <w:szCs w:val="24"/>
          <w:lang w:val="ru-RU"/>
        </w:rPr>
        <w:t xml:space="preserve">Глобальные, региональные и </w:t>
      </w:r>
      <w:proofErr w:type="spellStart"/>
      <w:r w:rsidRPr="00202628">
        <w:rPr>
          <w:color w:val="auto"/>
          <w:sz w:val="24"/>
          <w:szCs w:val="24"/>
          <w:lang w:val="ru-RU"/>
        </w:rPr>
        <w:t>страновые</w:t>
      </w:r>
      <w:proofErr w:type="spellEnd"/>
      <w:r w:rsidRPr="00202628">
        <w:rPr>
          <w:color w:val="auto"/>
          <w:sz w:val="24"/>
          <w:szCs w:val="24"/>
          <w:lang w:val="ru-RU"/>
        </w:rPr>
        <w:t xml:space="preserve"> данные основаны на сумме потоков грантов </w:t>
      </w:r>
      <w:proofErr w:type="gramStart"/>
      <w:r w:rsidRPr="00202628">
        <w:rPr>
          <w:color w:val="auto"/>
          <w:sz w:val="24"/>
          <w:szCs w:val="24"/>
          <w:lang w:val="ru-RU"/>
        </w:rPr>
        <w:t>ОПР</w:t>
      </w:r>
      <w:proofErr w:type="gramEnd"/>
      <w:r w:rsidRPr="00202628">
        <w:rPr>
          <w:color w:val="auto"/>
          <w:sz w:val="24"/>
          <w:szCs w:val="24"/>
          <w:lang w:val="ru-RU"/>
        </w:rPr>
        <w:t xml:space="preserve"> для сокращения бедности.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867A12" w:rsidRPr="00BD29EC" w:rsidRDefault="00867A12" w:rsidP="00867A12">
      <w:r w:rsidRPr="00867A12">
        <w:t xml:space="preserve">Директивы КСР по статистической отчетности регулируют представление статистических данных КСР, они рассматриваются и согласовываются Рабочей группой КСР по финансовой статистике развития, см.: </w:t>
      </w:r>
      <w:hyperlink r:id="rId13" w:history="1">
        <w:r w:rsidRPr="00867A12">
          <w:rPr>
            <w:rStyle w:val="ac"/>
          </w:rPr>
          <w:t>https://one.oecd.org/document/DCD/DAC/STAT(2018)9/FINAL/en/pdf</w:t>
        </w:r>
      </w:hyperlink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867A12" w:rsidRPr="00040034" w:rsidRDefault="00867A12" w:rsidP="00867A12">
      <w:r w:rsidRPr="00867A12">
        <w:lastRenderedPageBreak/>
        <w:t>Секретариат ОЭСР/КСР отвечает за проверку данных, представляемых поставщиками сотрудничества в целях развития, а также за публикацию данных.</w:t>
      </w:r>
    </w:p>
    <w:p w:rsidR="002E15F9" w:rsidRPr="00BD29EC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Доступность и </w:t>
      </w:r>
      <w:proofErr w:type="spellStart"/>
      <w:r w:rsidR="0075371E" w:rsidRPr="00BD29EC">
        <w:rPr>
          <w:b/>
          <w:color w:val="auto"/>
          <w:sz w:val="24"/>
          <w:szCs w:val="24"/>
          <w:lang w:val="ru-RU"/>
        </w:rPr>
        <w:t>дезагрегирование</w:t>
      </w:r>
      <w:proofErr w:type="spellEnd"/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FE1892" w:rsidRDefault="0075371E" w:rsidP="00FE1892">
      <w:r w:rsidRPr="00FE1892">
        <w:t>Доступность данных:</w:t>
      </w:r>
    </w:p>
    <w:p w:rsidR="00FE1892" w:rsidRPr="00FE1892" w:rsidRDefault="00FE1892" w:rsidP="00FE1892">
      <w:r w:rsidRPr="00FE1892">
        <w:t>Данные публикуются на ежегодной основе в декабре по потокам в предыдущем году.</w:t>
      </w:r>
    </w:p>
    <w:p w:rsidR="00FE1892" w:rsidRPr="00FE1892" w:rsidRDefault="00FE1892" w:rsidP="00FE1892">
      <w:r w:rsidRPr="00FE1892">
        <w:t>Подробные данные о потоках за 2019 год будут опубликованы в декабре 2020 года.</w:t>
      </w:r>
    </w:p>
    <w:p w:rsidR="00FE1892" w:rsidRPr="00BD29EC" w:rsidRDefault="00FE1892" w:rsidP="00FE1892">
      <w:r w:rsidRPr="00FE1892">
        <w:t>Предварительная классификация данных: Уровень I</w:t>
      </w:r>
    </w:p>
    <w:p w:rsidR="0075371E" w:rsidRPr="00FE1892" w:rsidRDefault="0075371E" w:rsidP="00FE1892">
      <w:r w:rsidRPr="00FE1892">
        <w:t>Временные ряды:</w:t>
      </w:r>
    </w:p>
    <w:p w:rsidR="00FE1892" w:rsidRPr="00BD29EC" w:rsidRDefault="00FE1892" w:rsidP="00FE1892">
      <w:r w:rsidRPr="00FE1892">
        <w:t>ОЭСР/КСР собирает данные о потоках официальных и частных ресурсов, начиная с 1960 года на агрегированном уровне, и с 1973 года на уровне деятельности через Систему отчетности кредиторов (данные CRS считаются полными с 1995 года по обязательствам на уровне деятельности и с 2002 года по выплатам).</w:t>
      </w:r>
    </w:p>
    <w:p w:rsidR="0075371E" w:rsidRDefault="0075371E" w:rsidP="00FE1892">
      <w:r w:rsidRPr="00BD29EC">
        <w:t>Разбивка:</w:t>
      </w:r>
    </w:p>
    <w:p w:rsidR="00FE1892" w:rsidRPr="00BD29EC" w:rsidRDefault="00FE1892" w:rsidP="00FE1892">
      <w:proofErr w:type="gramStart"/>
      <w:r w:rsidRPr="00FE1892">
        <w:t>Этот показатель может быть дезагрегирован по донорам, странам-получателям, видам финансирования, типам помощи, подсекторам, политикам (например, по полу) и т. д.</w:t>
      </w:r>
      <w:proofErr w:type="gramEnd"/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FE1892" w:rsidRDefault="00FE1892" w:rsidP="00FE1892">
      <w:pPr>
        <w:rPr>
          <w:lang w:eastAsia="en-GB"/>
        </w:rPr>
      </w:pPr>
      <w:r w:rsidRPr="00FE1892">
        <w:rPr>
          <w:lang w:eastAsia="en-GB"/>
        </w:rPr>
        <w:t>Статистические данные DAC стандартизированы на основе календарного года для всех доноров и могут отличаться от данных финансового года, имеющихся в бюджетных документах для некоторых стран.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040034">
        <w:rPr>
          <w:rFonts w:eastAsia="Times New Roman" w:cs="Times New Roman"/>
          <w:b/>
          <w:szCs w:val="24"/>
          <w:lang w:val="en-US"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040034">
        <w:rPr>
          <w:rFonts w:eastAsia="Times New Roman" w:cs="Times New Roman"/>
          <w:b/>
          <w:szCs w:val="24"/>
          <w:lang w:val="en-US"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040034">
        <w:rPr>
          <w:rFonts w:eastAsia="Times New Roman" w:cs="Times New Roman"/>
          <w:b/>
          <w:szCs w:val="24"/>
          <w:lang w:val="en-US"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FE1892" w:rsidRPr="00FE1892" w:rsidRDefault="00FE1892" w:rsidP="00FE1892">
      <w:pPr>
        <w:rPr>
          <w:lang w:val="en-US" w:eastAsia="en-GB"/>
        </w:rPr>
      </w:pPr>
      <w:r w:rsidRPr="00FE1892">
        <w:rPr>
          <w:lang w:val="en-US" w:eastAsia="en-GB"/>
        </w:rPr>
        <w:t>URL:</w:t>
      </w:r>
    </w:p>
    <w:p w:rsidR="00FE1892" w:rsidRPr="00FE1892" w:rsidRDefault="00FE1892" w:rsidP="00FE1892">
      <w:pPr>
        <w:rPr>
          <w:lang w:eastAsia="en-GB"/>
        </w:rPr>
      </w:pPr>
      <w:r>
        <w:rPr>
          <w:lang w:eastAsia="en-GB"/>
        </w:rPr>
        <w:t>См.</w:t>
      </w:r>
      <w:r w:rsidRPr="00FE1892">
        <w:rPr>
          <w:lang w:eastAsia="en-GB"/>
        </w:rPr>
        <w:t xml:space="preserve"> все ссылки здесь</w:t>
      </w:r>
      <w:r w:rsidRPr="00FE1892">
        <w:rPr>
          <w:lang w:eastAsia="en-GB"/>
        </w:rPr>
        <w:t xml:space="preserve">: </w:t>
      </w:r>
      <w:r w:rsidRPr="00FE1892">
        <w:rPr>
          <w:lang w:val="en-US" w:eastAsia="en-GB"/>
        </w:rPr>
        <w:t>http</w:t>
      </w:r>
      <w:r w:rsidRPr="00FE1892">
        <w:rPr>
          <w:lang w:eastAsia="en-GB"/>
        </w:rPr>
        <w:t>://</w:t>
      </w:r>
      <w:r w:rsidRPr="00FE1892">
        <w:rPr>
          <w:lang w:val="en-US" w:eastAsia="en-GB"/>
        </w:rPr>
        <w:t>www</w:t>
      </w:r>
      <w:r w:rsidRPr="00FE1892">
        <w:rPr>
          <w:lang w:eastAsia="en-GB"/>
        </w:rPr>
        <w:t>.</w:t>
      </w:r>
      <w:proofErr w:type="spellStart"/>
      <w:r w:rsidRPr="00FE1892">
        <w:rPr>
          <w:lang w:val="en-US" w:eastAsia="en-GB"/>
        </w:rPr>
        <w:t>oecd</w:t>
      </w:r>
      <w:proofErr w:type="spellEnd"/>
      <w:r w:rsidRPr="00FE1892">
        <w:rPr>
          <w:lang w:eastAsia="en-GB"/>
        </w:rPr>
        <w:t>.</w:t>
      </w:r>
      <w:r w:rsidRPr="00FE1892">
        <w:rPr>
          <w:lang w:val="en-US" w:eastAsia="en-GB"/>
        </w:rPr>
        <w:t>org</w:t>
      </w:r>
      <w:r w:rsidRPr="00FE1892">
        <w:rPr>
          <w:lang w:eastAsia="en-GB"/>
        </w:rPr>
        <w:t>/</w:t>
      </w:r>
      <w:proofErr w:type="spellStart"/>
      <w:r w:rsidRPr="00FE1892">
        <w:rPr>
          <w:lang w:val="en-US" w:eastAsia="en-GB"/>
        </w:rPr>
        <w:t>dac</w:t>
      </w:r>
      <w:proofErr w:type="spellEnd"/>
      <w:r w:rsidRPr="00FE1892">
        <w:rPr>
          <w:lang w:eastAsia="en-GB"/>
        </w:rPr>
        <w:t>/</w:t>
      </w:r>
      <w:r w:rsidRPr="00FE1892">
        <w:rPr>
          <w:lang w:val="en-US" w:eastAsia="en-GB"/>
        </w:rPr>
        <w:t>stats</w:t>
      </w:r>
      <w:r w:rsidRPr="00FE1892">
        <w:rPr>
          <w:lang w:eastAsia="en-GB"/>
        </w:rPr>
        <w:t>/</w:t>
      </w:r>
      <w:r w:rsidRPr="00FE1892">
        <w:rPr>
          <w:lang w:val="en-US" w:eastAsia="en-GB"/>
        </w:rPr>
        <w:t>methodology</w:t>
      </w:r>
      <w:r w:rsidRPr="00FE1892">
        <w:rPr>
          <w:lang w:eastAsia="en-GB"/>
        </w:rPr>
        <w:t>.</w:t>
      </w:r>
      <w:proofErr w:type="spellStart"/>
      <w:r w:rsidRPr="00FE1892">
        <w:rPr>
          <w:lang w:val="en-US" w:eastAsia="en-GB"/>
        </w:rPr>
        <w:t>htm</w:t>
      </w:r>
      <w:proofErr w:type="spellEnd"/>
    </w:p>
    <w:p w:rsidR="00FE1892" w:rsidRPr="00FE1892" w:rsidRDefault="00FE1892" w:rsidP="00FE1892">
      <w:pPr>
        <w:rPr>
          <w:lang w:eastAsia="en-GB"/>
        </w:rPr>
      </w:pPr>
      <w:r>
        <w:rPr>
          <w:lang w:eastAsia="en-GB"/>
        </w:rPr>
        <w:t>Используемые документы</w:t>
      </w:r>
      <w:bookmarkStart w:id="5" w:name="_GoBack"/>
      <w:bookmarkEnd w:id="5"/>
      <w:r w:rsidRPr="00FE1892">
        <w:rPr>
          <w:lang w:eastAsia="en-GB"/>
        </w:rPr>
        <w:t>:</w:t>
      </w:r>
    </w:p>
    <w:p w:rsidR="00FE1892" w:rsidRPr="00FE1892" w:rsidRDefault="00FE1892" w:rsidP="00FE1892">
      <w:pPr>
        <w:rPr>
          <w:lang w:eastAsia="en-GB"/>
        </w:rPr>
      </w:pPr>
      <w:r>
        <w:rPr>
          <w:lang w:eastAsia="en-GB"/>
        </w:rPr>
        <w:t>См.</w:t>
      </w:r>
      <w:r w:rsidRPr="00FE1892">
        <w:rPr>
          <w:lang w:eastAsia="en-GB"/>
        </w:rPr>
        <w:t xml:space="preserve"> все ссылки здесь: </w:t>
      </w:r>
      <w:r w:rsidRPr="00FE1892">
        <w:rPr>
          <w:lang w:val="en-US" w:eastAsia="en-GB"/>
        </w:rPr>
        <w:t>http</w:t>
      </w:r>
      <w:r w:rsidRPr="00FE1892">
        <w:rPr>
          <w:lang w:eastAsia="en-GB"/>
        </w:rPr>
        <w:t>://</w:t>
      </w:r>
      <w:r w:rsidRPr="00FE1892">
        <w:rPr>
          <w:lang w:val="en-US" w:eastAsia="en-GB"/>
        </w:rPr>
        <w:t>www</w:t>
      </w:r>
      <w:r w:rsidRPr="00FE1892">
        <w:rPr>
          <w:lang w:eastAsia="en-GB"/>
        </w:rPr>
        <w:t>.</w:t>
      </w:r>
      <w:proofErr w:type="spellStart"/>
      <w:r w:rsidRPr="00FE1892">
        <w:rPr>
          <w:lang w:val="en-US" w:eastAsia="en-GB"/>
        </w:rPr>
        <w:t>oecd</w:t>
      </w:r>
      <w:proofErr w:type="spellEnd"/>
      <w:r w:rsidRPr="00FE1892">
        <w:rPr>
          <w:lang w:eastAsia="en-GB"/>
        </w:rPr>
        <w:t>.</w:t>
      </w:r>
      <w:r w:rsidRPr="00FE1892">
        <w:rPr>
          <w:lang w:val="en-US" w:eastAsia="en-GB"/>
        </w:rPr>
        <w:t>org</w:t>
      </w:r>
      <w:r w:rsidRPr="00FE1892">
        <w:rPr>
          <w:lang w:eastAsia="en-GB"/>
        </w:rPr>
        <w:t>/</w:t>
      </w:r>
      <w:proofErr w:type="spellStart"/>
      <w:r w:rsidRPr="00FE1892">
        <w:rPr>
          <w:lang w:val="en-US" w:eastAsia="en-GB"/>
        </w:rPr>
        <w:t>dac</w:t>
      </w:r>
      <w:proofErr w:type="spellEnd"/>
      <w:r w:rsidRPr="00FE1892">
        <w:rPr>
          <w:lang w:eastAsia="en-GB"/>
        </w:rPr>
        <w:t>/</w:t>
      </w:r>
      <w:r w:rsidRPr="00FE1892">
        <w:rPr>
          <w:lang w:val="en-US" w:eastAsia="en-GB"/>
        </w:rPr>
        <w:t>stats</w:t>
      </w:r>
      <w:r w:rsidRPr="00FE1892">
        <w:rPr>
          <w:lang w:eastAsia="en-GB"/>
        </w:rPr>
        <w:t>/</w:t>
      </w:r>
      <w:r w:rsidRPr="00FE1892">
        <w:rPr>
          <w:lang w:val="en-US" w:eastAsia="en-GB"/>
        </w:rPr>
        <w:t>methodology</w:t>
      </w:r>
      <w:r w:rsidRPr="00FE1892">
        <w:rPr>
          <w:lang w:eastAsia="en-GB"/>
        </w:rPr>
        <w:t>.</w:t>
      </w:r>
      <w:proofErr w:type="spellStart"/>
      <w:r w:rsidRPr="00FE1892">
        <w:rPr>
          <w:lang w:val="en-US" w:eastAsia="en-GB"/>
        </w:rPr>
        <w:t>htm</w:t>
      </w:r>
      <w:proofErr w:type="spellEnd"/>
    </w:p>
    <w:sectPr w:rsidR="00FE1892" w:rsidRPr="00FE189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C2" w:rsidRDefault="006704C2" w:rsidP="00F73DBC">
      <w:pPr>
        <w:spacing w:after="0" w:line="240" w:lineRule="auto"/>
      </w:pPr>
      <w:r>
        <w:separator/>
      </w:r>
    </w:p>
  </w:endnote>
  <w:endnote w:type="continuationSeparator" w:id="0">
    <w:p w:rsidR="006704C2" w:rsidRDefault="006704C2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C2" w:rsidRDefault="006704C2" w:rsidP="00F73DBC">
      <w:pPr>
        <w:spacing w:after="0" w:line="240" w:lineRule="auto"/>
      </w:pPr>
      <w:r>
        <w:separator/>
      </w:r>
    </w:p>
  </w:footnote>
  <w:footnote w:type="continuationSeparator" w:id="0">
    <w:p w:rsidR="006704C2" w:rsidRDefault="006704C2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781DE7">
      <w:t>январь 2022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90327"/>
    <w:rsid w:val="000A210D"/>
    <w:rsid w:val="000A229E"/>
    <w:rsid w:val="00116248"/>
    <w:rsid w:val="001470A2"/>
    <w:rsid w:val="00165896"/>
    <w:rsid w:val="001A163A"/>
    <w:rsid w:val="001E2FC9"/>
    <w:rsid w:val="00202628"/>
    <w:rsid w:val="002714E1"/>
    <w:rsid w:val="00291FA0"/>
    <w:rsid w:val="00293F4F"/>
    <w:rsid w:val="002E122C"/>
    <w:rsid w:val="002E15F9"/>
    <w:rsid w:val="002F63E5"/>
    <w:rsid w:val="00303D71"/>
    <w:rsid w:val="003143BC"/>
    <w:rsid w:val="003746BC"/>
    <w:rsid w:val="0039054D"/>
    <w:rsid w:val="003D58DC"/>
    <w:rsid w:val="00407E4E"/>
    <w:rsid w:val="004143B4"/>
    <w:rsid w:val="00421928"/>
    <w:rsid w:val="004E087E"/>
    <w:rsid w:val="005E47BD"/>
    <w:rsid w:val="006704C2"/>
    <w:rsid w:val="00694160"/>
    <w:rsid w:val="006B260E"/>
    <w:rsid w:val="006B3939"/>
    <w:rsid w:val="006D7049"/>
    <w:rsid w:val="006E27A5"/>
    <w:rsid w:val="00702333"/>
    <w:rsid w:val="00705161"/>
    <w:rsid w:val="0075371E"/>
    <w:rsid w:val="00780F08"/>
    <w:rsid w:val="00781DE7"/>
    <w:rsid w:val="007B0CFD"/>
    <w:rsid w:val="007C27E0"/>
    <w:rsid w:val="007D1185"/>
    <w:rsid w:val="007F06DF"/>
    <w:rsid w:val="00836F3E"/>
    <w:rsid w:val="00853C09"/>
    <w:rsid w:val="00867A12"/>
    <w:rsid w:val="009508D1"/>
    <w:rsid w:val="00957A62"/>
    <w:rsid w:val="00980F79"/>
    <w:rsid w:val="00982FE8"/>
    <w:rsid w:val="009C064B"/>
    <w:rsid w:val="00A5349E"/>
    <w:rsid w:val="00A618FC"/>
    <w:rsid w:val="00A71EC6"/>
    <w:rsid w:val="00A82CD3"/>
    <w:rsid w:val="00A91FDE"/>
    <w:rsid w:val="00A921E0"/>
    <w:rsid w:val="00AC1A97"/>
    <w:rsid w:val="00AE0347"/>
    <w:rsid w:val="00B0378B"/>
    <w:rsid w:val="00B11635"/>
    <w:rsid w:val="00B72F77"/>
    <w:rsid w:val="00BD29EC"/>
    <w:rsid w:val="00BE2C5D"/>
    <w:rsid w:val="00C43FC9"/>
    <w:rsid w:val="00C8596F"/>
    <w:rsid w:val="00CA1CB1"/>
    <w:rsid w:val="00D05466"/>
    <w:rsid w:val="00D2619D"/>
    <w:rsid w:val="00DA19D7"/>
    <w:rsid w:val="00E123F7"/>
    <w:rsid w:val="00E21B43"/>
    <w:rsid w:val="00E27922"/>
    <w:rsid w:val="00E33CA8"/>
    <w:rsid w:val="00E90BD4"/>
    <w:rsid w:val="00EB362A"/>
    <w:rsid w:val="00EB389E"/>
    <w:rsid w:val="00EE0900"/>
    <w:rsid w:val="00F554F3"/>
    <w:rsid w:val="00F6371F"/>
    <w:rsid w:val="00F73DBC"/>
    <w:rsid w:val="00F84FF1"/>
    <w:rsid w:val="00F86BAB"/>
    <w:rsid w:val="00F92D6F"/>
    <w:rsid w:val="00FB66D9"/>
    <w:rsid w:val="00FE1892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7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47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e.oecd.org/document/DCD/DAC/STAT(2018)9/FINAL/en/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ecd.org/dac/stats/methodology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cd.org/dac/stats/purposecodessectorclassification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cd.org/dac/stats/officialdevelopmentassistancedefinitionandcoverag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/dac/stats/purposecodessectorclassification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BB1C-C29A-421A-892C-A3EED1EC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Жирякова Екатерина Александровна</cp:lastModifiedBy>
  <cp:revision>17</cp:revision>
  <dcterms:created xsi:type="dcterms:W3CDTF">2022-01-28T09:27:00Z</dcterms:created>
  <dcterms:modified xsi:type="dcterms:W3CDTF">2022-01-28T09:40:00Z</dcterms:modified>
</cp:coreProperties>
</file>