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jc w:val="both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BD29E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BE415C">
        <w:rPr>
          <w:rFonts w:eastAsia="Arial Unicode MS" w:cs="Times New Roman"/>
          <w:szCs w:val="24"/>
          <w:bdr w:val="nil"/>
          <w:lang w:eastAsia="ru-RU"/>
        </w:rPr>
        <w:t>3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BE415C" w:rsidRPr="00BE415C">
        <w:rPr>
          <w:rFonts w:eastAsia="Arial Unicode MS" w:cs="Times New Roman"/>
          <w:szCs w:val="24"/>
          <w:bdr w:val="nil"/>
          <w:lang w:eastAsia="ru-RU"/>
        </w:rPr>
        <w:t>Обеспечение здорового образа жизни и содействие благополучию для всех в любом возрасте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Pr="001E2C5F" w:rsidRDefault="00BE415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2064C4">
        <w:rPr>
          <w:rFonts w:cs="Times New Roman"/>
          <w:szCs w:val="24"/>
          <w:lang w:val="en-US"/>
        </w:rPr>
        <w:t>d</w:t>
      </w:r>
      <w:r w:rsidR="00780F08" w:rsidRPr="00BD29EC">
        <w:rPr>
          <w:rFonts w:cs="Times New Roman"/>
          <w:szCs w:val="24"/>
        </w:rPr>
        <w:t xml:space="preserve">.  </w:t>
      </w:r>
      <w:r w:rsidR="001E2C5F" w:rsidRPr="001E2C5F">
        <w:rPr>
          <w:rFonts w:cs="Times New Roman"/>
          <w:szCs w:val="24"/>
        </w:rPr>
        <w:t>Наращивать потенциал всех стран, особенно развивающихся стран, в области раннего предупреждения, снижения рисков и регулирования национальных и глобальных рисков для здоровья.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C05ACF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BE415C"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2064C4">
        <w:rPr>
          <w:rFonts w:cs="Times New Roman"/>
          <w:szCs w:val="24"/>
          <w:lang w:val="en-US"/>
        </w:rPr>
        <w:t>d</w:t>
      </w:r>
      <w:r w:rsidR="002064C4">
        <w:rPr>
          <w:rFonts w:cs="Times New Roman"/>
          <w:szCs w:val="24"/>
        </w:rPr>
        <w:t>.</w:t>
      </w:r>
      <w:r w:rsidR="002064C4" w:rsidRPr="002064C4">
        <w:rPr>
          <w:rFonts w:cs="Times New Roman"/>
          <w:szCs w:val="24"/>
        </w:rPr>
        <w:t>2</w:t>
      </w:r>
      <w:r w:rsidR="001E2C5F" w:rsidRPr="001E2C5F">
        <w:rPr>
          <w:rFonts w:cs="Times New Roman"/>
          <w:szCs w:val="24"/>
        </w:rPr>
        <w:t>.</w:t>
      </w:r>
      <w:r w:rsidR="00780F08" w:rsidRPr="00BD29EC">
        <w:rPr>
          <w:rFonts w:cs="Times New Roman"/>
          <w:szCs w:val="24"/>
        </w:rPr>
        <w:t xml:space="preserve"> </w:t>
      </w:r>
      <w:r w:rsidR="001E2C5F" w:rsidRPr="001E2C5F">
        <w:rPr>
          <w:rFonts w:cs="Times New Roman"/>
          <w:szCs w:val="24"/>
        </w:rPr>
        <w:t>Процентная доля инфекций кровотока, вызываемых отдельными организмами, устойчивыми к противомикробным препаратам</w:t>
      </w:r>
      <w:r w:rsidR="00C05ACF" w:rsidRPr="00C05ACF">
        <w:rPr>
          <w:rFonts w:cs="Times New Roman"/>
          <w:szCs w:val="24"/>
        </w:rPr>
        <w:t>.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eastAsia="Arial Unicode MS" w:cs="Times New Roman"/>
          <w:b/>
          <w:szCs w:val="24"/>
          <w:bdr w:val="nil"/>
          <w:lang w:val="en-US"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C05ACF" w:rsidRPr="00C05ACF" w:rsidRDefault="00C05ACF" w:rsidP="00C05ACF">
      <w:pPr>
        <w:rPr>
          <w:bdr w:val="nil"/>
          <w:lang w:val="en-US" w:eastAsia="ru-RU"/>
        </w:rPr>
      </w:pPr>
      <w:r w:rsidRPr="00C05ACF">
        <w:rPr>
          <w:bdr w:val="nil"/>
          <w:lang w:val="en-US" w:eastAsia="ru-RU"/>
        </w:rPr>
        <w:t>01.04.2021</w:t>
      </w:r>
    </w:p>
    <w:p w:rsidR="00C8596F" w:rsidRPr="00DA19D7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C05ACF" w:rsidRPr="00C05ACF" w:rsidRDefault="00C05ACF" w:rsidP="00C05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cs="Times New Roman"/>
          <w:szCs w:val="24"/>
        </w:rPr>
      </w:pPr>
      <w:r w:rsidRPr="00C05ACF">
        <w:rPr>
          <w:rFonts w:cs="Times New Roman"/>
          <w:szCs w:val="24"/>
        </w:rPr>
        <w:t>Всемирная организация здравоохранения (ВОЗ)</w:t>
      </w:r>
    </w:p>
    <w:p w:rsidR="00957A62" w:rsidRPr="00BD29EC" w:rsidRDefault="00957A62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cs="Times New Roman"/>
          <w:szCs w:val="24"/>
        </w:rPr>
      </w:pPr>
    </w:p>
    <w:p w:rsidR="00957A62" w:rsidRPr="00BD29EC" w:rsidRDefault="00957A62" w:rsidP="0075371E">
      <w:pPr>
        <w:pStyle w:val="MHeader"/>
        <w:jc w:val="both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C05ACF" w:rsidRPr="00C05ACF" w:rsidRDefault="00C05ACF" w:rsidP="00C05ACF">
      <w:pPr>
        <w:pStyle w:val="MText"/>
        <w:rPr>
          <w:rFonts w:eastAsiaTheme="minorHAnsi"/>
          <w:color w:val="auto"/>
          <w:sz w:val="24"/>
          <w:szCs w:val="24"/>
          <w:lang w:val="ru-RU" w:eastAsia="en-US"/>
        </w:rPr>
      </w:pPr>
      <w:proofErr w:type="spellStart"/>
      <w:r w:rsidRPr="00C05ACF">
        <w:rPr>
          <w:rFonts w:eastAsiaTheme="minorHAnsi"/>
          <w:color w:val="auto"/>
          <w:sz w:val="24"/>
          <w:szCs w:val="24"/>
          <w:lang w:val="ru-RU" w:eastAsia="en-US"/>
        </w:rPr>
        <w:t>Всемирная</w:t>
      </w:r>
      <w:proofErr w:type="spellEnd"/>
      <w:r w:rsidRPr="00C05ACF">
        <w:rPr>
          <w:rFonts w:eastAsiaTheme="minorHAns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C05ACF">
        <w:rPr>
          <w:rFonts w:eastAsiaTheme="minorHAnsi"/>
          <w:color w:val="auto"/>
          <w:sz w:val="24"/>
          <w:szCs w:val="24"/>
          <w:lang w:val="ru-RU" w:eastAsia="en-US"/>
        </w:rPr>
        <w:t>организация</w:t>
      </w:r>
      <w:proofErr w:type="spellEnd"/>
      <w:r w:rsidRPr="00C05ACF">
        <w:rPr>
          <w:rFonts w:eastAsiaTheme="minorHAnsi"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C05ACF">
        <w:rPr>
          <w:rFonts w:eastAsiaTheme="minorHAnsi"/>
          <w:color w:val="auto"/>
          <w:sz w:val="24"/>
          <w:szCs w:val="24"/>
          <w:lang w:val="ru-RU" w:eastAsia="en-US"/>
        </w:rPr>
        <w:t>здравоохранения</w:t>
      </w:r>
      <w:proofErr w:type="spellEnd"/>
      <w:r w:rsidRPr="00C05ACF">
        <w:rPr>
          <w:rFonts w:eastAsiaTheme="minorHAnsi"/>
          <w:color w:val="auto"/>
          <w:sz w:val="24"/>
          <w:szCs w:val="24"/>
          <w:lang w:val="ru-RU" w:eastAsia="en-US"/>
        </w:rPr>
        <w:t xml:space="preserve"> (ВОЗ)</w:t>
      </w:r>
    </w:p>
    <w:p w:rsidR="00957A62" w:rsidRPr="00BD29EC" w:rsidRDefault="00957A62" w:rsidP="0075371E">
      <w:pPr>
        <w:pStyle w:val="MText"/>
        <w:jc w:val="both"/>
        <w:rPr>
          <w:color w:val="auto"/>
          <w:sz w:val="24"/>
          <w:szCs w:val="24"/>
          <w:lang w:val="ru-RU"/>
        </w:rPr>
      </w:pPr>
    </w:p>
    <w:p w:rsidR="00957A62" w:rsidRPr="00BD29EC" w:rsidRDefault="00957A62" w:rsidP="0075371E">
      <w:pPr>
        <w:pStyle w:val="MHeader"/>
        <w:jc w:val="both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Default="00DA19D7" w:rsidP="00DA19D7">
      <w:pPr>
        <w:pStyle w:val="MText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ru-RU"/>
        </w:rPr>
        <w:t>Определение:</w:t>
      </w:r>
    </w:p>
    <w:p w:rsidR="00C05ACF" w:rsidRPr="009311E2" w:rsidRDefault="00C05ACF" w:rsidP="00C05ACF">
      <w:pPr>
        <w:shd w:val="clear" w:color="auto" w:fill="FFFFFF"/>
        <w:spacing w:after="0"/>
        <w:contextualSpacing/>
        <w:jc w:val="both"/>
        <w:rPr>
          <w:rFonts w:cs="Times New Roman"/>
          <w:bCs/>
        </w:rPr>
      </w:pPr>
      <w:r w:rsidRPr="009311E2">
        <w:rPr>
          <w:rFonts w:cs="Times New Roman"/>
          <w:bCs/>
        </w:rPr>
        <w:t xml:space="preserve">Процент инфекций кровотока, вызванных </w:t>
      </w:r>
      <w:proofErr w:type="gramStart"/>
      <w:r w:rsidRPr="009311E2">
        <w:rPr>
          <w:rFonts w:cs="Times New Roman"/>
          <w:bCs/>
        </w:rPr>
        <w:t>устойчивым</w:t>
      </w:r>
      <w:r>
        <w:rPr>
          <w:rFonts w:cs="Times New Roman"/>
          <w:bCs/>
        </w:rPr>
        <w:t>и</w:t>
      </w:r>
      <w:proofErr w:type="gramEnd"/>
      <w:r w:rsidRPr="009311E2">
        <w:rPr>
          <w:rFonts w:cs="Times New Roman"/>
          <w:bCs/>
        </w:rPr>
        <w:t xml:space="preserve"> к </w:t>
      </w:r>
      <w:proofErr w:type="spellStart"/>
      <w:r w:rsidRPr="009311E2">
        <w:rPr>
          <w:rFonts w:cs="Times New Roman"/>
          <w:bCs/>
        </w:rPr>
        <w:t>метициллину</w:t>
      </w:r>
      <w:proofErr w:type="spellEnd"/>
      <w:r w:rsidRPr="009311E2">
        <w:rPr>
          <w:rFonts w:cs="Times New Roman"/>
          <w:bCs/>
        </w:rPr>
        <w:t xml:space="preserve"> </w:t>
      </w:r>
      <w:proofErr w:type="spellStart"/>
      <w:r w:rsidRPr="009311E2">
        <w:rPr>
          <w:rFonts w:cs="Times New Roman"/>
          <w:bCs/>
          <w:i/>
        </w:rPr>
        <w:t>Staphylococcus</w:t>
      </w:r>
      <w:proofErr w:type="spellEnd"/>
      <w:r w:rsidRPr="009311E2">
        <w:rPr>
          <w:rFonts w:cs="Times New Roman"/>
          <w:bCs/>
          <w:i/>
        </w:rPr>
        <w:t xml:space="preserve"> </w:t>
      </w:r>
      <w:proofErr w:type="spellStart"/>
      <w:r w:rsidRPr="009311E2">
        <w:rPr>
          <w:rFonts w:cs="Times New Roman"/>
          <w:bCs/>
          <w:i/>
        </w:rPr>
        <w:t>aureus</w:t>
      </w:r>
      <w:proofErr w:type="spellEnd"/>
      <w:r w:rsidRPr="009311E2">
        <w:rPr>
          <w:rFonts w:cs="Times New Roman"/>
          <w:bCs/>
          <w:i/>
        </w:rPr>
        <w:t xml:space="preserve"> (MRSA)</w:t>
      </w:r>
      <w:r w:rsidRPr="009311E2">
        <w:rPr>
          <w:rFonts w:cs="Times New Roman"/>
          <w:bCs/>
        </w:rPr>
        <w:t xml:space="preserve"> и </w:t>
      </w:r>
      <w:proofErr w:type="spellStart"/>
      <w:r w:rsidRPr="009311E2">
        <w:rPr>
          <w:rFonts w:cs="Times New Roman"/>
          <w:bCs/>
          <w:i/>
        </w:rPr>
        <w:t>Escherichia</w:t>
      </w:r>
      <w:proofErr w:type="spellEnd"/>
      <w:r w:rsidRPr="009311E2">
        <w:rPr>
          <w:rFonts w:cs="Times New Roman"/>
          <w:bCs/>
          <w:i/>
        </w:rPr>
        <w:t xml:space="preserve"> </w:t>
      </w:r>
      <w:proofErr w:type="spellStart"/>
      <w:r w:rsidRPr="009311E2">
        <w:rPr>
          <w:rFonts w:cs="Times New Roman"/>
          <w:bCs/>
          <w:i/>
        </w:rPr>
        <w:t>coli</w:t>
      </w:r>
      <w:proofErr w:type="spellEnd"/>
      <w:r w:rsidRPr="009311E2">
        <w:rPr>
          <w:rFonts w:cs="Times New Roman"/>
          <w:bCs/>
        </w:rPr>
        <w:t xml:space="preserve">, устойчивым к цефалоспорину 3-го поколения (например, ESBL-E. </w:t>
      </w:r>
      <w:proofErr w:type="spellStart"/>
      <w:r w:rsidRPr="009311E2">
        <w:rPr>
          <w:rFonts w:cs="Times New Roman"/>
          <w:bCs/>
        </w:rPr>
        <w:t>coli</w:t>
      </w:r>
      <w:proofErr w:type="spellEnd"/>
      <w:r w:rsidRPr="009311E2">
        <w:rPr>
          <w:rFonts w:cs="Times New Roman"/>
          <w:bCs/>
        </w:rPr>
        <w:t>), среди пациентов, обращающихся за помощью и чей образец крови</w:t>
      </w:r>
      <w:r>
        <w:rPr>
          <w:rFonts w:cs="Times New Roman"/>
          <w:bCs/>
        </w:rPr>
        <w:t xml:space="preserve"> был</w:t>
      </w:r>
      <w:r w:rsidRPr="009311E2">
        <w:rPr>
          <w:rFonts w:cs="Times New Roman"/>
          <w:bCs/>
        </w:rPr>
        <w:t xml:space="preserve"> взят и проанализирован.</w:t>
      </w:r>
    </w:p>
    <w:p w:rsidR="00C05ACF" w:rsidRPr="009311E2" w:rsidRDefault="00C05ACF" w:rsidP="00C05ACF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cs="Times New Roman"/>
        </w:rPr>
      </w:pPr>
      <w:r w:rsidRPr="009311E2">
        <w:rPr>
          <w:rFonts w:cs="Times New Roman"/>
          <w:color w:val="000000"/>
        </w:rPr>
        <w:t xml:space="preserve">Предположительно устойчивые к </w:t>
      </w:r>
      <w:proofErr w:type="spellStart"/>
      <w:r w:rsidRPr="009311E2">
        <w:rPr>
          <w:rFonts w:cs="Times New Roman"/>
          <w:color w:val="000000"/>
        </w:rPr>
        <w:t>метициллину</w:t>
      </w:r>
      <w:proofErr w:type="spellEnd"/>
      <w:r w:rsidRPr="009311E2">
        <w:rPr>
          <w:rFonts w:cs="Times New Roman"/>
          <w:color w:val="000000"/>
        </w:rPr>
        <w:t xml:space="preserve"> </w:t>
      </w:r>
      <w:proofErr w:type="spellStart"/>
      <w:r w:rsidRPr="009311E2">
        <w:rPr>
          <w:rFonts w:cs="Times New Roman"/>
          <w:color w:val="000000"/>
        </w:rPr>
        <w:t>изоляты</w:t>
      </w:r>
      <w:proofErr w:type="spellEnd"/>
      <w:r w:rsidRPr="009311E2">
        <w:rPr>
          <w:rFonts w:cs="Times New Roman"/>
          <w:color w:val="000000"/>
        </w:rPr>
        <w:t xml:space="preserve"> </w:t>
      </w:r>
      <w:r w:rsidRPr="009311E2">
        <w:rPr>
          <w:rFonts w:cs="Times New Roman"/>
          <w:i/>
          <w:color w:val="000000"/>
        </w:rPr>
        <w:t xml:space="preserve">S. </w:t>
      </w:r>
      <w:proofErr w:type="spellStart"/>
      <w:r w:rsidRPr="009311E2">
        <w:rPr>
          <w:rFonts w:cs="Times New Roman"/>
          <w:i/>
          <w:color w:val="000000"/>
        </w:rPr>
        <w:t>aureus</w:t>
      </w:r>
      <w:proofErr w:type="spellEnd"/>
      <w:r w:rsidRPr="009311E2">
        <w:rPr>
          <w:rFonts w:cs="Times New Roman"/>
          <w:color w:val="000000"/>
        </w:rPr>
        <w:t xml:space="preserve"> (MRSA), определенные с помощью тестов минимальной ингибирующей концентрации оксациллина (</w:t>
      </w:r>
      <w:r>
        <w:rPr>
          <w:rFonts w:cs="Times New Roman"/>
          <w:color w:val="000000"/>
          <w:lang w:val="en-US"/>
        </w:rPr>
        <w:t>MIC</w:t>
      </w:r>
      <w:r w:rsidRPr="009311E2">
        <w:rPr>
          <w:rFonts w:cs="Times New Roman"/>
          <w:color w:val="000000"/>
        </w:rPr>
        <w:t xml:space="preserve">) и дисковой диффузии </w:t>
      </w:r>
      <w:proofErr w:type="spellStart"/>
      <w:r w:rsidRPr="009311E2">
        <w:rPr>
          <w:rFonts w:cs="Times New Roman"/>
          <w:color w:val="000000"/>
        </w:rPr>
        <w:t>цефокситина</w:t>
      </w:r>
      <w:proofErr w:type="spellEnd"/>
      <w:r w:rsidRPr="009311E2">
        <w:rPr>
          <w:rFonts w:cs="Times New Roman"/>
          <w:color w:val="000000"/>
        </w:rPr>
        <w:t xml:space="preserve"> в соответствии с текущими </w:t>
      </w:r>
      <w:proofErr w:type="spellStart"/>
      <w:r w:rsidRPr="009311E2">
        <w:rPr>
          <w:rFonts w:cs="Times New Roman"/>
          <w:color w:val="000000"/>
        </w:rPr>
        <w:t>международно</w:t>
      </w:r>
      <w:proofErr w:type="spellEnd"/>
      <w:r w:rsidRPr="009311E2">
        <w:rPr>
          <w:rFonts w:cs="Times New Roman"/>
          <w:color w:val="000000"/>
        </w:rPr>
        <w:t xml:space="preserve"> признанными клиническими контрольными точками (например, EUCAST или CLSI).</w:t>
      </w:r>
      <w:r>
        <w:rPr>
          <w:rStyle w:val="a6"/>
          <w:rFonts w:cs="Times New Roman"/>
          <w:color w:val="000000"/>
        </w:rPr>
        <w:footnoteReference w:id="1"/>
      </w:r>
    </w:p>
    <w:p w:rsidR="00C05ACF" w:rsidRPr="00C05ACF" w:rsidRDefault="00C05ACF" w:rsidP="00DA19D7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cs="Times New Roman"/>
        </w:rPr>
      </w:pPr>
      <w:r w:rsidRPr="00D659BD">
        <w:rPr>
          <w:rFonts w:cs="Times New Roman"/>
          <w:i/>
          <w:color w:val="000000"/>
        </w:rPr>
        <w:lastRenderedPageBreak/>
        <w:t xml:space="preserve">E. </w:t>
      </w:r>
      <w:proofErr w:type="spellStart"/>
      <w:r w:rsidRPr="00D659BD">
        <w:rPr>
          <w:rFonts w:cs="Times New Roman"/>
          <w:i/>
          <w:color w:val="000000"/>
        </w:rPr>
        <w:t>coli</w:t>
      </w:r>
      <w:proofErr w:type="spellEnd"/>
      <w:r w:rsidRPr="00D659BD">
        <w:rPr>
          <w:rFonts w:cs="Times New Roman"/>
          <w:color w:val="000000"/>
        </w:rPr>
        <w:t xml:space="preserve">, </w:t>
      </w:r>
      <w:proofErr w:type="gramStart"/>
      <w:r w:rsidRPr="00D659BD">
        <w:rPr>
          <w:rFonts w:cs="Times New Roman"/>
          <w:color w:val="000000"/>
        </w:rPr>
        <w:t>резистентная</w:t>
      </w:r>
      <w:proofErr w:type="gramEnd"/>
      <w:r w:rsidRPr="00D659BD">
        <w:rPr>
          <w:rFonts w:cs="Times New Roman"/>
          <w:color w:val="000000"/>
        </w:rPr>
        <w:t xml:space="preserve"> к цефалоспоринам третьего поколения: </w:t>
      </w:r>
      <w:proofErr w:type="spellStart"/>
      <w:r w:rsidRPr="00D659BD">
        <w:rPr>
          <w:rFonts w:cs="Times New Roman"/>
          <w:color w:val="000000"/>
        </w:rPr>
        <w:t>изоляты</w:t>
      </w:r>
      <w:proofErr w:type="spellEnd"/>
      <w:r w:rsidRPr="00D659BD">
        <w:rPr>
          <w:rFonts w:cs="Times New Roman"/>
          <w:color w:val="000000"/>
        </w:rPr>
        <w:t xml:space="preserve"> </w:t>
      </w:r>
      <w:r w:rsidRPr="00D659BD">
        <w:rPr>
          <w:rFonts w:cs="Times New Roman"/>
          <w:i/>
          <w:color w:val="000000"/>
        </w:rPr>
        <w:t>E</w:t>
      </w:r>
      <w:r w:rsidRPr="0042352E">
        <w:rPr>
          <w:rFonts w:cs="Times New Roman"/>
          <w:i/>
          <w:color w:val="000000"/>
        </w:rPr>
        <w:t xml:space="preserve">. </w:t>
      </w:r>
      <w:proofErr w:type="spellStart"/>
      <w:r w:rsidRPr="00D659BD">
        <w:rPr>
          <w:rFonts w:cs="Times New Roman"/>
          <w:i/>
          <w:color w:val="000000"/>
        </w:rPr>
        <w:t>coli</w:t>
      </w:r>
      <w:proofErr w:type="spellEnd"/>
      <w:r w:rsidRPr="0042352E">
        <w:rPr>
          <w:rFonts w:cs="Times New Roman"/>
          <w:i/>
          <w:color w:val="000000"/>
        </w:rPr>
        <w:t>,</w:t>
      </w:r>
      <w:r w:rsidRPr="00D659BD">
        <w:rPr>
          <w:rFonts w:cs="Times New Roman"/>
          <w:color w:val="000000"/>
        </w:rPr>
        <w:t xml:space="preserve"> устойчивые в соответствии с текущими </w:t>
      </w:r>
      <w:proofErr w:type="spellStart"/>
      <w:r w:rsidRPr="00D659BD">
        <w:rPr>
          <w:rFonts w:cs="Times New Roman"/>
          <w:color w:val="000000"/>
        </w:rPr>
        <w:t>международно</w:t>
      </w:r>
      <w:proofErr w:type="spellEnd"/>
      <w:r w:rsidRPr="00D659BD">
        <w:rPr>
          <w:rFonts w:cs="Times New Roman"/>
          <w:color w:val="000000"/>
        </w:rPr>
        <w:t xml:space="preserve"> признанными клиническими контрольными точками для цефалоспоринов третьего поколения (например, EUCAST или CLSI), в частности </w:t>
      </w:r>
      <w:proofErr w:type="spellStart"/>
      <w:r w:rsidRPr="00D659BD">
        <w:rPr>
          <w:rFonts w:cs="Times New Roman"/>
          <w:color w:val="000000"/>
        </w:rPr>
        <w:t>цефтриаксон</w:t>
      </w:r>
      <w:proofErr w:type="spellEnd"/>
      <w:r w:rsidRPr="00D659BD">
        <w:rPr>
          <w:rFonts w:cs="Times New Roman"/>
          <w:color w:val="000000"/>
        </w:rPr>
        <w:t xml:space="preserve">, </w:t>
      </w:r>
      <w:proofErr w:type="spellStart"/>
      <w:r w:rsidRPr="00D659BD">
        <w:rPr>
          <w:rFonts w:cs="Times New Roman"/>
          <w:color w:val="000000"/>
        </w:rPr>
        <w:t>цефотаксим</w:t>
      </w:r>
      <w:proofErr w:type="spellEnd"/>
      <w:r w:rsidRPr="00D659BD">
        <w:rPr>
          <w:rFonts w:cs="Times New Roman"/>
          <w:color w:val="000000"/>
        </w:rPr>
        <w:t xml:space="preserve"> или </w:t>
      </w:r>
      <w:proofErr w:type="spellStart"/>
      <w:r w:rsidRPr="00D659BD">
        <w:rPr>
          <w:rFonts w:cs="Times New Roman"/>
          <w:color w:val="000000"/>
        </w:rPr>
        <w:t>цефтазидим</w:t>
      </w:r>
      <w:proofErr w:type="spellEnd"/>
      <w:r w:rsidRPr="00D659BD">
        <w:rPr>
          <w:rFonts w:cs="Times New Roman"/>
          <w:color w:val="000000"/>
        </w:rPr>
        <w:t xml:space="preserve">. </w:t>
      </w:r>
      <w:r w:rsidRPr="00C05ACF">
        <w:rPr>
          <w:rFonts w:cs="Times New Roman"/>
          <w:color w:val="000000"/>
        </w:rPr>
        <w:t xml:space="preserve"> </w:t>
      </w:r>
    </w:p>
    <w:p w:rsidR="00407E4E" w:rsidRPr="00C05ACF" w:rsidRDefault="00407E4E" w:rsidP="00C05ACF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0A229E" w:rsidRPr="00BD29EC" w:rsidRDefault="000A229E" w:rsidP="00C05ACF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0A229E" w:rsidP="0075371E">
      <w:pPr>
        <w:pStyle w:val="MHeader"/>
        <w:jc w:val="both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jc w:val="both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C05ACF" w:rsidRPr="00DD190E" w:rsidRDefault="00C05ACF" w:rsidP="00DD190E">
      <w:pPr>
        <w:jc w:val="both"/>
        <w:rPr>
          <w:szCs w:val="24"/>
          <w:lang w:eastAsia="en-GB"/>
        </w:rPr>
      </w:pPr>
      <w:r w:rsidRPr="00DD190E">
        <w:rPr>
          <w:b/>
          <w:szCs w:val="24"/>
          <w:lang w:eastAsia="en-GB"/>
        </w:rPr>
        <w:t>Предпочитаемые источники:</w:t>
      </w:r>
      <w:r w:rsidRPr="00DD190E">
        <w:rPr>
          <w:szCs w:val="24"/>
          <w:lang w:eastAsia="en-GB"/>
        </w:rPr>
        <w:t xml:space="preserve"> Национальные данные об </w:t>
      </w:r>
      <w:r w:rsidR="00DD190E" w:rsidRPr="00DD190E">
        <w:rPr>
          <w:szCs w:val="24"/>
          <w:lang w:eastAsia="en-GB"/>
        </w:rPr>
        <w:t>Устойчивост</w:t>
      </w:r>
      <w:r w:rsidR="00DD190E">
        <w:rPr>
          <w:szCs w:val="24"/>
          <w:lang w:eastAsia="en-GB"/>
        </w:rPr>
        <w:t xml:space="preserve">и </w:t>
      </w:r>
      <w:r w:rsidR="00DD190E" w:rsidRPr="00DD190E">
        <w:rPr>
          <w:szCs w:val="24"/>
          <w:lang w:eastAsia="en-GB"/>
        </w:rPr>
        <w:t>к противомикробным препаратам (</w:t>
      </w:r>
      <w:r w:rsidRPr="00DD190E">
        <w:rPr>
          <w:szCs w:val="24"/>
          <w:lang w:eastAsia="en-GB"/>
        </w:rPr>
        <w:t>УПП</w:t>
      </w:r>
      <w:r w:rsidR="00DD190E" w:rsidRPr="00DD190E">
        <w:rPr>
          <w:szCs w:val="24"/>
          <w:lang w:eastAsia="en-GB"/>
        </w:rPr>
        <w:t>)</w:t>
      </w:r>
      <w:r w:rsidRPr="00DD190E">
        <w:rPr>
          <w:szCs w:val="24"/>
          <w:lang w:eastAsia="en-GB"/>
        </w:rPr>
        <w:t xml:space="preserve"> собираются через национальную систему </w:t>
      </w:r>
      <w:proofErr w:type="spellStart"/>
      <w:r w:rsidRPr="00DD190E">
        <w:rPr>
          <w:szCs w:val="24"/>
          <w:lang w:eastAsia="en-GB"/>
        </w:rPr>
        <w:t>эпиднадзора</w:t>
      </w:r>
      <w:proofErr w:type="spellEnd"/>
      <w:r w:rsidRPr="00DD190E">
        <w:rPr>
          <w:szCs w:val="24"/>
          <w:lang w:eastAsia="en-GB"/>
        </w:rPr>
        <w:t xml:space="preserve"> за УПП и передаются в GLASS.</w:t>
      </w:r>
    </w:p>
    <w:p w:rsidR="00C05ACF" w:rsidRDefault="00C05ACF" w:rsidP="00DD190E">
      <w:pPr>
        <w:jc w:val="both"/>
        <w:rPr>
          <w:szCs w:val="24"/>
        </w:rPr>
      </w:pPr>
      <w:r w:rsidRPr="00DD190E">
        <w:rPr>
          <w:szCs w:val="24"/>
        </w:rPr>
        <w:t xml:space="preserve">GLASS предлагает стандартизированный подход к сбору, анализу и обмену данными об УПП между странами и стремится задокументировать статус существующих или новых национальных систем </w:t>
      </w:r>
      <w:proofErr w:type="spellStart"/>
      <w:r w:rsidRPr="00DD190E">
        <w:rPr>
          <w:szCs w:val="24"/>
        </w:rPr>
        <w:t>эпиднадзора</w:t>
      </w:r>
      <w:proofErr w:type="spellEnd"/>
      <w:r w:rsidRPr="00DD190E">
        <w:rPr>
          <w:szCs w:val="24"/>
        </w:rPr>
        <w:t xml:space="preserve"> за УПП. Кроме того, GLASS способствует переходу от подходов к </w:t>
      </w:r>
      <w:proofErr w:type="spellStart"/>
      <w:r w:rsidRPr="00DD190E">
        <w:rPr>
          <w:szCs w:val="24"/>
        </w:rPr>
        <w:t>эпиднадзору</w:t>
      </w:r>
      <w:proofErr w:type="spellEnd"/>
      <w:r w:rsidRPr="00DD190E">
        <w:rPr>
          <w:szCs w:val="24"/>
        </w:rPr>
        <w:t xml:space="preserve">, основанных исключительно на лабораторных данных, к системе, включающей эпидемиологические, клинические данные и данные на уровне населения. GLASS также сотрудничает с региональными и национальными сетями </w:t>
      </w:r>
      <w:proofErr w:type="spellStart"/>
      <w:r w:rsidRPr="00DD190E">
        <w:rPr>
          <w:szCs w:val="24"/>
        </w:rPr>
        <w:t>эпиднадзора</w:t>
      </w:r>
      <w:proofErr w:type="spellEnd"/>
      <w:r w:rsidRPr="00DD190E">
        <w:rPr>
          <w:szCs w:val="24"/>
        </w:rPr>
        <w:t xml:space="preserve"> за УПП для получения своевременных и всеобъемлющих данных. Продолжается сотрудничество с Продовольственной и сельскохозяйственной организацией ООН (ФАО) и Всемирной организацией здравоохранения животных (МЭБ), которые вместе с ВОЗ образуют Трехстороннее сотрудничество, с целью улучшения всестороннего понимания УПП в различных секторах и продвижения единого подхода к здоровью. </w:t>
      </w:r>
    </w:p>
    <w:p w:rsidR="00DD190E" w:rsidRPr="00DD190E" w:rsidRDefault="00DD190E" w:rsidP="00DD190E">
      <w:pPr>
        <w:jc w:val="both"/>
        <w:rPr>
          <w:szCs w:val="24"/>
        </w:rPr>
      </w:pPr>
      <w:r w:rsidRPr="00DD190E">
        <w:rPr>
          <w:szCs w:val="24"/>
        </w:rPr>
        <w:t xml:space="preserve">GLASS также собирает информацию о состоянии национальных систем </w:t>
      </w:r>
      <w:proofErr w:type="spellStart"/>
      <w:r w:rsidRPr="00DD190E">
        <w:rPr>
          <w:szCs w:val="24"/>
        </w:rPr>
        <w:t>эпиднадзора</w:t>
      </w:r>
      <w:proofErr w:type="spellEnd"/>
      <w:r w:rsidRPr="00DD190E">
        <w:rPr>
          <w:szCs w:val="24"/>
        </w:rPr>
        <w:t xml:space="preserve"> за УПП с помощью короткого вопросника, заполняемого н</w:t>
      </w:r>
      <w:r>
        <w:rPr>
          <w:szCs w:val="24"/>
        </w:rPr>
        <w:t>ациональными координаторами (НК</w:t>
      </w:r>
      <w:r w:rsidRPr="00DD190E">
        <w:rPr>
          <w:szCs w:val="24"/>
        </w:rPr>
        <w:t xml:space="preserve">) по УПП в каждой стране. Анкета охватывает три основные области: 1) общая координация; 2) система наблюдения; и 3) контроль качества. Каждая область состоит из набора показателей, разработанных для измерения развития и укрепления национального </w:t>
      </w:r>
      <w:proofErr w:type="spellStart"/>
      <w:r w:rsidRPr="00DD190E">
        <w:rPr>
          <w:szCs w:val="24"/>
        </w:rPr>
        <w:t>эпиднадзора</w:t>
      </w:r>
      <w:proofErr w:type="spellEnd"/>
      <w:r w:rsidRPr="00DD190E">
        <w:rPr>
          <w:szCs w:val="24"/>
        </w:rPr>
        <w:t xml:space="preserve"> за УПП.</w:t>
      </w:r>
    </w:p>
    <w:p w:rsidR="00DD190E" w:rsidRPr="00DD190E" w:rsidRDefault="00DD190E" w:rsidP="00DD190E">
      <w:pPr>
        <w:jc w:val="both"/>
        <w:rPr>
          <w:szCs w:val="24"/>
        </w:rPr>
      </w:pPr>
      <w:r w:rsidRPr="00DD190E">
        <w:rPr>
          <w:szCs w:val="24"/>
        </w:rPr>
        <w:t xml:space="preserve">Другие возможные источники данных: Опубликованные и неопубликованные данные национальных центров и научно-исследовательских/академических учреждений, а также других региональных сетей </w:t>
      </w:r>
      <w:proofErr w:type="spellStart"/>
      <w:r w:rsidRPr="00DD190E">
        <w:rPr>
          <w:szCs w:val="24"/>
        </w:rPr>
        <w:t>эпиднадзора</w:t>
      </w:r>
      <w:proofErr w:type="spellEnd"/>
      <w:r w:rsidRPr="00DD190E">
        <w:rPr>
          <w:szCs w:val="24"/>
        </w:rPr>
        <w:t>.</w:t>
      </w:r>
    </w:p>
    <w:p w:rsidR="000A229E" w:rsidRPr="00BD29EC" w:rsidRDefault="000A229E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0A229E" w:rsidRDefault="000A229E" w:rsidP="0075371E">
      <w:pPr>
        <w:pStyle w:val="MHeader2"/>
        <w:jc w:val="both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BC4A80" w:rsidRPr="00BC4A80" w:rsidRDefault="00BC4A80" w:rsidP="00BC4A80">
      <w:pPr>
        <w:rPr>
          <w:szCs w:val="24"/>
        </w:rPr>
      </w:pPr>
      <w:r w:rsidRPr="00BC4A80">
        <w:rPr>
          <w:szCs w:val="24"/>
        </w:rPr>
        <w:t>Ежегодно</w:t>
      </w:r>
      <w:r>
        <w:rPr>
          <w:szCs w:val="24"/>
        </w:rPr>
        <w:t>.</w:t>
      </w:r>
    </w:p>
    <w:p w:rsidR="000A229E" w:rsidRPr="00BD29EC" w:rsidRDefault="000A229E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0A229E" w:rsidRDefault="000A229E" w:rsidP="0075371E">
      <w:pPr>
        <w:pStyle w:val="MHeader2"/>
        <w:jc w:val="both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3A68FA" w:rsidRPr="003A68FA" w:rsidRDefault="003A68FA" w:rsidP="003A68FA">
      <w:r w:rsidRPr="003A68FA">
        <w:t>Министерства здравоохранения</w:t>
      </w:r>
      <w:r>
        <w:t>.</w:t>
      </w:r>
    </w:p>
    <w:p w:rsidR="000A229E" w:rsidRDefault="000A229E" w:rsidP="0075371E">
      <w:pPr>
        <w:pStyle w:val="MHeader2"/>
        <w:jc w:val="both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3A68FA" w:rsidRPr="003A68FA" w:rsidRDefault="003A68FA" w:rsidP="003A68FA">
      <w:r w:rsidRPr="003A68FA">
        <w:t>ВОЗ.</w:t>
      </w:r>
    </w:p>
    <w:p w:rsidR="000A229E" w:rsidRPr="00BD29EC" w:rsidRDefault="000A229E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980F7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cs="Times New Roman"/>
          <w:b/>
          <w:szCs w:val="24"/>
        </w:rPr>
      </w:pPr>
    </w:p>
    <w:p w:rsidR="002E15F9" w:rsidRPr="00BD29EC" w:rsidRDefault="002E15F9" w:rsidP="0075371E">
      <w:pPr>
        <w:pStyle w:val="MHeader"/>
        <w:jc w:val="both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3A68FA" w:rsidRPr="003A68FA" w:rsidRDefault="003A68FA" w:rsidP="003A68FA">
      <w:pPr>
        <w:spacing w:after="120" w:line="240" w:lineRule="auto"/>
        <w:jc w:val="both"/>
        <w:rPr>
          <w:rFonts w:eastAsia="SimSun" w:cs="Times New Roman"/>
          <w:bCs/>
          <w:lang w:eastAsia="zh-CN"/>
        </w:rPr>
      </w:pPr>
      <w:r w:rsidRPr="003A68FA">
        <w:rPr>
          <w:rFonts w:eastAsia="SimSun" w:cs="Times New Roman"/>
          <w:bCs/>
          <w:lang w:eastAsia="zh-CN"/>
        </w:rPr>
        <w:t>Устойчивость к противомикробным препаратам (УПП) представляет собой глобальную угрозу здоровью, источникам сре</w:t>
      </w:r>
      <w:proofErr w:type="gramStart"/>
      <w:r w:rsidRPr="003A68FA">
        <w:rPr>
          <w:rFonts w:eastAsia="SimSun" w:cs="Times New Roman"/>
          <w:bCs/>
          <w:lang w:eastAsia="zh-CN"/>
        </w:rPr>
        <w:t>дств к с</w:t>
      </w:r>
      <w:proofErr w:type="gramEnd"/>
      <w:r w:rsidRPr="003A68FA">
        <w:rPr>
          <w:rFonts w:eastAsia="SimSun" w:cs="Times New Roman"/>
          <w:bCs/>
          <w:lang w:eastAsia="zh-CN"/>
        </w:rPr>
        <w:t>уществованию, продовольственной безопасности и достижению многих целей в области устойчивого развития. Антибиотики, противовирусные, противопаразитарные и противогрибковые препараты становятся все более неэффективными из-за резистентности, развивающейся в результате их чрезмерного или ненадлежащего использования, с серьезными последствиями для здоровья человека и животных (наземных и водных) и растений, а также негативным воздействием на производство продуктов питания, окружающую среду и мировая экономика</w:t>
      </w:r>
      <w:r w:rsidRPr="003A68FA">
        <w:rPr>
          <w:rFonts w:eastAsia="SimSun" w:cs="Times New Roman"/>
          <w:bCs/>
          <w:vertAlign w:val="superscript"/>
          <w:lang w:val="en-GB" w:eastAsia="zh-CN"/>
        </w:rPr>
        <w:footnoteReference w:id="2"/>
      </w:r>
      <w:r w:rsidRPr="003A68FA">
        <w:rPr>
          <w:rFonts w:eastAsia="SimSun" w:cs="Times New Roman"/>
          <w:bCs/>
          <w:lang w:eastAsia="zh-CN"/>
        </w:rPr>
        <w:t>.</w:t>
      </w:r>
    </w:p>
    <w:p w:rsidR="003A68FA" w:rsidRPr="003A68FA" w:rsidRDefault="003A68FA" w:rsidP="003A68FA">
      <w:pPr>
        <w:spacing w:after="120" w:line="240" w:lineRule="auto"/>
        <w:jc w:val="both"/>
        <w:rPr>
          <w:rFonts w:eastAsia="SimSun" w:cs="Times New Roman"/>
          <w:bCs/>
          <w:lang w:eastAsia="zh-CN"/>
        </w:rPr>
      </w:pPr>
      <w:r w:rsidRPr="003A68FA">
        <w:rPr>
          <w:rFonts w:eastAsia="SimSun" w:cs="Times New Roman"/>
          <w:bCs/>
          <w:lang w:eastAsia="zh-CN"/>
        </w:rPr>
        <w:t xml:space="preserve">В частности, устойчивость к противомикробным препаратам будет отрицательно влиять на достижение многих целей, перечисленных в цели 3, из-за сокращения вариантов лечения инфекций, вызываемых </w:t>
      </w:r>
      <w:proofErr w:type="gramStart"/>
      <w:r w:rsidRPr="003A68FA">
        <w:rPr>
          <w:rFonts w:eastAsia="SimSun" w:cs="Times New Roman"/>
          <w:bCs/>
          <w:lang w:eastAsia="zh-CN"/>
        </w:rPr>
        <w:t>устойчивыми</w:t>
      </w:r>
      <w:proofErr w:type="gramEnd"/>
      <w:r w:rsidRPr="003A68FA">
        <w:rPr>
          <w:rFonts w:eastAsia="SimSun" w:cs="Times New Roman"/>
          <w:bCs/>
          <w:lang w:eastAsia="zh-CN"/>
        </w:rPr>
        <w:t xml:space="preserve"> патогенами; повлияет на цели в рамках Цели 2, повлияв на продуктивность сельского хозяйства, включая животноводство; и повлияет на достижение Цели 1, поскольку повышение устойчивости к противомикробным препаратам приведет к значительному снижению экономического роста, увеличит экономическое неравенство и к 2030 году еще 24 миллиона человек окажутся в крайней нищете.</w:t>
      </w:r>
      <w:r w:rsidRPr="003A68FA">
        <w:rPr>
          <w:rFonts w:eastAsia="SimSun" w:cs="Times New Roman"/>
          <w:bCs/>
          <w:vertAlign w:val="superscript"/>
          <w:lang w:val="en-GB" w:eastAsia="zh-CN"/>
        </w:rPr>
        <w:footnoteReference w:id="3"/>
      </w:r>
    </w:p>
    <w:p w:rsidR="003A68FA" w:rsidRPr="003A68FA" w:rsidRDefault="003A68FA" w:rsidP="003A68FA">
      <w:pPr>
        <w:jc w:val="both"/>
        <w:rPr>
          <w:rFonts w:eastAsia="SimSun" w:cs="Times New Roman"/>
          <w:bCs/>
          <w:lang w:eastAsia="zh-CN"/>
        </w:rPr>
      </w:pPr>
      <w:r w:rsidRPr="003A68FA">
        <w:rPr>
          <w:rFonts w:eastAsia="SimSun" w:cs="Times New Roman"/>
          <w:bCs/>
          <w:lang w:eastAsia="zh-CN"/>
        </w:rPr>
        <w:t xml:space="preserve">Учитывая вышеупомянутый контекст, существует острая необходимость в наращивании потенциала страны, особенно в развивающихся странах, для устранения этого растущего национального и глобального </w:t>
      </w:r>
      <w:proofErr w:type="spellStart"/>
      <w:r w:rsidRPr="003A68FA">
        <w:rPr>
          <w:rFonts w:eastAsia="SimSun" w:cs="Times New Roman"/>
          <w:bCs/>
          <w:lang w:eastAsia="zh-CN"/>
        </w:rPr>
        <w:t>межсекторального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риска. Текущий показатель (3.</w:t>
      </w:r>
      <w:r w:rsidRPr="003A68FA">
        <w:rPr>
          <w:rFonts w:eastAsia="SimSun" w:cs="Times New Roman"/>
          <w:bCs/>
          <w:lang w:val="en-GB" w:eastAsia="zh-CN"/>
        </w:rPr>
        <w:t>d</w:t>
      </w:r>
      <w:r w:rsidRPr="003A68FA">
        <w:rPr>
          <w:rFonts w:eastAsia="SimSun" w:cs="Times New Roman"/>
          <w:bCs/>
          <w:lang w:eastAsia="zh-CN"/>
        </w:rPr>
        <w:t>.1) для задачи 3.</w:t>
      </w:r>
      <w:r w:rsidRPr="003A68FA">
        <w:rPr>
          <w:rFonts w:eastAsia="SimSun" w:cs="Times New Roman"/>
          <w:bCs/>
          <w:lang w:val="en-GB" w:eastAsia="zh-CN"/>
        </w:rPr>
        <w:t>d</w:t>
      </w:r>
      <w:r w:rsidRPr="003A68FA">
        <w:rPr>
          <w:rFonts w:eastAsia="SimSun" w:cs="Times New Roman"/>
          <w:bCs/>
          <w:lang w:eastAsia="zh-CN"/>
        </w:rPr>
        <w:t xml:space="preserve"> сосредоточен на укреплении 13 основных возможностей - важного потенциала общественного здравоохранения, который государства-участники должны иметь на своей территории в соответствии с требованиями ММСП (2005 г.) к году. 2012. Хотя некоторые из этих 13 основных возможностей</w:t>
      </w:r>
      <w:r w:rsidRPr="003A68FA">
        <w:rPr>
          <w:rFonts w:eastAsia="SimSun" w:cs="Times New Roman"/>
          <w:bCs/>
          <w:vertAlign w:val="superscript"/>
          <w:lang w:eastAsia="zh-CN"/>
        </w:rPr>
        <w:footnoteReference w:id="4"/>
      </w:r>
      <w:r w:rsidRPr="003A68FA">
        <w:rPr>
          <w:rFonts w:eastAsia="SimSun" w:cs="Times New Roman"/>
          <w:bCs/>
          <w:lang w:eastAsia="zh-CN"/>
        </w:rPr>
        <w:t xml:space="preserve"> можно считать «чувствительными к УПП», они специально не отслеживают и не устраняют значительные риски, связанные с УПП. </w:t>
      </w:r>
      <w:proofErr w:type="gramStart"/>
      <w:r w:rsidRPr="003A68FA">
        <w:rPr>
          <w:rFonts w:eastAsia="SimSun" w:cs="Times New Roman"/>
          <w:bCs/>
          <w:lang w:eastAsia="zh-CN"/>
        </w:rPr>
        <w:t xml:space="preserve">Так, с </w:t>
      </w:r>
      <w:r w:rsidRPr="003A68FA">
        <w:rPr>
          <w:rFonts w:eastAsia="SimSun" w:cs="Times New Roman"/>
          <w:bCs/>
          <w:lang w:eastAsia="zh-CN"/>
        </w:rPr>
        <w:lastRenderedPageBreak/>
        <w:t>принятием Всемирной ассамблеей здравоохранения Глобального плана действий по УПП в 2015 г., принятием Политической декларации по УПП на заседании высокого уровня Генеральной Ассамблеи ООН в 2016 г. и отчета в 2019 г. -</w:t>
      </w:r>
      <w:r w:rsidRPr="003A68FA">
        <w:rPr>
          <w:rFonts w:eastAsia="SimSun" w:cs="Times New Roman"/>
          <w:bCs/>
          <w:lang w:val="en-GB" w:eastAsia="zh-CN"/>
        </w:rPr>
        <w:t>hoc</w:t>
      </w:r>
      <w:r w:rsidRPr="003A68FA">
        <w:rPr>
          <w:rFonts w:eastAsia="SimSun" w:cs="Times New Roman"/>
          <w:bCs/>
          <w:lang w:eastAsia="zh-CN"/>
        </w:rPr>
        <w:t xml:space="preserve"> </w:t>
      </w:r>
      <w:proofErr w:type="spellStart"/>
      <w:r w:rsidRPr="003A68FA">
        <w:rPr>
          <w:rFonts w:eastAsia="SimSun" w:cs="Times New Roman"/>
          <w:bCs/>
          <w:lang w:eastAsia="zh-CN"/>
        </w:rPr>
        <w:t>Межучрежденческая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координационная группа, созданная Генеральным секретарем ООН, была выявлена ​​срочная необходимость в дополнительном индикаторе УПП, который следует рассмотреть для включения в глобальную структуру индикаторов ЦУР.</w:t>
      </w:r>
      <w:proofErr w:type="gramEnd"/>
    </w:p>
    <w:p w:rsidR="003A68FA" w:rsidRPr="003A68FA" w:rsidRDefault="003A68FA" w:rsidP="003A68FA">
      <w:pPr>
        <w:jc w:val="both"/>
        <w:rPr>
          <w:rFonts w:eastAsia="SimSun" w:cs="Times New Roman"/>
          <w:bCs/>
          <w:lang w:eastAsia="zh-CN"/>
        </w:rPr>
      </w:pPr>
      <w:r w:rsidRPr="003A68FA">
        <w:rPr>
          <w:rFonts w:eastAsia="SimSun" w:cs="Times New Roman"/>
          <w:bCs/>
          <w:lang w:eastAsia="zh-CN"/>
        </w:rPr>
        <w:t xml:space="preserve">Этот новый предложенный индикатор, основанный на создании функциональной национальной системы </w:t>
      </w:r>
      <w:proofErr w:type="spellStart"/>
      <w:r w:rsidRPr="003A68FA">
        <w:rPr>
          <w:rFonts w:eastAsia="SimSun" w:cs="Times New Roman"/>
          <w:bCs/>
          <w:lang w:eastAsia="zh-CN"/>
        </w:rPr>
        <w:t>эпиднадзора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за УПП, считается основным строительным блоком для мониторинга УПП и ответных мер в странах. </w:t>
      </w:r>
      <w:proofErr w:type="spellStart"/>
      <w:r w:rsidRPr="003A68FA">
        <w:rPr>
          <w:rFonts w:eastAsia="SimSun" w:cs="Times New Roman"/>
          <w:bCs/>
          <w:lang w:eastAsia="zh-CN"/>
        </w:rPr>
        <w:t>Эпиднадзор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является краеугольным камнем для оценки распространения УПП, обеспечения раннего предупреждения, информирования и мониторинга воздействия местных, национальных и глобальных стратегий снижения и управления рисками. Глобальная система </w:t>
      </w:r>
      <w:proofErr w:type="spellStart"/>
      <w:r w:rsidRPr="003A68FA">
        <w:rPr>
          <w:rFonts w:eastAsia="SimSun" w:cs="Times New Roman"/>
          <w:bCs/>
          <w:lang w:eastAsia="zh-CN"/>
        </w:rPr>
        <w:t>эпиднадзора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за противомикробными препаратами (</w:t>
      </w:r>
      <w:r w:rsidRPr="003A68FA">
        <w:rPr>
          <w:rFonts w:eastAsia="SimSun" w:cs="Times New Roman"/>
          <w:bCs/>
          <w:lang w:val="en-GB" w:eastAsia="zh-CN"/>
        </w:rPr>
        <w:t>GLASS</w:t>
      </w:r>
      <w:r w:rsidRPr="003A68FA">
        <w:rPr>
          <w:rFonts w:eastAsia="SimSun" w:cs="Times New Roman"/>
          <w:bCs/>
          <w:vertAlign w:val="superscript"/>
          <w:lang w:val="en-GB" w:eastAsia="zh-CN"/>
        </w:rPr>
        <w:footnoteReference w:id="5"/>
      </w:r>
      <w:r w:rsidRPr="003A68FA">
        <w:rPr>
          <w:rFonts w:eastAsia="SimSun" w:cs="Times New Roman"/>
          <w:bCs/>
          <w:lang w:eastAsia="zh-CN"/>
        </w:rPr>
        <w:t xml:space="preserve">), управляемая ВОЗ, рекомендует создать три основных компонента для создания хорошо функционирующей национальной системы </w:t>
      </w:r>
      <w:proofErr w:type="spellStart"/>
      <w:r w:rsidRPr="003A68FA">
        <w:rPr>
          <w:rFonts w:eastAsia="SimSun" w:cs="Times New Roman"/>
          <w:bCs/>
          <w:lang w:eastAsia="zh-CN"/>
        </w:rPr>
        <w:t>эпиднадзора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за УПП: 1) Национальный координационный центр (</w:t>
      </w:r>
      <w:r w:rsidRPr="003A68FA">
        <w:rPr>
          <w:rFonts w:eastAsia="SimSun" w:cs="Times New Roman"/>
          <w:bCs/>
          <w:lang w:val="en-GB" w:eastAsia="zh-CN"/>
        </w:rPr>
        <w:t>NCC</w:t>
      </w:r>
      <w:r w:rsidRPr="003A68FA">
        <w:rPr>
          <w:rFonts w:eastAsia="SimSun" w:cs="Times New Roman"/>
          <w:bCs/>
          <w:lang w:eastAsia="zh-CN"/>
        </w:rPr>
        <w:t>); 2) Национальная справочная лаборатория (</w:t>
      </w:r>
      <w:r w:rsidRPr="003A68FA">
        <w:rPr>
          <w:rFonts w:eastAsia="SimSun" w:cs="Times New Roman"/>
          <w:bCs/>
          <w:lang w:val="en-GB" w:eastAsia="zh-CN"/>
        </w:rPr>
        <w:t>NRL</w:t>
      </w:r>
      <w:r w:rsidRPr="003A68FA">
        <w:rPr>
          <w:rFonts w:eastAsia="SimSun" w:cs="Times New Roman"/>
          <w:bCs/>
          <w:lang w:eastAsia="zh-CN"/>
        </w:rPr>
        <w:t xml:space="preserve">); и 3) пункты дозорного </w:t>
      </w:r>
      <w:proofErr w:type="spellStart"/>
      <w:r w:rsidRPr="003A68FA">
        <w:rPr>
          <w:rFonts w:eastAsia="SimSun" w:cs="Times New Roman"/>
          <w:bCs/>
          <w:lang w:eastAsia="zh-CN"/>
        </w:rPr>
        <w:t>эпиднадзора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, где собираются как диагностические, так и эпидемиологические данные. </w:t>
      </w:r>
    </w:p>
    <w:p w:rsidR="003A68FA" w:rsidRPr="003A68FA" w:rsidRDefault="003A68FA" w:rsidP="003A68FA">
      <w:pPr>
        <w:jc w:val="both"/>
        <w:rPr>
          <w:rFonts w:eastAsia="SimSun" w:cs="Times New Roman"/>
          <w:bCs/>
          <w:lang w:eastAsia="zh-CN"/>
        </w:rPr>
      </w:pPr>
      <w:r w:rsidRPr="003A68FA">
        <w:rPr>
          <w:rFonts w:eastAsia="SimSun" w:cs="Times New Roman"/>
          <w:bCs/>
          <w:lang w:eastAsia="zh-CN"/>
        </w:rPr>
        <w:t xml:space="preserve">Таким образом, этот новый предложенный индикатор поможет ускорить создание национальных систем </w:t>
      </w:r>
      <w:proofErr w:type="spellStart"/>
      <w:r w:rsidRPr="003A68FA">
        <w:rPr>
          <w:rFonts w:eastAsia="SimSun" w:cs="Times New Roman"/>
          <w:bCs/>
          <w:lang w:eastAsia="zh-CN"/>
        </w:rPr>
        <w:t>эпиднадзора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за УПП для обеспечения сбора данных на национальном уровне, а также может использоваться для отслеживания прогресса в укреплении потенциала страны в области раннего предупреждения вспышек устойчивых инфекций. Предлагаемый показатель направлен на рассмотрение важнейших элементов задачи 3.</w:t>
      </w:r>
      <w:r w:rsidRPr="003A68FA">
        <w:rPr>
          <w:rFonts w:eastAsia="SimSun" w:cs="Times New Roman"/>
          <w:bCs/>
          <w:lang w:val="en-GB" w:eastAsia="zh-CN"/>
        </w:rPr>
        <w:t>d</w:t>
      </w:r>
      <w:r w:rsidRPr="003A68FA">
        <w:rPr>
          <w:rFonts w:eastAsia="SimSun" w:cs="Times New Roman"/>
          <w:bCs/>
          <w:lang w:eastAsia="zh-CN"/>
        </w:rPr>
        <w:t xml:space="preserve"> ЦУР посредством стратегического подхода, основанного на данных, собранных с помощью этого показателя, а также позволяет «укрепить потенциал всех стран, в частности развивающихся стран», «сократить» и «управление национальными рисками» и, как часть системы глобального мониторинга ЦУР, «глобальными рисками для здоровья». Полученные таким образом данные </w:t>
      </w:r>
      <w:proofErr w:type="spellStart"/>
      <w:r w:rsidRPr="003A68FA">
        <w:rPr>
          <w:rFonts w:eastAsia="SimSun" w:cs="Times New Roman"/>
          <w:bCs/>
          <w:lang w:eastAsia="zh-CN"/>
        </w:rPr>
        <w:t>эпиднадзора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и диагностики также помогут странам заблаговременно предупреждать о готовности общественного здравоохранения и принимать соответствующие ответные меры. </w:t>
      </w:r>
    </w:p>
    <w:p w:rsidR="003A68FA" w:rsidRPr="003A68FA" w:rsidRDefault="003A68FA" w:rsidP="003A68FA">
      <w:pPr>
        <w:jc w:val="both"/>
        <w:rPr>
          <w:rFonts w:eastAsia="SimSun" w:cs="Times New Roman"/>
          <w:bCs/>
          <w:lang w:eastAsia="zh-CN"/>
        </w:rPr>
      </w:pPr>
      <w:r w:rsidRPr="003A68FA">
        <w:rPr>
          <w:rFonts w:eastAsia="SimSun" w:cs="Times New Roman"/>
          <w:b/>
          <w:bCs/>
          <w:sz w:val="28"/>
          <w:lang w:eastAsia="zh-CN"/>
        </w:rPr>
        <w:t>Обоснование выбора типов микроорганизмов УПП</w:t>
      </w:r>
      <w:r w:rsidRPr="003A68FA">
        <w:rPr>
          <w:rFonts w:eastAsia="SimSun" w:cs="Times New Roman"/>
          <w:bCs/>
          <w:lang w:eastAsia="zh-CN"/>
        </w:rPr>
        <w:t xml:space="preserve">: </w:t>
      </w:r>
    </w:p>
    <w:p w:rsidR="003A68FA" w:rsidRPr="003A68FA" w:rsidRDefault="003A68FA" w:rsidP="003A68FA">
      <w:pPr>
        <w:shd w:val="clear" w:color="auto" w:fill="FFFFFF"/>
        <w:spacing w:after="0"/>
        <w:contextualSpacing/>
        <w:jc w:val="both"/>
        <w:rPr>
          <w:rFonts w:eastAsia="SimSun" w:cs="Times New Roman"/>
          <w:bCs/>
          <w:lang w:eastAsia="zh-CN"/>
        </w:rPr>
      </w:pPr>
      <w:r w:rsidRPr="003A68FA">
        <w:rPr>
          <w:rFonts w:eastAsia="SimSun" w:cs="Times New Roman"/>
          <w:bCs/>
          <w:lang w:eastAsia="zh-CN"/>
        </w:rPr>
        <w:t>(</w:t>
      </w:r>
      <w:proofErr w:type="spellStart"/>
      <w:r w:rsidRPr="003A68FA">
        <w:rPr>
          <w:rFonts w:eastAsia="SimSun" w:cs="Times New Roman"/>
          <w:bCs/>
          <w:lang w:val="en-GB" w:eastAsia="zh-CN"/>
        </w:rPr>
        <w:t>i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) </w:t>
      </w:r>
      <w:r w:rsidRPr="003A68FA">
        <w:rPr>
          <w:rFonts w:eastAsia="SimSun" w:cs="Times New Roman"/>
          <w:bCs/>
          <w:i/>
          <w:lang w:val="en-GB" w:eastAsia="zh-CN"/>
        </w:rPr>
        <w:t>E</w:t>
      </w:r>
      <w:r w:rsidRPr="003A68FA">
        <w:rPr>
          <w:rFonts w:eastAsia="SimSun" w:cs="Times New Roman"/>
          <w:bCs/>
          <w:i/>
          <w:lang w:eastAsia="zh-CN"/>
        </w:rPr>
        <w:t xml:space="preserve">. </w:t>
      </w:r>
      <w:r w:rsidRPr="003A68FA">
        <w:rPr>
          <w:rFonts w:eastAsia="SimSun" w:cs="Times New Roman"/>
          <w:bCs/>
          <w:i/>
          <w:lang w:val="en-GB" w:eastAsia="zh-CN"/>
        </w:rPr>
        <w:t>coli</w:t>
      </w:r>
      <w:r w:rsidRPr="003A68FA">
        <w:rPr>
          <w:rFonts w:eastAsia="SimSun" w:cs="Times New Roman"/>
          <w:bCs/>
          <w:lang w:eastAsia="zh-CN"/>
        </w:rPr>
        <w:t xml:space="preserve"> и </w:t>
      </w:r>
      <w:r w:rsidRPr="003A68FA">
        <w:rPr>
          <w:rFonts w:eastAsia="SimSun" w:cs="Times New Roman"/>
          <w:bCs/>
          <w:i/>
          <w:lang w:val="en-GB" w:eastAsia="zh-CN"/>
        </w:rPr>
        <w:t>S</w:t>
      </w:r>
      <w:r w:rsidRPr="003A68FA">
        <w:rPr>
          <w:rFonts w:eastAsia="SimSun" w:cs="Times New Roman"/>
          <w:bCs/>
          <w:i/>
          <w:lang w:eastAsia="zh-CN"/>
        </w:rPr>
        <w:t xml:space="preserve">. </w:t>
      </w:r>
      <w:r w:rsidRPr="003A68FA">
        <w:rPr>
          <w:rFonts w:eastAsia="SimSun" w:cs="Times New Roman"/>
          <w:bCs/>
          <w:i/>
          <w:lang w:val="en-GB" w:eastAsia="zh-CN"/>
        </w:rPr>
        <w:t>aureus</w:t>
      </w:r>
      <w:r w:rsidRPr="003A68FA">
        <w:rPr>
          <w:rFonts w:eastAsia="SimSun" w:cs="Times New Roman"/>
          <w:bCs/>
          <w:lang w:eastAsia="zh-CN"/>
        </w:rPr>
        <w:t xml:space="preserve"> являются одними из наиболее распространенных быстрорастущих бактерий человека, вызывающих острые инфекции у человека;</w:t>
      </w:r>
    </w:p>
    <w:p w:rsidR="003A68FA" w:rsidRPr="003A68FA" w:rsidRDefault="003A68FA" w:rsidP="003A68FA">
      <w:pPr>
        <w:shd w:val="clear" w:color="auto" w:fill="FFFFFF"/>
        <w:spacing w:after="0"/>
        <w:contextualSpacing/>
        <w:jc w:val="both"/>
        <w:rPr>
          <w:rFonts w:eastAsia="SimSun" w:cs="Times New Roman"/>
          <w:bCs/>
          <w:lang w:eastAsia="zh-CN"/>
        </w:rPr>
      </w:pPr>
      <w:r w:rsidRPr="003A68FA">
        <w:rPr>
          <w:rFonts w:eastAsia="SimSun" w:cs="Times New Roman"/>
          <w:bCs/>
          <w:lang w:eastAsia="zh-CN"/>
        </w:rPr>
        <w:t>(</w:t>
      </w:r>
      <w:r w:rsidRPr="003A68FA">
        <w:rPr>
          <w:rFonts w:eastAsia="SimSun" w:cs="Times New Roman"/>
          <w:bCs/>
          <w:lang w:val="en-GB" w:eastAsia="zh-CN"/>
        </w:rPr>
        <w:t>ii</w:t>
      </w:r>
      <w:r w:rsidRPr="003A68FA">
        <w:rPr>
          <w:rFonts w:eastAsia="SimSun" w:cs="Times New Roman"/>
          <w:bCs/>
          <w:lang w:eastAsia="zh-CN"/>
        </w:rPr>
        <w:t xml:space="preserve">) </w:t>
      </w:r>
      <w:r w:rsidRPr="003A68FA">
        <w:rPr>
          <w:rFonts w:eastAsia="SimSun" w:cs="Times New Roman"/>
          <w:bCs/>
          <w:i/>
          <w:lang w:val="en-GB" w:eastAsia="zh-CN"/>
        </w:rPr>
        <w:t>E</w:t>
      </w:r>
      <w:r w:rsidRPr="003A68FA">
        <w:rPr>
          <w:rFonts w:eastAsia="SimSun" w:cs="Times New Roman"/>
          <w:bCs/>
          <w:i/>
          <w:lang w:eastAsia="zh-CN"/>
        </w:rPr>
        <w:t xml:space="preserve">. </w:t>
      </w:r>
      <w:r w:rsidRPr="003A68FA">
        <w:rPr>
          <w:rFonts w:eastAsia="SimSun" w:cs="Times New Roman"/>
          <w:bCs/>
          <w:i/>
          <w:lang w:val="en-GB" w:eastAsia="zh-CN"/>
        </w:rPr>
        <w:t>coli</w:t>
      </w:r>
      <w:r w:rsidRPr="003A68FA">
        <w:rPr>
          <w:rFonts w:eastAsia="SimSun" w:cs="Times New Roman"/>
          <w:bCs/>
          <w:lang w:eastAsia="zh-CN"/>
        </w:rPr>
        <w:t xml:space="preserve"> широко </w:t>
      </w:r>
      <w:proofErr w:type="gramStart"/>
      <w:r w:rsidRPr="003A68FA">
        <w:rPr>
          <w:rFonts w:eastAsia="SimSun" w:cs="Times New Roman"/>
          <w:bCs/>
          <w:lang w:eastAsia="zh-CN"/>
        </w:rPr>
        <w:t>распространена</w:t>
      </w:r>
      <w:proofErr w:type="gramEnd"/>
      <w:r w:rsidRPr="003A68FA">
        <w:rPr>
          <w:rFonts w:eastAsia="SimSun" w:cs="Times New Roman"/>
          <w:bCs/>
          <w:lang w:eastAsia="zh-CN"/>
        </w:rPr>
        <w:t xml:space="preserve"> как среди людей, так и среди животных и окружающей среды, являясь идеальным индикатором для мониторинга УПП во всех секторах в соответствии с подходом «Единое здоровье». Он признает, что здоровье людей, животных и экосистем взаимосвязано и, следовательно, требует скоординированного, совместного, междисциплинарного и </w:t>
      </w:r>
      <w:proofErr w:type="spellStart"/>
      <w:r w:rsidRPr="003A68FA">
        <w:rPr>
          <w:rFonts w:eastAsia="SimSun" w:cs="Times New Roman"/>
          <w:bCs/>
          <w:lang w:eastAsia="zh-CN"/>
        </w:rPr>
        <w:t>межсекторального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подхода для устранения потенциальных или существующих рисков, которые возникают на стыке животных, человека и экосистем;</w:t>
      </w:r>
    </w:p>
    <w:p w:rsidR="003A68FA" w:rsidRPr="003A68FA" w:rsidRDefault="003A68FA" w:rsidP="003A68FA">
      <w:pPr>
        <w:shd w:val="clear" w:color="auto" w:fill="FFFFFF"/>
        <w:spacing w:after="0"/>
        <w:contextualSpacing/>
        <w:jc w:val="both"/>
        <w:rPr>
          <w:rFonts w:eastAsia="SimSun" w:cs="Times New Roman"/>
          <w:bCs/>
          <w:lang w:eastAsia="zh-CN"/>
        </w:rPr>
      </w:pPr>
      <w:r w:rsidRPr="003A68FA">
        <w:rPr>
          <w:rFonts w:eastAsia="SimSun" w:cs="Times New Roman"/>
          <w:bCs/>
          <w:lang w:eastAsia="zh-CN"/>
        </w:rPr>
        <w:t>(</w:t>
      </w:r>
      <w:r w:rsidRPr="003A68FA">
        <w:rPr>
          <w:rFonts w:eastAsia="SimSun" w:cs="Times New Roman"/>
          <w:bCs/>
          <w:lang w:val="en-GB" w:eastAsia="zh-CN"/>
        </w:rPr>
        <w:t>iii</w:t>
      </w:r>
      <w:r w:rsidRPr="003A68FA">
        <w:rPr>
          <w:rFonts w:eastAsia="SimSun" w:cs="Times New Roman"/>
          <w:bCs/>
          <w:lang w:eastAsia="zh-CN"/>
        </w:rPr>
        <w:t xml:space="preserve">) как </w:t>
      </w:r>
      <w:r w:rsidRPr="003A68FA">
        <w:rPr>
          <w:rFonts w:eastAsia="SimSun" w:cs="Times New Roman"/>
          <w:bCs/>
          <w:lang w:val="en-GB" w:eastAsia="zh-CN"/>
        </w:rPr>
        <w:t>MRSA</w:t>
      </w:r>
      <w:r w:rsidRPr="003A68FA">
        <w:rPr>
          <w:rFonts w:eastAsia="SimSun" w:cs="Times New Roman"/>
          <w:bCs/>
          <w:lang w:eastAsia="zh-CN"/>
        </w:rPr>
        <w:t xml:space="preserve">, так и </w:t>
      </w:r>
      <w:r w:rsidRPr="003A68FA">
        <w:rPr>
          <w:rFonts w:eastAsia="SimSun" w:cs="Times New Roman"/>
          <w:bCs/>
          <w:i/>
          <w:lang w:val="en-GB" w:eastAsia="zh-CN"/>
        </w:rPr>
        <w:t>E</w:t>
      </w:r>
      <w:r w:rsidRPr="003A68FA">
        <w:rPr>
          <w:rFonts w:eastAsia="SimSun" w:cs="Times New Roman"/>
          <w:bCs/>
          <w:i/>
          <w:lang w:eastAsia="zh-CN"/>
        </w:rPr>
        <w:t xml:space="preserve">. </w:t>
      </w:r>
      <w:r w:rsidRPr="003A68FA">
        <w:rPr>
          <w:rFonts w:eastAsia="SimSun" w:cs="Times New Roman"/>
          <w:bCs/>
          <w:i/>
          <w:lang w:val="en-GB" w:eastAsia="zh-CN"/>
        </w:rPr>
        <w:t>coli</w:t>
      </w:r>
      <w:r w:rsidRPr="003A68FA">
        <w:rPr>
          <w:rFonts w:eastAsia="SimSun" w:cs="Times New Roman"/>
          <w:bCs/>
          <w:lang w:eastAsia="zh-CN"/>
        </w:rPr>
        <w:t xml:space="preserve">, устойчивые к цефалоспоринам 3-го поколения, широко распространены и обнаруживаются с высокой частотой среди инфекций человека, </w:t>
      </w:r>
      <w:r w:rsidRPr="003A68FA">
        <w:rPr>
          <w:rFonts w:eastAsia="SimSun" w:cs="Times New Roman"/>
          <w:bCs/>
          <w:lang w:eastAsia="zh-CN"/>
        </w:rPr>
        <w:lastRenderedPageBreak/>
        <w:t xml:space="preserve">наблюдаемых в больницах во всем мире и все более и более часто встречающихся в обществе. Инфекции, вызванные этими типами УПП, приводят к увеличению использования препаратов последней инстанции (например, </w:t>
      </w:r>
      <w:proofErr w:type="spellStart"/>
      <w:r w:rsidRPr="003A68FA">
        <w:rPr>
          <w:rFonts w:eastAsia="SimSun" w:cs="Times New Roman"/>
          <w:bCs/>
          <w:lang w:eastAsia="zh-CN"/>
        </w:rPr>
        <w:t>ванкомицин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для инфекций </w:t>
      </w:r>
      <w:r w:rsidRPr="003A68FA">
        <w:rPr>
          <w:rFonts w:eastAsia="SimSun" w:cs="Times New Roman"/>
          <w:bCs/>
          <w:lang w:val="en-GB" w:eastAsia="zh-CN"/>
        </w:rPr>
        <w:t>MRSA</w:t>
      </w:r>
      <w:r w:rsidRPr="003A68FA">
        <w:rPr>
          <w:rFonts w:eastAsia="SimSun" w:cs="Times New Roman"/>
          <w:bCs/>
          <w:lang w:eastAsia="zh-CN"/>
        </w:rPr>
        <w:t xml:space="preserve"> и </w:t>
      </w:r>
      <w:proofErr w:type="spellStart"/>
      <w:r w:rsidRPr="003A68FA">
        <w:rPr>
          <w:rFonts w:eastAsia="SimSun" w:cs="Times New Roman"/>
          <w:bCs/>
          <w:lang w:eastAsia="zh-CN"/>
        </w:rPr>
        <w:t>карбапенемов</w:t>
      </w:r>
      <w:proofErr w:type="spellEnd"/>
      <w:r w:rsidRPr="003A68FA">
        <w:rPr>
          <w:rFonts w:eastAsia="SimSun" w:cs="Times New Roman"/>
          <w:bCs/>
          <w:lang w:eastAsia="zh-CN"/>
        </w:rPr>
        <w:t xml:space="preserve"> для лечения кишечной палочки, устойчивой к цефалоспоринам 3-го поколения), против которых появляются новые типы УПП.</w:t>
      </w:r>
    </w:p>
    <w:p w:rsidR="003A68FA" w:rsidRPr="003A68FA" w:rsidRDefault="003A68FA" w:rsidP="003A68FA">
      <w:pPr>
        <w:shd w:val="clear" w:color="auto" w:fill="FFFFFF"/>
        <w:spacing w:after="0"/>
        <w:contextualSpacing/>
        <w:jc w:val="both"/>
        <w:rPr>
          <w:rFonts w:eastAsia="SimSun" w:cs="Times New Roman"/>
          <w:bCs/>
          <w:lang w:eastAsia="zh-CN"/>
        </w:rPr>
      </w:pPr>
    </w:p>
    <w:p w:rsidR="003A68FA" w:rsidRPr="003A68FA" w:rsidRDefault="003A68FA" w:rsidP="003A68FA">
      <w:pPr>
        <w:shd w:val="clear" w:color="auto" w:fill="FFFFFF"/>
        <w:spacing w:after="0"/>
        <w:contextualSpacing/>
        <w:jc w:val="both"/>
        <w:rPr>
          <w:rFonts w:eastAsia="SimSun" w:cs="Times New Roman"/>
          <w:bCs/>
          <w:sz w:val="22"/>
          <w:lang w:eastAsia="zh-CN"/>
        </w:rPr>
      </w:pPr>
      <w:r w:rsidRPr="003A68FA">
        <w:rPr>
          <w:rFonts w:eastAsia="SimSun" w:cs="Times New Roman"/>
          <w:bCs/>
          <w:lang w:eastAsia="zh-CN"/>
        </w:rPr>
        <w:t>Эффективный контроль над этими двумя типами УПП в конечном итоге поможет сохранить способность лечить инфекции доступными противомикробными препаратами, пока могут быть разработаны новые решения для профилактики и лечения. ВОЗ имеет четко определенные глобальные стандарты и стратегии профилактики инфекций и борьбы с ними.</w:t>
      </w:r>
    </w:p>
    <w:p w:rsidR="002E15F9" w:rsidRPr="00BD29EC" w:rsidRDefault="002E15F9" w:rsidP="0075371E">
      <w:pPr>
        <w:pStyle w:val="MText"/>
        <w:jc w:val="both"/>
        <w:rPr>
          <w:color w:val="auto"/>
          <w:sz w:val="24"/>
          <w:szCs w:val="24"/>
          <w:lang w:val="ru-RU"/>
        </w:rPr>
      </w:pPr>
    </w:p>
    <w:p w:rsidR="002E15F9" w:rsidRDefault="002E15F9" w:rsidP="0075371E">
      <w:pPr>
        <w:pStyle w:val="MHeader2"/>
        <w:jc w:val="both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3A68FA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3A68FA" w:rsidRPr="003A68FA" w:rsidRDefault="003A68FA" w:rsidP="003A68FA">
      <w:pPr>
        <w:shd w:val="clear" w:color="auto" w:fill="FFFFFF"/>
        <w:spacing w:after="0"/>
        <w:contextualSpacing/>
        <w:jc w:val="both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D21632">
        <w:rPr>
          <w:rFonts w:cs="Times New Roman"/>
          <w:bCs/>
        </w:rPr>
        <w:t xml:space="preserve">УПП - это новая глобальная угроза и риск для общественного здравоохранения во всем мире. На раннем этапе внедрения глобальной системы </w:t>
      </w:r>
      <w:proofErr w:type="spellStart"/>
      <w:r w:rsidRPr="00D21632">
        <w:rPr>
          <w:rFonts w:cs="Times New Roman"/>
          <w:bCs/>
        </w:rPr>
        <w:t>эпиднадзора</w:t>
      </w:r>
      <w:proofErr w:type="spellEnd"/>
      <w:r w:rsidRPr="00D21632">
        <w:rPr>
          <w:rFonts w:cs="Times New Roman"/>
          <w:bCs/>
        </w:rPr>
        <w:t xml:space="preserve"> за устойчивостью к противомикробным препаратам (GLASS) ВОЗ признает различные ограничения в получении объективных репрезентативных данных об УПП: количество и распределение пунктов </w:t>
      </w:r>
      <w:proofErr w:type="spellStart"/>
      <w:r w:rsidRPr="00D21632">
        <w:rPr>
          <w:rFonts w:cs="Times New Roman"/>
          <w:bCs/>
        </w:rPr>
        <w:t>эпиднадзора</w:t>
      </w:r>
      <w:proofErr w:type="spellEnd"/>
      <w:r w:rsidRPr="00D21632">
        <w:rPr>
          <w:rFonts w:cs="Times New Roman"/>
          <w:bCs/>
        </w:rPr>
        <w:t xml:space="preserve"> и репрезентативность данных </w:t>
      </w:r>
      <w:proofErr w:type="spellStart"/>
      <w:r w:rsidRPr="00D21632">
        <w:rPr>
          <w:rFonts w:cs="Times New Roman"/>
          <w:bCs/>
        </w:rPr>
        <w:t>эпиднадзора</w:t>
      </w:r>
      <w:proofErr w:type="spellEnd"/>
      <w:r w:rsidRPr="00D21632">
        <w:rPr>
          <w:rFonts w:cs="Times New Roman"/>
          <w:bCs/>
        </w:rPr>
        <w:t xml:space="preserve">, систематическая ошибка выборки, низкий диагностический потенциал, ошибки измерений, проблемы с управлением данными. Совершенно необходимо, чтобы страны имели действующую национальную систему для поддержки </w:t>
      </w:r>
      <w:proofErr w:type="spellStart"/>
      <w:r w:rsidRPr="00D21632">
        <w:rPr>
          <w:rFonts w:cs="Times New Roman"/>
          <w:bCs/>
        </w:rPr>
        <w:t>эпиднадзора</w:t>
      </w:r>
      <w:proofErr w:type="spellEnd"/>
      <w:r w:rsidRPr="00D21632">
        <w:rPr>
          <w:rFonts w:cs="Times New Roman"/>
          <w:bCs/>
        </w:rPr>
        <w:t xml:space="preserve"> за УПП и отчетности в GLASS</w:t>
      </w:r>
      <w:r>
        <w:rPr>
          <w:rStyle w:val="a6"/>
          <w:rFonts w:cs="Times New Roman"/>
          <w:bCs/>
        </w:rPr>
        <w:footnoteReference w:id="6"/>
      </w:r>
      <w:r w:rsidRPr="00D21632">
        <w:rPr>
          <w:rFonts w:cs="Times New Roman"/>
          <w:bCs/>
        </w:rPr>
        <w:t xml:space="preserve">. Более подробную методологию GLASS и ограничения данных, представленных в настоящее время странами, можно найти в отчете GLASS. </w:t>
      </w:r>
      <w:proofErr w:type="spellStart"/>
      <w:r w:rsidRPr="00D21632">
        <w:rPr>
          <w:rFonts w:cs="Times New Roman"/>
          <w:bCs/>
        </w:rPr>
        <w:t>Эпиднадзор</w:t>
      </w:r>
      <w:proofErr w:type="spellEnd"/>
      <w:r w:rsidRPr="00D21632">
        <w:rPr>
          <w:rFonts w:cs="Times New Roman"/>
          <w:bCs/>
        </w:rPr>
        <w:t xml:space="preserve"> за УПП, готовность страны и ответные меры в настоящее время являются высокоприоритетными </w:t>
      </w:r>
      <w:proofErr w:type="gramStart"/>
      <w:r w:rsidRPr="00D21632">
        <w:rPr>
          <w:rFonts w:cs="Times New Roman"/>
          <w:bCs/>
        </w:rPr>
        <w:t>для</w:t>
      </w:r>
      <w:proofErr w:type="gramEnd"/>
      <w:r w:rsidRPr="00D21632">
        <w:rPr>
          <w:rFonts w:cs="Times New Roman"/>
          <w:bCs/>
        </w:rPr>
        <w:t xml:space="preserve"> </w:t>
      </w:r>
      <w:proofErr w:type="gramStart"/>
      <w:r w:rsidRPr="00D21632">
        <w:rPr>
          <w:rFonts w:cs="Times New Roman"/>
          <w:bCs/>
        </w:rPr>
        <w:t>ВОЗ</w:t>
      </w:r>
      <w:proofErr w:type="gramEnd"/>
      <w:r w:rsidRPr="00D21632">
        <w:rPr>
          <w:rFonts w:cs="Times New Roman"/>
          <w:bCs/>
        </w:rPr>
        <w:t xml:space="preserve"> и ее государств-членов. </w:t>
      </w:r>
      <w:proofErr w:type="gramStart"/>
      <w:r w:rsidRPr="00D21632">
        <w:rPr>
          <w:rFonts w:cs="Times New Roman"/>
          <w:bCs/>
        </w:rPr>
        <w:t>В следующие пять лет ВОЗ намерена активизировать техническую помощь.</w:t>
      </w:r>
      <w:proofErr w:type="gramEnd"/>
      <w:r w:rsidRPr="00D21632">
        <w:rPr>
          <w:rFonts w:cs="Times New Roman"/>
          <w:bCs/>
        </w:rPr>
        <w:t xml:space="preserve"> Накопленный опыт и уроки, извлеченные из дальнейшего внедрения национальных систем </w:t>
      </w:r>
      <w:proofErr w:type="spellStart"/>
      <w:r w:rsidRPr="00D21632">
        <w:rPr>
          <w:rFonts w:cs="Times New Roman"/>
          <w:bCs/>
        </w:rPr>
        <w:t>эпиднадзора</w:t>
      </w:r>
      <w:proofErr w:type="spellEnd"/>
      <w:r w:rsidRPr="00D21632">
        <w:rPr>
          <w:rFonts w:cs="Times New Roman"/>
          <w:bCs/>
        </w:rPr>
        <w:t xml:space="preserve"> за УПП, повысят эффективность, устранят ограничения и сделают данные более надежными.</w:t>
      </w:r>
    </w:p>
    <w:p w:rsidR="002E15F9" w:rsidRPr="00BD29EC" w:rsidRDefault="002E15F9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3A68FA" w:rsidRPr="00D21632" w:rsidRDefault="003A68FA" w:rsidP="003A68FA">
      <w:pPr>
        <w:shd w:val="clear" w:color="auto" w:fill="FFFFFF"/>
        <w:spacing w:after="0"/>
        <w:contextualSpacing/>
        <w:jc w:val="both"/>
        <w:rPr>
          <w:rFonts w:cs="Times New Roman"/>
          <w:bCs/>
        </w:rPr>
      </w:pPr>
      <w:r w:rsidRPr="00D21632">
        <w:rPr>
          <w:rFonts w:cs="Times New Roman"/>
          <w:bCs/>
        </w:rPr>
        <w:t xml:space="preserve">Глобальная система </w:t>
      </w:r>
      <w:proofErr w:type="spellStart"/>
      <w:r w:rsidRPr="00D21632">
        <w:rPr>
          <w:rFonts w:cs="Times New Roman"/>
          <w:bCs/>
        </w:rPr>
        <w:t>эпиднадзора</w:t>
      </w:r>
      <w:proofErr w:type="spellEnd"/>
      <w:r w:rsidRPr="00D21632">
        <w:rPr>
          <w:rFonts w:cs="Times New Roman"/>
          <w:bCs/>
        </w:rPr>
        <w:t xml:space="preserve"> за УПП ВОЗ (GLASS) помогает странам внедрять стандартизированную систему </w:t>
      </w:r>
      <w:proofErr w:type="spellStart"/>
      <w:r w:rsidRPr="00D21632">
        <w:rPr>
          <w:rFonts w:cs="Times New Roman"/>
          <w:bCs/>
        </w:rPr>
        <w:t>эпиднадзора</w:t>
      </w:r>
      <w:proofErr w:type="spellEnd"/>
      <w:r w:rsidRPr="00D21632">
        <w:rPr>
          <w:rFonts w:cs="Times New Roman"/>
          <w:bCs/>
        </w:rPr>
        <w:t xml:space="preserve"> за УПП. </w:t>
      </w:r>
      <w:proofErr w:type="gramStart"/>
      <w:r w:rsidRPr="00D21632">
        <w:rPr>
          <w:rFonts w:cs="Times New Roman"/>
          <w:bCs/>
        </w:rPr>
        <w:t>Случаи AMR-инфекции обнаруживаются среди пациентов, у которых были взяты стандартные клинические образцы для посева крови в местах наблюдения (в медицинских учреждениях) в соответствии с местной клинической практикой, а тесты на чувствительность к противомикробным препаратам (AST) выполнялись для изолированных патогенов крови в соответствии с международн</w:t>
      </w:r>
      <w:r>
        <w:rPr>
          <w:rFonts w:cs="Times New Roman"/>
          <w:bCs/>
        </w:rPr>
        <w:t>ыми стандартами</w:t>
      </w:r>
      <w:r>
        <w:rPr>
          <w:rStyle w:val="a6"/>
          <w:rFonts w:cs="Times New Roman"/>
          <w:bCs/>
        </w:rPr>
        <w:footnoteReference w:id="7"/>
      </w:r>
      <w:r w:rsidRPr="00D21632">
        <w:rPr>
          <w:rFonts w:cs="Times New Roman"/>
          <w:bCs/>
        </w:rPr>
        <w:t xml:space="preserve">. Микробиологические результаты (идентификация бактерий и AST) не дублируются и объединяются с данными пациента и </w:t>
      </w:r>
      <w:r w:rsidRPr="00D21632">
        <w:rPr>
          <w:rFonts w:cs="Times New Roman"/>
          <w:bCs/>
        </w:rPr>
        <w:lastRenderedPageBreak/>
        <w:t>связаны</w:t>
      </w:r>
      <w:proofErr w:type="gramEnd"/>
      <w:r w:rsidRPr="00D21632">
        <w:rPr>
          <w:rFonts w:cs="Times New Roman"/>
          <w:bCs/>
        </w:rPr>
        <w:t xml:space="preserve"> с данными населения из пунктов наблюдения. GLASS собирает информацию о происхождении инфекции, будь то местное происхождение (менее 2 календарных дней в больнице) или больничное происхождение (пациенты, госпитализированные на срок более 2 календарных дней). Данные сопоставляются и проверяются на национальном уровне и передаются в GLASS, где формируются эпидемиологические статистические данные и показатели. GLASS опубликовало руководство по созданию национальных систем </w:t>
      </w:r>
      <w:proofErr w:type="spellStart"/>
      <w:r w:rsidRPr="00D21632">
        <w:rPr>
          <w:rFonts w:cs="Times New Roman"/>
          <w:bCs/>
        </w:rPr>
        <w:t>эпиднадзора</w:t>
      </w:r>
      <w:proofErr w:type="spellEnd"/>
      <w:r w:rsidRPr="00D21632">
        <w:rPr>
          <w:rFonts w:cs="Times New Roman"/>
          <w:bCs/>
        </w:rPr>
        <w:t xml:space="preserve"> за УПП</w:t>
      </w:r>
      <w:r>
        <w:rPr>
          <w:rStyle w:val="a6"/>
          <w:rFonts w:cs="Times New Roman"/>
          <w:bCs/>
        </w:rPr>
        <w:footnoteReference w:id="8"/>
      </w:r>
      <w:r w:rsidRPr="00D21632">
        <w:rPr>
          <w:rFonts w:cs="Times New Roman"/>
          <w:bCs/>
        </w:rPr>
        <w:t>, и странам доступно руководство по внедрению методологии GLASS</w:t>
      </w:r>
      <w:r>
        <w:rPr>
          <w:rStyle w:val="a6"/>
          <w:rFonts w:cs="Times New Roman"/>
          <w:bCs/>
        </w:rPr>
        <w:footnoteReference w:id="9"/>
      </w:r>
      <w:r w:rsidRPr="00D21632">
        <w:rPr>
          <w:rFonts w:cs="Times New Roman"/>
          <w:bCs/>
        </w:rPr>
        <w:t xml:space="preserve">. </w:t>
      </w:r>
    </w:p>
    <w:p w:rsidR="003A68FA" w:rsidRPr="0042352E" w:rsidRDefault="003A68FA" w:rsidP="003A68FA">
      <w:pPr>
        <w:shd w:val="clear" w:color="auto" w:fill="FFFFFF"/>
        <w:spacing w:after="0"/>
        <w:contextualSpacing/>
        <w:jc w:val="both"/>
        <w:rPr>
          <w:rFonts w:cs="Times New Roman"/>
          <w:bCs/>
        </w:rPr>
      </w:pPr>
      <w:r w:rsidRPr="00D21632">
        <w:rPr>
          <w:rFonts w:cs="Times New Roman"/>
          <w:bCs/>
        </w:rPr>
        <w:t>Хотя национальная репрезентативность полученных показателей УПП не является строгим требованием, GLASS рекомендует странам получать репрезентативные национальные данные.</w:t>
      </w:r>
    </w:p>
    <w:p w:rsidR="003A68FA" w:rsidRPr="0042352E" w:rsidRDefault="003A68FA" w:rsidP="003A68FA">
      <w:pPr>
        <w:shd w:val="clear" w:color="auto" w:fill="FFFFFF"/>
        <w:spacing w:after="0"/>
        <w:contextualSpacing/>
        <w:jc w:val="both"/>
        <w:rPr>
          <w:rFonts w:cs="Times New Roman"/>
          <w:bCs/>
        </w:rPr>
      </w:pPr>
    </w:p>
    <w:p w:rsidR="003A68FA" w:rsidRPr="0042352E" w:rsidRDefault="003A68FA" w:rsidP="003A68FA">
      <w:pPr>
        <w:shd w:val="clear" w:color="auto" w:fill="FFFFFF"/>
        <w:spacing w:after="0"/>
        <w:contextualSpacing/>
        <w:jc w:val="both"/>
        <w:rPr>
          <w:rFonts w:eastAsia="Times New Roman" w:cs="Times New Roman"/>
          <w:b/>
          <w:bCs/>
          <w:color w:val="4A4A4A"/>
          <w:szCs w:val="21"/>
          <w:lang w:eastAsia="en-GB"/>
        </w:rPr>
      </w:pPr>
      <w:r w:rsidRPr="00D21632">
        <w:rPr>
          <w:rFonts w:eastAsia="Times New Roman" w:cs="Times New Roman"/>
          <w:b/>
          <w:bCs/>
          <w:color w:val="4A4A4A"/>
          <w:szCs w:val="21"/>
          <w:lang w:eastAsia="en-GB"/>
        </w:rPr>
        <w:t xml:space="preserve">Формулировка предлагаемого нового показателя: </w:t>
      </w:r>
      <w:r w:rsidRPr="00D21632">
        <w:rPr>
          <w:rFonts w:eastAsia="Times New Roman" w:cs="Times New Roman"/>
          <w:b/>
          <w:bCs/>
          <w:szCs w:val="21"/>
          <w:lang w:eastAsia="en-GB"/>
        </w:rPr>
        <w:t>Доля пациентов с Процентной долей инфекций кровотока, вызванных отдельными микроорганизмами, устойчивыми к противомикробным препаратам.</w:t>
      </w:r>
    </w:p>
    <w:p w:rsidR="003A68FA" w:rsidRPr="0042352E" w:rsidRDefault="003A68FA" w:rsidP="003A68FA">
      <w:pPr>
        <w:shd w:val="clear" w:color="auto" w:fill="FFFFFF"/>
        <w:spacing w:after="0"/>
        <w:contextualSpacing/>
        <w:jc w:val="both"/>
        <w:rPr>
          <w:rFonts w:eastAsia="Times New Roman" w:cs="Times New Roman"/>
          <w:bCs/>
          <w:color w:val="4A4A4A"/>
          <w:szCs w:val="21"/>
          <w:lang w:eastAsia="en-GB"/>
        </w:rPr>
      </w:pPr>
    </w:p>
    <w:p w:rsidR="003A68FA" w:rsidRPr="00D21632" w:rsidRDefault="003A68FA" w:rsidP="003A68FA">
      <w:pPr>
        <w:shd w:val="clear" w:color="auto" w:fill="FFFFFF"/>
        <w:spacing w:after="0"/>
        <w:contextualSpacing/>
        <w:jc w:val="both"/>
        <w:rPr>
          <w:rFonts w:eastAsia="Times New Roman" w:cs="Times New Roman"/>
          <w:bCs/>
          <w:color w:val="4A4A4A"/>
          <w:szCs w:val="21"/>
          <w:lang w:eastAsia="en-GB"/>
        </w:rPr>
      </w:pPr>
      <w:r w:rsidRPr="00D21632">
        <w:rPr>
          <w:rFonts w:eastAsia="Times New Roman" w:cs="Times New Roman"/>
          <w:bCs/>
          <w:color w:val="4A4A4A"/>
          <w:szCs w:val="21"/>
          <w:lang w:eastAsia="en-GB"/>
        </w:rPr>
        <w:t>Это получается из следующего</w:t>
      </w:r>
      <w:r>
        <w:rPr>
          <w:rStyle w:val="a6"/>
          <w:rFonts w:eastAsia="Times New Roman" w:cs="Times New Roman"/>
          <w:bCs/>
          <w:color w:val="4A4A4A"/>
          <w:szCs w:val="21"/>
          <w:lang w:eastAsia="en-GB"/>
        </w:rPr>
        <w:footnoteReference w:id="10"/>
      </w:r>
      <w:r w:rsidRPr="00D21632">
        <w:rPr>
          <w:rFonts w:eastAsia="Times New Roman" w:cs="Times New Roman"/>
          <w:bCs/>
          <w:color w:val="4A4A4A"/>
          <w:szCs w:val="21"/>
          <w:lang w:eastAsia="en-GB"/>
        </w:rPr>
        <w:t xml:space="preserve"> и умножается на 100:</w:t>
      </w:r>
    </w:p>
    <w:p w:rsidR="003A68FA" w:rsidRPr="00D21632" w:rsidRDefault="003A68FA" w:rsidP="003A68FA">
      <w:pPr>
        <w:shd w:val="clear" w:color="auto" w:fill="FFFFFF"/>
        <w:spacing w:after="0"/>
        <w:contextualSpacing/>
        <w:jc w:val="both"/>
        <w:rPr>
          <w:rFonts w:eastAsia="Times New Roman" w:cs="Times New Roman"/>
          <w:b/>
          <w:bCs/>
          <w:color w:val="4A4A4A"/>
          <w:sz w:val="21"/>
          <w:szCs w:val="21"/>
          <w:lang w:eastAsia="en-GB"/>
        </w:rPr>
      </w:pPr>
    </w:p>
    <w:p w:rsidR="003A68FA" w:rsidRPr="00D21632" w:rsidRDefault="003A68FA" w:rsidP="003A68FA">
      <w:pPr>
        <w:ind w:left="720"/>
        <w:jc w:val="both"/>
        <w:rPr>
          <w:rFonts w:cs="Times New Roman"/>
          <w:bCs/>
        </w:rPr>
      </w:pPr>
      <w:r w:rsidRPr="00D21632">
        <w:rPr>
          <w:rFonts w:cs="Times New Roman"/>
          <w:b/>
          <w:bCs/>
          <w:color w:val="4F81BD" w:themeColor="accent1"/>
        </w:rPr>
        <w:t>Числитель:</w:t>
      </w:r>
      <w:r w:rsidRPr="00D21632">
        <w:rPr>
          <w:rFonts w:cs="Times New Roman"/>
          <w:bCs/>
          <w:color w:val="4F81BD" w:themeColor="accent1"/>
        </w:rPr>
        <w:t xml:space="preserve"> </w:t>
      </w:r>
      <w:r w:rsidRPr="00D21632">
        <w:rPr>
          <w:rFonts w:cs="Times New Roman"/>
        </w:rPr>
        <w:t xml:space="preserve">Число пациентов с ростом устойчивых к </w:t>
      </w:r>
      <w:proofErr w:type="spellStart"/>
      <w:r w:rsidRPr="00D21632">
        <w:rPr>
          <w:rFonts w:cs="Times New Roman"/>
        </w:rPr>
        <w:t>метициллину</w:t>
      </w:r>
      <w:proofErr w:type="spellEnd"/>
      <w:r w:rsidRPr="00D21632">
        <w:rPr>
          <w:rFonts w:cs="Times New Roman"/>
        </w:rPr>
        <w:t xml:space="preserve"> </w:t>
      </w:r>
      <w:r w:rsidRPr="00D21632">
        <w:rPr>
          <w:rFonts w:cs="Times New Roman"/>
          <w:i/>
        </w:rPr>
        <w:t xml:space="preserve">S. </w:t>
      </w:r>
      <w:proofErr w:type="spellStart"/>
      <w:r w:rsidRPr="00D21632">
        <w:rPr>
          <w:rFonts w:cs="Times New Roman"/>
          <w:i/>
        </w:rPr>
        <w:t>aureus</w:t>
      </w:r>
      <w:proofErr w:type="spellEnd"/>
      <w:r w:rsidRPr="00D21632">
        <w:rPr>
          <w:rFonts w:cs="Times New Roman"/>
        </w:rPr>
        <w:t xml:space="preserve"> или </w:t>
      </w:r>
      <w:r w:rsidRPr="00D21632">
        <w:rPr>
          <w:rFonts w:cs="Times New Roman"/>
          <w:i/>
        </w:rPr>
        <w:t>E</w:t>
      </w:r>
      <w:r w:rsidRPr="0042352E">
        <w:rPr>
          <w:rFonts w:cs="Times New Roman"/>
          <w:i/>
        </w:rPr>
        <w:t xml:space="preserve">. </w:t>
      </w:r>
      <w:proofErr w:type="spellStart"/>
      <w:r w:rsidRPr="00D21632">
        <w:rPr>
          <w:rFonts w:cs="Times New Roman"/>
          <w:i/>
        </w:rPr>
        <w:t>coli</w:t>
      </w:r>
      <w:proofErr w:type="spellEnd"/>
      <w:r w:rsidRPr="00D21632">
        <w:rPr>
          <w:rFonts w:cs="Times New Roman"/>
        </w:rPr>
        <w:t>, устойчивых к цефалоспоринам третьего поколения, в исследуемых образцах крови</w:t>
      </w:r>
    </w:p>
    <w:p w:rsidR="003A68FA" w:rsidRDefault="003A68FA" w:rsidP="003A68FA">
      <w:pPr>
        <w:ind w:left="720"/>
        <w:rPr>
          <w:rFonts w:cs="Times New Roman"/>
        </w:rPr>
      </w:pPr>
      <w:r w:rsidRPr="00D21632">
        <w:rPr>
          <w:rFonts w:cs="Times New Roman"/>
          <w:b/>
          <w:bCs/>
          <w:color w:val="4F81BD" w:themeColor="accent1"/>
        </w:rPr>
        <w:t xml:space="preserve">Знаменатель:  </w:t>
      </w:r>
      <w:r w:rsidRPr="00D21632">
        <w:rPr>
          <w:rFonts w:cs="Times New Roman"/>
        </w:rPr>
        <w:t xml:space="preserve">Общее количество пациентов с ростом </w:t>
      </w:r>
      <w:r w:rsidRPr="00D21632">
        <w:rPr>
          <w:rFonts w:cs="Times New Roman"/>
          <w:i/>
        </w:rPr>
        <w:t xml:space="preserve">S. </w:t>
      </w:r>
      <w:proofErr w:type="spellStart"/>
      <w:r w:rsidRPr="00D21632">
        <w:rPr>
          <w:rFonts w:cs="Times New Roman"/>
          <w:i/>
        </w:rPr>
        <w:t>aureus</w:t>
      </w:r>
      <w:proofErr w:type="spellEnd"/>
      <w:r w:rsidRPr="00D21632">
        <w:rPr>
          <w:rFonts w:cs="Times New Roman"/>
        </w:rPr>
        <w:t xml:space="preserve"> или </w:t>
      </w:r>
      <w:r w:rsidRPr="00D21632">
        <w:rPr>
          <w:rFonts w:cs="Times New Roman"/>
          <w:i/>
        </w:rPr>
        <w:t xml:space="preserve">E. </w:t>
      </w:r>
      <w:proofErr w:type="spellStart"/>
      <w:r w:rsidRPr="00D21632">
        <w:rPr>
          <w:rFonts w:cs="Times New Roman"/>
          <w:i/>
        </w:rPr>
        <w:t>coli</w:t>
      </w:r>
      <w:proofErr w:type="spellEnd"/>
      <w:r w:rsidRPr="00D21632">
        <w:rPr>
          <w:rFonts w:cs="Times New Roman"/>
        </w:rPr>
        <w:t xml:space="preserve"> в исследуемых образцах крови</w:t>
      </w:r>
    </w:p>
    <w:p w:rsidR="00E80F56" w:rsidRPr="003A68FA" w:rsidRDefault="00E80F56" w:rsidP="00E80F56">
      <w:pPr>
        <w:rPr>
          <w:rFonts w:cs="Times New Roman"/>
        </w:rPr>
      </w:pPr>
      <w:r w:rsidRPr="009311E2">
        <w:rPr>
          <w:rFonts w:eastAsia="Times New Roman" w:cs="Times New Roman"/>
          <w:b/>
          <w:bCs/>
          <w:noProof/>
          <w:color w:val="4A4A4A"/>
          <w:sz w:val="21"/>
          <w:szCs w:val="21"/>
          <w:lang w:eastAsia="ru-RU"/>
        </w:rPr>
        <w:lastRenderedPageBreak/>
        <w:drawing>
          <wp:inline distT="0" distB="0" distL="0" distR="0" wp14:anchorId="77D248AD" wp14:editId="593B0277">
            <wp:extent cx="5940425" cy="4716280"/>
            <wp:effectExtent l="0" t="0" r="412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80F56" w:rsidRPr="00E80F56" w:rsidRDefault="00E80F56" w:rsidP="00E80F56">
      <w:pPr>
        <w:rPr>
          <w:b/>
        </w:rPr>
      </w:pPr>
      <w:r w:rsidRPr="00E80F56">
        <w:rPr>
          <w:b/>
        </w:rPr>
        <w:t>Стратификация:</w:t>
      </w:r>
    </w:p>
    <w:p w:rsidR="00E80F56" w:rsidRPr="00E80F56" w:rsidRDefault="00E80F56" w:rsidP="00E80F56">
      <w:pPr>
        <w:rPr>
          <w:color w:val="1C75BC"/>
          <w:sz w:val="26"/>
        </w:rPr>
      </w:pPr>
      <w:r w:rsidRPr="00E80F56">
        <w:t>Данные стратифицированы по полу и возрастной группе. Данные агрегированы на уровне страны. Данные анализируются и сообщаются в зависимости от того, находится ли образец в течение 2 календарных дней с момента поступления (по месту жительства) или по истечении 2 календарных дней с момента поступления (в больнице).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2E15F9" w:rsidRPr="00BD29EC" w:rsidRDefault="00F92D6F" w:rsidP="0075371E">
      <w:pPr>
        <w:pStyle w:val="MText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694160" w:rsidRPr="00BD29EC">
        <w:rPr>
          <w:color w:val="auto"/>
          <w:sz w:val="24"/>
          <w:szCs w:val="24"/>
          <w:lang w:val="ru-RU"/>
        </w:rPr>
        <w:t>.</w:t>
      </w:r>
    </w:p>
    <w:p w:rsidR="002E15F9" w:rsidRPr="00BD29EC" w:rsidRDefault="002E15F9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F92D6F" w:rsidP="0075371E">
      <w:pPr>
        <w:pStyle w:val="MText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694160" w:rsidRPr="00BD29EC">
        <w:rPr>
          <w:color w:val="auto"/>
          <w:sz w:val="24"/>
          <w:szCs w:val="24"/>
          <w:lang w:val="ru-RU"/>
        </w:rPr>
        <w:t>.</w:t>
      </w:r>
    </w:p>
    <w:p w:rsidR="002E15F9" w:rsidRPr="00BD29EC" w:rsidRDefault="002E15F9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2E15F9" w:rsidP="0075371E">
      <w:pPr>
        <w:pStyle w:val="MText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BD29EC">
        <w:rPr>
          <w:color w:val="auto"/>
          <w:sz w:val="24"/>
          <w:szCs w:val="24"/>
          <w:lang w:val="ru-RU"/>
        </w:rPr>
        <w:t>На уровне страны</w:t>
      </w:r>
    </w:p>
    <w:p w:rsidR="002E15F9" w:rsidRPr="00E80F56" w:rsidRDefault="00E80F56" w:rsidP="00E80F56">
      <w:pPr>
        <w:shd w:val="clear" w:color="auto" w:fill="FFFFFF"/>
        <w:spacing w:after="0"/>
        <w:ind w:left="135"/>
        <w:contextualSpacing/>
        <w:jc w:val="both"/>
        <w:rPr>
          <w:rFonts w:eastAsia="Times New Roman" w:cs="Times New Roman"/>
          <w:szCs w:val="21"/>
          <w:lang w:eastAsia="en-GB"/>
        </w:rPr>
      </w:pPr>
      <w:r w:rsidRPr="006C2F29">
        <w:rPr>
          <w:rFonts w:eastAsia="Times New Roman" w:cs="Times New Roman"/>
          <w:szCs w:val="21"/>
          <w:lang w:eastAsia="en-GB"/>
        </w:rPr>
        <w:t>Страны, по которым нет данных, отображаются как пустые.</w:t>
      </w:r>
    </w:p>
    <w:p w:rsidR="00694160" w:rsidRPr="00BD29EC" w:rsidRDefault="00694160" w:rsidP="00F96DF3"/>
    <w:p w:rsidR="002E15F9" w:rsidRPr="00BD29EC" w:rsidRDefault="002E15F9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2E15F9" w:rsidP="0075371E">
      <w:pPr>
        <w:pStyle w:val="MText"/>
        <w:jc w:val="both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2E15F9" w:rsidRPr="00BD29EC" w:rsidRDefault="002E15F9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2E15F9" w:rsidRPr="00040034" w:rsidRDefault="002E15F9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2E15F9" w:rsidRPr="00BD29EC" w:rsidRDefault="0075371E" w:rsidP="0075371E">
      <w:pPr>
        <w:pStyle w:val="MHeader2"/>
        <w:jc w:val="both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2E15F9" w:rsidP="0075371E">
      <w:pPr>
        <w:pStyle w:val="MHeader"/>
        <w:spacing w:after="100"/>
        <w:jc w:val="both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Доступность и </w:t>
      </w:r>
      <w:proofErr w:type="spellStart"/>
      <w:r w:rsidR="0075371E" w:rsidRPr="00BD29EC">
        <w:rPr>
          <w:b/>
          <w:color w:val="auto"/>
          <w:sz w:val="24"/>
          <w:szCs w:val="24"/>
          <w:lang w:val="ru-RU"/>
        </w:rPr>
        <w:t>дезагрегирование</w:t>
      </w:r>
      <w:proofErr w:type="spellEnd"/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F96DF3" w:rsidRDefault="0075371E" w:rsidP="00F96DF3">
      <w:pPr>
        <w:rPr>
          <w:b/>
        </w:rPr>
      </w:pPr>
      <w:r w:rsidRPr="00F96DF3">
        <w:rPr>
          <w:b/>
        </w:rPr>
        <w:t>Доступность данных:</w:t>
      </w:r>
    </w:p>
    <w:p w:rsidR="00F96DF3" w:rsidRDefault="00F96DF3" w:rsidP="00F96DF3">
      <w:r w:rsidRPr="00F96DF3">
        <w:t>Данные доступны по странам, полу и возрастным группам, а также по тому, является ли инфекция внебольничной или больничной.</w:t>
      </w:r>
    </w:p>
    <w:p w:rsidR="002E15F9" w:rsidRPr="00BD29EC" w:rsidRDefault="002E15F9" w:rsidP="0075371E">
      <w:pPr>
        <w:pStyle w:val="MHeader"/>
        <w:spacing w:after="100"/>
        <w:jc w:val="both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jc w:val="both"/>
        <w:outlineLvl w:val="2"/>
        <w:rPr>
          <w:rFonts w:eastAsia="Times New Roman" w:cs="Times New Roman"/>
          <w:b/>
          <w:szCs w:val="24"/>
          <w:lang w:eastAsia="en-GB"/>
        </w:rPr>
      </w:pPr>
      <w:r w:rsidRPr="00040034">
        <w:rPr>
          <w:rFonts w:eastAsia="Times New Roman" w:cs="Times New Roman"/>
          <w:b/>
          <w:szCs w:val="24"/>
          <w:lang w:val="en-US"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040034">
        <w:rPr>
          <w:rFonts w:eastAsia="Times New Roman" w:cs="Times New Roman"/>
          <w:b/>
          <w:szCs w:val="24"/>
          <w:lang w:val="en-US"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040034">
        <w:rPr>
          <w:rFonts w:eastAsia="Times New Roman" w:cs="Times New Roman"/>
          <w:b/>
          <w:szCs w:val="24"/>
          <w:lang w:val="en-US"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F96DF3" w:rsidRDefault="00F96DF3" w:rsidP="00F96DF3">
      <w:r w:rsidRPr="00F96DF3">
        <w:t xml:space="preserve">URL: </w:t>
      </w:r>
    </w:p>
    <w:p w:rsidR="00F96DF3" w:rsidRDefault="00F96DF3" w:rsidP="00F96DF3">
      <w:r>
        <w:t xml:space="preserve">http://www.who.int/glass/en/ </w:t>
      </w:r>
      <w:bookmarkStart w:id="5" w:name="_GoBack"/>
      <w:bookmarkEnd w:id="5"/>
    </w:p>
    <w:p w:rsidR="00F96DF3" w:rsidRPr="00F96DF3" w:rsidRDefault="00F96DF3" w:rsidP="00F96DF3">
      <w:pPr>
        <w:rPr>
          <w:b/>
          <w:szCs w:val="24"/>
        </w:rPr>
      </w:pPr>
      <w:r w:rsidRPr="00F96DF3">
        <w:t>http://www.who.int/gho/glass/en/</w:t>
      </w:r>
    </w:p>
    <w:sectPr w:rsidR="00F96DF3" w:rsidRPr="00F96DF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F5" w:rsidRDefault="000C5EF5" w:rsidP="00F73DBC">
      <w:pPr>
        <w:spacing w:after="0" w:line="240" w:lineRule="auto"/>
      </w:pPr>
      <w:r>
        <w:separator/>
      </w:r>
    </w:p>
  </w:endnote>
  <w:endnote w:type="continuationSeparator" w:id="0">
    <w:p w:rsidR="000C5EF5" w:rsidRDefault="000C5EF5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F5" w:rsidRDefault="000C5EF5" w:rsidP="00F73DBC">
      <w:pPr>
        <w:spacing w:after="0" w:line="240" w:lineRule="auto"/>
      </w:pPr>
      <w:r>
        <w:separator/>
      </w:r>
    </w:p>
  </w:footnote>
  <w:footnote w:type="continuationSeparator" w:id="0">
    <w:p w:rsidR="000C5EF5" w:rsidRDefault="000C5EF5" w:rsidP="00F73DBC">
      <w:pPr>
        <w:spacing w:after="0" w:line="240" w:lineRule="auto"/>
      </w:pPr>
      <w:r>
        <w:continuationSeparator/>
      </w:r>
    </w:p>
  </w:footnote>
  <w:footnote w:id="1">
    <w:p w:rsidR="00C05ACF" w:rsidRPr="007F672B" w:rsidRDefault="00C05ACF" w:rsidP="00C05ACF">
      <w:pPr>
        <w:pStyle w:val="a4"/>
      </w:pPr>
      <w:r>
        <w:rPr>
          <w:rStyle w:val="a6"/>
        </w:rPr>
        <w:footnoteRef/>
      </w:r>
      <w:r w:rsidRPr="007F672B">
        <w:t xml:space="preserve"> Руководства EUCAST по выявлению механизмов резистентности и специфических резистентностей, имеющих клиническое и / или эпидемиологическое значение. Версия</w:t>
      </w:r>
      <w:r w:rsidRPr="00C05ACF">
        <w:rPr>
          <w:lang w:val="en-US"/>
        </w:rPr>
        <w:t xml:space="preserve"> 2.0. 2017. http://www.eucast.org/fileadmin/src/media/PDFs/EUCAST_files/Resistance_mechanisms/EUCAST_ detection_of_resistance_mechanisms_170711.pdf CLSI. </w:t>
      </w:r>
      <w:r w:rsidRPr="007F672B">
        <w:t xml:space="preserve">Стандарты производительности M100 для испытаний на чувствительность к противомикробным препаратам. 29-е </w:t>
      </w:r>
      <w:proofErr w:type="spellStart"/>
      <w:proofErr w:type="gramStart"/>
      <w:r w:rsidRPr="007F672B">
        <w:t>изд</w:t>
      </w:r>
      <w:proofErr w:type="spellEnd"/>
      <w:proofErr w:type="gramEnd"/>
      <w:r w:rsidRPr="007F672B">
        <w:t xml:space="preserve"> 2018 г. </w:t>
      </w:r>
      <w:hyperlink r:id="rId1" w:history="1">
        <w:r w:rsidRPr="002C127A">
          <w:rPr>
            <w:rStyle w:val="ac"/>
          </w:rPr>
          <w:t>https://clsi.org/standards/products/microbiology/documents/m100/</w:t>
        </w:r>
      </w:hyperlink>
      <w:r>
        <w:t xml:space="preserve"> </w:t>
      </w:r>
    </w:p>
  </w:footnote>
  <w:footnote w:id="2">
    <w:p w:rsidR="003A68FA" w:rsidRPr="007F672B" w:rsidRDefault="003A68FA" w:rsidP="003A68FA">
      <w:pPr>
        <w:pStyle w:val="a4"/>
      </w:pPr>
      <w:r>
        <w:rPr>
          <w:rStyle w:val="a6"/>
        </w:rPr>
        <w:footnoteRef/>
      </w:r>
      <w:r w:rsidRPr="0056490D">
        <w:rPr>
          <w:lang w:val="fr-CH"/>
        </w:rPr>
        <w:t xml:space="preserve"> </w:t>
      </w:r>
      <w:r w:rsidRPr="007F672B">
        <w:rPr>
          <w:rFonts w:eastAsia="Candara" w:cstheme="minorHAnsi"/>
          <w:noProof/>
          <w:lang w:val="fr-CH"/>
        </w:rPr>
        <w:t>Ретроспективное когортное исследование. Европейский надзор: бюллетень European Sur les maladies transmitteds = Европейский бюллетень инфекционных болезней. 2016; 21. DOI: 10.2807 / 1560-7917.ES.2016.21.33.30319</w:t>
      </w:r>
    </w:p>
  </w:footnote>
  <w:footnote w:id="3">
    <w:p w:rsidR="003A68FA" w:rsidRPr="007F672B" w:rsidRDefault="003A68FA" w:rsidP="003A68FA">
      <w:pPr>
        <w:pStyle w:val="a4"/>
      </w:pPr>
      <w:r>
        <w:rPr>
          <w:rStyle w:val="a6"/>
        </w:rPr>
        <w:footnoteRef/>
      </w:r>
      <w:r w:rsidRPr="007F672B">
        <w:t xml:space="preserve"> </w:t>
      </w:r>
      <w:r w:rsidRPr="007F672B">
        <w:rPr>
          <w:sz w:val="17"/>
          <w:szCs w:val="17"/>
        </w:rPr>
        <w:t>Группа Всемирного банка, Лекарственно-устойчивые инфекции: угроза нашему экономическому будущему - Заключительный отчет (Вашингтон, округ Колумбия, март 2017 г.).</w:t>
      </w:r>
    </w:p>
  </w:footnote>
  <w:footnote w:id="4">
    <w:p w:rsidR="003A68FA" w:rsidRPr="007F672B" w:rsidRDefault="003A68FA" w:rsidP="003A68FA">
      <w:pPr>
        <w:pStyle w:val="a4"/>
      </w:pPr>
      <w:r>
        <w:rPr>
          <w:rStyle w:val="a6"/>
        </w:rPr>
        <w:footnoteRef/>
      </w:r>
      <w:r w:rsidRPr="007F672B">
        <w:t xml:space="preserve"> (1) Законодательство и финансирование; (2) Координация Международны</w:t>
      </w:r>
      <w:r>
        <w:t xml:space="preserve">х медико-санитарных </w:t>
      </w:r>
      <w:r w:rsidRPr="007F672B">
        <w:t xml:space="preserve">правил </w:t>
      </w:r>
      <w:r>
        <w:t>(</w:t>
      </w:r>
      <w:r w:rsidRPr="007F672B">
        <w:t>ММСП</w:t>
      </w:r>
      <w:r>
        <w:t>)</w:t>
      </w:r>
      <w:r w:rsidRPr="007F672B">
        <w:t xml:space="preserve"> и функции национального координатора; (3) зоонозные события и взаимодействие человека и здоровья животных; (4) безопасность пище</w:t>
      </w:r>
      <w:r>
        <w:t>вых продуктов; (5) Лаборатория</w:t>
      </w:r>
      <w:r w:rsidRPr="007F672B">
        <w:t>; (6) наблюдение; (7) человеческие ресурсы; (8) Национальная система чрезвычайных ситуаций в области здравоохранения; (9) предоставление медицинских услуг; (10) информирование о рисках; (11) Пункты въезда; (12) химические события; (13) Радиационные аварийные ситуации.</w:t>
      </w:r>
    </w:p>
  </w:footnote>
  <w:footnote w:id="5">
    <w:p w:rsidR="003A68FA" w:rsidRPr="006C2F29" w:rsidRDefault="003A68FA" w:rsidP="003A68FA">
      <w:pPr>
        <w:pStyle w:val="a4"/>
      </w:pPr>
      <w:r>
        <w:rPr>
          <w:rStyle w:val="a6"/>
        </w:rPr>
        <w:footnoteRef/>
      </w:r>
      <w:r w:rsidRPr="006C2F29">
        <w:t xml:space="preserve"> </w:t>
      </w:r>
      <w:r>
        <w:t>https</w:t>
      </w:r>
      <w:r w:rsidRPr="006C2F29">
        <w:t>://</w:t>
      </w:r>
      <w:r>
        <w:t>www</w:t>
      </w:r>
      <w:r w:rsidRPr="006C2F29">
        <w:t>.</w:t>
      </w:r>
      <w:r>
        <w:t>who</w:t>
      </w:r>
      <w:r w:rsidRPr="006C2F29">
        <w:t>.</w:t>
      </w:r>
      <w:r>
        <w:t>int</w:t>
      </w:r>
      <w:r w:rsidRPr="006C2F29">
        <w:t>/</w:t>
      </w:r>
      <w:r>
        <w:t>glass</w:t>
      </w:r>
      <w:r w:rsidRPr="006C2F29">
        <w:t>/</w:t>
      </w:r>
      <w:r>
        <w:t>en</w:t>
      </w:r>
      <w:r w:rsidRPr="006C2F29">
        <w:t>/</w:t>
      </w:r>
    </w:p>
  </w:footnote>
  <w:footnote w:id="6">
    <w:p w:rsidR="003A68FA" w:rsidRPr="007F672B" w:rsidRDefault="003A68FA" w:rsidP="003A68FA">
      <w:pPr>
        <w:pStyle w:val="a4"/>
      </w:pPr>
      <w:r>
        <w:rPr>
          <w:rStyle w:val="a6"/>
        </w:rPr>
        <w:footnoteRef/>
      </w:r>
      <w:r w:rsidRPr="007F672B">
        <w:t xml:space="preserve"> Отчет Глобальной системы </w:t>
      </w:r>
      <w:proofErr w:type="spellStart"/>
      <w:r w:rsidRPr="007F672B">
        <w:t>эпиднадзора</w:t>
      </w:r>
      <w:proofErr w:type="spellEnd"/>
      <w:r w:rsidRPr="007F672B">
        <w:t xml:space="preserve"> за устойчивостью к противомикробным препаратам (GLASS): Раннее внедрение 2017-2018 (2019). https://apps.who.int/iris/bitstream/handle/10665/279656/9789241515061-eng.pdf</w:t>
      </w:r>
    </w:p>
  </w:footnote>
  <w:footnote w:id="7">
    <w:p w:rsidR="003A68FA" w:rsidRPr="007F672B" w:rsidRDefault="003A68FA" w:rsidP="003A68FA">
      <w:pPr>
        <w:pStyle w:val="a4"/>
      </w:pPr>
      <w:r>
        <w:rPr>
          <w:rStyle w:val="a6"/>
        </w:rPr>
        <w:footnoteRef/>
      </w:r>
      <w:r w:rsidRPr="007F672B">
        <w:t xml:space="preserve"> </w:t>
      </w:r>
      <w:r>
        <w:t>EUCAST</w:t>
      </w:r>
      <w:r w:rsidRPr="007F672B">
        <w:t xml:space="preserve">, </w:t>
      </w:r>
      <w:r w:rsidRPr="007F672B">
        <w:rPr>
          <w:rFonts w:ascii="Cambria Math" w:hAnsi="Cambria Math" w:cs="Cambria Math"/>
        </w:rPr>
        <w:t>≪</w:t>
      </w:r>
      <w:r>
        <w:t>EUCAST</w:t>
      </w:r>
      <w:r w:rsidRPr="007F672B">
        <w:t xml:space="preserve"> </w:t>
      </w:r>
      <w:r w:rsidRPr="007F672B">
        <w:rPr>
          <w:rFonts w:ascii="Calibri" w:hAnsi="Calibri" w:cs="Calibri"/>
        </w:rPr>
        <w:t>рекомендации</w:t>
      </w:r>
      <w:r w:rsidRPr="007F672B">
        <w:t xml:space="preserve"> </w:t>
      </w:r>
      <w:r w:rsidRPr="007F672B">
        <w:rPr>
          <w:rFonts w:ascii="Calibri" w:hAnsi="Calibri" w:cs="Calibri"/>
        </w:rPr>
        <w:t>по</w:t>
      </w:r>
      <w:r w:rsidRPr="007F672B">
        <w:t xml:space="preserve"> </w:t>
      </w:r>
      <w:r w:rsidRPr="007F672B">
        <w:rPr>
          <w:rFonts w:ascii="Calibri" w:hAnsi="Calibri" w:cs="Calibri"/>
        </w:rPr>
        <w:t>выявлению</w:t>
      </w:r>
      <w:r w:rsidRPr="007F672B">
        <w:t xml:space="preserve"> </w:t>
      </w:r>
      <w:r w:rsidRPr="007F672B">
        <w:rPr>
          <w:rFonts w:ascii="Calibri" w:hAnsi="Calibri" w:cs="Calibri"/>
        </w:rPr>
        <w:t>механизмов</w:t>
      </w:r>
      <w:r w:rsidRPr="007F672B">
        <w:t xml:space="preserve"> </w:t>
      </w:r>
      <w:r w:rsidRPr="007F672B">
        <w:rPr>
          <w:rFonts w:ascii="Calibri" w:hAnsi="Calibri" w:cs="Calibri"/>
        </w:rPr>
        <w:t>устойчивости</w:t>
      </w:r>
      <w:r w:rsidRPr="007F672B">
        <w:t xml:space="preserve"> </w:t>
      </w:r>
      <w:r w:rsidRPr="007F672B">
        <w:rPr>
          <w:rFonts w:ascii="Calibri" w:hAnsi="Calibri" w:cs="Calibri"/>
        </w:rPr>
        <w:t>и</w:t>
      </w:r>
      <w:r w:rsidRPr="007F672B">
        <w:t xml:space="preserve"> </w:t>
      </w:r>
      <w:r w:rsidRPr="007F672B">
        <w:rPr>
          <w:rFonts w:ascii="Calibri" w:hAnsi="Calibri" w:cs="Calibri"/>
        </w:rPr>
        <w:t>специфической</w:t>
      </w:r>
      <w:r w:rsidRPr="007F672B">
        <w:t xml:space="preserve"> </w:t>
      </w:r>
      <w:r w:rsidRPr="007F672B">
        <w:rPr>
          <w:rFonts w:ascii="Calibri" w:hAnsi="Calibri" w:cs="Calibri"/>
        </w:rPr>
        <w:t>устойчивости</w:t>
      </w:r>
      <w:r w:rsidRPr="007F672B">
        <w:t xml:space="preserve"> </w:t>
      </w:r>
      <w:r w:rsidRPr="007F672B">
        <w:rPr>
          <w:rFonts w:ascii="Calibri" w:hAnsi="Calibri" w:cs="Calibri"/>
        </w:rPr>
        <w:t>клинических</w:t>
      </w:r>
      <w:r>
        <w:t xml:space="preserve"> </w:t>
      </w:r>
      <w:r w:rsidRPr="007F672B">
        <w:t xml:space="preserve">и / или эпидемиологическое значение, </w:t>
      </w:r>
      <w:r w:rsidRPr="007F672B">
        <w:rPr>
          <w:rFonts w:ascii="Cambria Math" w:hAnsi="Cambria Math" w:cs="Cambria Math"/>
        </w:rPr>
        <w:t>≫</w:t>
      </w:r>
      <w:r w:rsidRPr="007F672B">
        <w:t xml:space="preserve"> 2013 г., Доступно: </w:t>
      </w:r>
      <w:r>
        <w:t>http</w:t>
      </w:r>
      <w:r w:rsidRPr="007F672B">
        <w:t>://</w:t>
      </w:r>
      <w:r>
        <w:t>www</w:t>
      </w:r>
      <w:r w:rsidRPr="007F672B">
        <w:t>.</w:t>
      </w:r>
      <w:r>
        <w:t>amcli</w:t>
      </w:r>
      <w:r w:rsidRPr="007F672B">
        <w:t>.</w:t>
      </w:r>
      <w:r>
        <w:t>it</w:t>
      </w:r>
      <w:r w:rsidRPr="007F672B">
        <w:t>/</w:t>
      </w:r>
      <w:r>
        <w:t>wp</w:t>
      </w:r>
      <w:r w:rsidRPr="007F672B">
        <w:t>-</w:t>
      </w:r>
      <w:r>
        <w:t>content</w:t>
      </w:r>
      <w:r w:rsidRPr="007F672B">
        <w:t>/</w:t>
      </w:r>
      <w:r>
        <w:t>uploads</w:t>
      </w:r>
      <w:r w:rsidRPr="007F672B">
        <w:t>/2015/10/</w:t>
      </w:r>
    </w:p>
    <w:p w:rsidR="003A68FA" w:rsidRPr="003A68FA" w:rsidRDefault="003A68FA" w:rsidP="003A68FA">
      <w:pPr>
        <w:pStyle w:val="a4"/>
        <w:rPr>
          <w:lang w:val="en-US"/>
        </w:rPr>
      </w:pPr>
      <w:proofErr w:type="gramStart"/>
      <w:r w:rsidRPr="003A68FA">
        <w:rPr>
          <w:lang w:val="en-US"/>
        </w:rPr>
        <w:t>EUCAST_detection_resistance_mechanisms_V1.pdf.</w:t>
      </w:r>
      <w:proofErr w:type="gramEnd"/>
    </w:p>
  </w:footnote>
  <w:footnote w:id="8">
    <w:p w:rsidR="003A68FA" w:rsidRPr="007F672B" w:rsidRDefault="003A68FA" w:rsidP="003A68FA">
      <w:pPr>
        <w:pStyle w:val="a4"/>
      </w:pPr>
      <w:r>
        <w:rPr>
          <w:rStyle w:val="a6"/>
        </w:rPr>
        <w:footnoteRef/>
      </w:r>
      <w:r w:rsidRPr="007F672B">
        <w:t xml:space="preserve"> Национальные системы надзора за устойчивостью к противомикробным препаратам и участие в Глобальной системе надзора за устойчивостью к противомикробным препаратам (GLASS): руководство по планированию, внедрению, мониторингу и оценке (2016 г.). https://www.who.int/glass/resources/publications/national-surveillance-guide/en/</w:t>
      </w:r>
    </w:p>
  </w:footnote>
  <w:footnote w:id="9">
    <w:p w:rsidR="003A68FA" w:rsidRPr="006C2F29" w:rsidRDefault="003A68FA" w:rsidP="003A68FA">
      <w:pPr>
        <w:pStyle w:val="a4"/>
      </w:pPr>
      <w:r>
        <w:rPr>
          <w:rStyle w:val="a6"/>
        </w:rPr>
        <w:footnoteRef/>
      </w:r>
      <w:r w:rsidRPr="007F672B">
        <w:t xml:space="preserve"> Глобальная система надзора за устойчивостью к противомикробным препаратам: Руководство по раннему внедрению </w:t>
      </w:r>
      <w:r w:rsidRPr="006C2F29">
        <w:t>(2015).</w:t>
      </w:r>
    </w:p>
    <w:p w:rsidR="003A68FA" w:rsidRPr="006C2F29" w:rsidRDefault="003A68FA" w:rsidP="003A68FA">
      <w:pPr>
        <w:pStyle w:val="a4"/>
      </w:pPr>
      <w:r>
        <w:t>https</w:t>
      </w:r>
      <w:r w:rsidRPr="006C2F29">
        <w:t>://</w:t>
      </w:r>
      <w:r>
        <w:t>www</w:t>
      </w:r>
      <w:r w:rsidRPr="006C2F29">
        <w:t>.</w:t>
      </w:r>
      <w:r>
        <w:t>who</w:t>
      </w:r>
      <w:r w:rsidRPr="006C2F29">
        <w:t>.</w:t>
      </w:r>
      <w:r>
        <w:t>int</w:t>
      </w:r>
      <w:r w:rsidRPr="006C2F29">
        <w:t>/</w:t>
      </w:r>
      <w:r>
        <w:t>antimicrobial</w:t>
      </w:r>
      <w:r w:rsidRPr="006C2F29">
        <w:t>-</w:t>
      </w:r>
      <w:r>
        <w:t>resistance</w:t>
      </w:r>
      <w:r w:rsidRPr="006C2F29">
        <w:t>/</w:t>
      </w:r>
      <w:r>
        <w:t>publications</w:t>
      </w:r>
      <w:r w:rsidRPr="006C2F29">
        <w:t>/</w:t>
      </w:r>
      <w:r>
        <w:t>surveillance</w:t>
      </w:r>
      <w:r w:rsidRPr="006C2F29">
        <w:t>-</w:t>
      </w:r>
      <w:r>
        <w:t>system</w:t>
      </w:r>
      <w:r w:rsidRPr="006C2F29">
        <w:t>-</w:t>
      </w:r>
      <w:r>
        <w:t>manual</w:t>
      </w:r>
      <w:r w:rsidRPr="006C2F29">
        <w:t>/</w:t>
      </w:r>
      <w:r>
        <w:t>en</w:t>
      </w:r>
      <w:r w:rsidRPr="006C2F29">
        <w:t>/</w:t>
      </w:r>
      <w:r w:rsidRPr="006C2F29">
        <w:cr/>
      </w:r>
    </w:p>
  </w:footnote>
  <w:footnote w:id="10">
    <w:p w:rsidR="003A68FA" w:rsidRPr="007F672B" w:rsidRDefault="003A68FA" w:rsidP="003A68FA">
      <w:pPr>
        <w:pStyle w:val="a4"/>
      </w:pPr>
      <w:r>
        <w:rPr>
          <w:rStyle w:val="a6"/>
        </w:rPr>
        <w:footnoteRef/>
      </w:r>
      <w:r w:rsidRPr="007F672B">
        <w:t xml:space="preserve"> Отчет Глобальной системы </w:t>
      </w:r>
      <w:proofErr w:type="spellStart"/>
      <w:r w:rsidRPr="007F672B">
        <w:t>эпиднадзора</w:t>
      </w:r>
      <w:proofErr w:type="spellEnd"/>
      <w:r w:rsidRPr="007F672B">
        <w:t xml:space="preserve"> за устойчивостью к противомикробным препаратам (GLASS): Раннее внедрение 2017-2018 (2019). https://apps.who.int/iris/bitstream/handle/10665/279656/9789241515061-eng.pdf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9508D1" w:rsidRPr="009508D1" w:rsidRDefault="009508D1" w:rsidP="009508D1">
    <w:pPr>
      <w:pStyle w:val="ae"/>
      <w:jc w:val="right"/>
    </w:pPr>
    <w:r>
      <w:t xml:space="preserve">Последнее обновление: </w:t>
    </w:r>
    <w:r w:rsidR="005F2C0B">
      <w:t>февраль</w:t>
    </w:r>
    <w:r w:rsidR="00781DE7">
      <w:t xml:space="preserve"> 2022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1D10"/>
    <w:multiLevelType w:val="hybridMultilevel"/>
    <w:tmpl w:val="6DCC94F8"/>
    <w:lvl w:ilvl="0" w:tplc="95AA0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40034"/>
    <w:rsid w:val="000476F9"/>
    <w:rsid w:val="00053D20"/>
    <w:rsid w:val="000A210D"/>
    <w:rsid w:val="000A229E"/>
    <w:rsid w:val="000C5EF5"/>
    <w:rsid w:val="00116248"/>
    <w:rsid w:val="001470A2"/>
    <w:rsid w:val="00165896"/>
    <w:rsid w:val="001A163A"/>
    <w:rsid w:val="001E2C5F"/>
    <w:rsid w:val="001E2FC9"/>
    <w:rsid w:val="002064C4"/>
    <w:rsid w:val="00291FA0"/>
    <w:rsid w:val="002E122C"/>
    <w:rsid w:val="002E15F9"/>
    <w:rsid w:val="002F63E5"/>
    <w:rsid w:val="00303D71"/>
    <w:rsid w:val="003143BC"/>
    <w:rsid w:val="003746BC"/>
    <w:rsid w:val="003859BD"/>
    <w:rsid w:val="003A68FA"/>
    <w:rsid w:val="003D58DC"/>
    <w:rsid w:val="00401B76"/>
    <w:rsid w:val="00407E4E"/>
    <w:rsid w:val="004143B4"/>
    <w:rsid w:val="00421928"/>
    <w:rsid w:val="004E087E"/>
    <w:rsid w:val="005E47BD"/>
    <w:rsid w:val="005F2C0B"/>
    <w:rsid w:val="006704C2"/>
    <w:rsid w:val="00694160"/>
    <w:rsid w:val="006B260E"/>
    <w:rsid w:val="006B3939"/>
    <w:rsid w:val="006D7049"/>
    <w:rsid w:val="00702333"/>
    <w:rsid w:val="00705161"/>
    <w:rsid w:val="0075371E"/>
    <w:rsid w:val="00780F08"/>
    <w:rsid w:val="00781DE7"/>
    <w:rsid w:val="007B0CFD"/>
    <w:rsid w:val="007C27E0"/>
    <w:rsid w:val="007D1185"/>
    <w:rsid w:val="007F06DF"/>
    <w:rsid w:val="00836F3E"/>
    <w:rsid w:val="00853C09"/>
    <w:rsid w:val="009508D1"/>
    <w:rsid w:val="00957A62"/>
    <w:rsid w:val="00980F79"/>
    <w:rsid w:val="00982FE8"/>
    <w:rsid w:val="009C064B"/>
    <w:rsid w:val="00A53D4B"/>
    <w:rsid w:val="00A618FC"/>
    <w:rsid w:val="00A71EC6"/>
    <w:rsid w:val="00A82CD3"/>
    <w:rsid w:val="00A91FDE"/>
    <w:rsid w:val="00AC1A97"/>
    <w:rsid w:val="00B0378B"/>
    <w:rsid w:val="00B72F77"/>
    <w:rsid w:val="00BC4A80"/>
    <w:rsid w:val="00BD29EC"/>
    <w:rsid w:val="00BE2C5D"/>
    <w:rsid w:val="00BE415C"/>
    <w:rsid w:val="00C05ACF"/>
    <w:rsid w:val="00C47A4A"/>
    <w:rsid w:val="00C8596F"/>
    <w:rsid w:val="00CA1CB1"/>
    <w:rsid w:val="00D05466"/>
    <w:rsid w:val="00D2619D"/>
    <w:rsid w:val="00DA19D7"/>
    <w:rsid w:val="00DD190E"/>
    <w:rsid w:val="00E123F7"/>
    <w:rsid w:val="00E21B43"/>
    <w:rsid w:val="00E27922"/>
    <w:rsid w:val="00E33CA8"/>
    <w:rsid w:val="00E80F56"/>
    <w:rsid w:val="00E90BD4"/>
    <w:rsid w:val="00EB362A"/>
    <w:rsid w:val="00EB389E"/>
    <w:rsid w:val="00EE0900"/>
    <w:rsid w:val="00F6371F"/>
    <w:rsid w:val="00F73DBC"/>
    <w:rsid w:val="00F84FF1"/>
    <w:rsid w:val="00F92D6F"/>
    <w:rsid w:val="00F96DF3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F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F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lsi.org/standards/products/microbiology/documents/m100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C90C95-A314-4023-A091-AB1E7BF32798}" type="doc">
      <dgm:prSet loTypeId="urn:microsoft.com/office/officeart/2005/8/layout/target3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BAD1CFC2-D6E9-4CD1-988C-174EAF0BE62C}">
      <dgm:prSet phldrT="[Text]" custT="1"/>
      <dgm:spPr/>
      <dgm:t>
        <a:bodyPr/>
        <a:lstStyle/>
        <a:p>
          <a:r>
            <a:rPr lang="ru-RU" sz="1400" b="1" dirty="0"/>
            <a:t>Общая численность населения = общая численность населения в зоне обслуживания</a:t>
          </a:r>
          <a:endParaRPr lang="en-GB" sz="1400" b="1" dirty="0"/>
        </a:p>
      </dgm:t>
    </dgm:pt>
    <dgm:pt modelId="{A46C0290-E912-42AA-82EE-0269F38FDEE9}" type="parTrans" cxnId="{543B6F41-382A-45A9-A353-B10E7D1ACF48}">
      <dgm:prSet/>
      <dgm:spPr/>
      <dgm:t>
        <a:bodyPr/>
        <a:lstStyle/>
        <a:p>
          <a:endParaRPr lang="en-GB" sz="2400" b="1"/>
        </a:p>
      </dgm:t>
    </dgm:pt>
    <dgm:pt modelId="{687FD526-0CC5-4A04-B05C-4324FBD8ADE6}" type="sibTrans" cxnId="{543B6F41-382A-45A9-A353-B10E7D1ACF48}">
      <dgm:prSet/>
      <dgm:spPr/>
      <dgm:t>
        <a:bodyPr/>
        <a:lstStyle/>
        <a:p>
          <a:endParaRPr lang="en-GB" sz="2400" b="1"/>
        </a:p>
      </dgm:t>
    </dgm:pt>
    <dgm:pt modelId="{FAB60642-F2E5-495A-AC2B-BC3E53C8BFEB}">
      <dgm:prSet phldrT="[Text]" custT="1"/>
      <dgm:spPr/>
      <dgm:t>
        <a:bodyPr/>
        <a:lstStyle/>
        <a:p>
          <a:r>
            <a:rPr lang="ru-RU" sz="1100" b="1" dirty="0"/>
            <a:t>Общая численность населения = общая численность населения в зоне охвата пациентов с симптомами = те, кто обращается за помощью в медицинские учреждения + те, кто этого не делает</a:t>
          </a:r>
          <a:endParaRPr lang="en-GB" sz="1100" b="1" dirty="0"/>
        </a:p>
      </dgm:t>
    </dgm:pt>
    <dgm:pt modelId="{705A026E-4E81-4608-8297-A7B2F0259AD0}" type="parTrans" cxnId="{D782E4ED-11AE-4C4D-A5A2-8ABD0CFA63B8}">
      <dgm:prSet/>
      <dgm:spPr/>
      <dgm:t>
        <a:bodyPr/>
        <a:lstStyle/>
        <a:p>
          <a:endParaRPr lang="en-GB" sz="2400" b="1"/>
        </a:p>
      </dgm:t>
    </dgm:pt>
    <dgm:pt modelId="{32871175-C1A6-4F5E-9C0C-E149189D6974}" type="sibTrans" cxnId="{D782E4ED-11AE-4C4D-A5A2-8ABD0CFA63B8}">
      <dgm:prSet/>
      <dgm:spPr/>
      <dgm:t>
        <a:bodyPr/>
        <a:lstStyle/>
        <a:p>
          <a:endParaRPr lang="en-GB" sz="2400" b="1"/>
        </a:p>
      </dgm:t>
    </dgm:pt>
    <dgm:pt modelId="{20B9781C-78F4-4411-9BA1-7E23002EF054}">
      <dgm:prSet phldrT="[Text]" custT="1"/>
      <dgm:spPr/>
      <dgm:t>
        <a:bodyPr/>
        <a:lstStyle/>
        <a:p>
          <a:r>
            <a:rPr lang="ru-RU" sz="1050" b="1" dirty="0"/>
            <a:t>Пациенты с симптомами, обращающиеся за помощью в мед.учреждения</a:t>
          </a:r>
          <a:endParaRPr lang="en-GB" sz="1050" b="1" dirty="0"/>
        </a:p>
      </dgm:t>
    </dgm:pt>
    <dgm:pt modelId="{930A78C8-2B35-4E71-B931-2FA4734621F5}" type="parTrans" cxnId="{8272B4D5-24C2-4579-98C1-ED2BC5D74E7A}">
      <dgm:prSet/>
      <dgm:spPr/>
      <dgm:t>
        <a:bodyPr/>
        <a:lstStyle/>
        <a:p>
          <a:endParaRPr lang="en-GB" sz="2400" b="1"/>
        </a:p>
      </dgm:t>
    </dgm:pt>
    <dgm:pt modelId="{92861449-75EA-4252-85BF-7FC19AA04A92}" type="sibTrans" cxnId="{8272B4D5-24C2-4579-98C1-ED2BC5D74E7A}">
      <dgm:prSet/>
      <dgm:spPr/>
      <dgm:t>
        <a:bodyPr/>
        <a:lstStyle/>
        <a:p>
          <a:endParaRPr lang="en-GB" sz="2400" b="1"/>
        </a:p>
      </dgm:t>
    </dgm:pt>
    <dgm:pt modelId="{F2E6B0E9-1822-40D7-84D5-EA22F8766E5C}">
      <dgm:prSet phldrT="[Text]" custT="1"/>
      <dgm:spPr/>
      <dgm:t>
        <a:bodyPr/>
        <a:lstStyle/>
        <a:p>
          <a:r>
            <a:rPr lang="ru-RU" sz="1100" b="1" dirty="0"/>
            <a:t>Пациенты, находящиеся на лечении в мед.учреждениях, у которых были взяты и протестированы образцы крови</a:t>
          </a:r>
          <a:endParaRPr lang="en-GB" sz="1100" b="1" dirty="0"/>
        </a:p>
      </dgm:t>
    </dgm:pt>
    <dgm:pt modelId="{E9321F6F-AE1E-4142-B597-27E101119804}" type="parTrans" cxnId="{3E216031-0022-4356-925A-59A5B888088E}">
      <dgm:prSet/>
      <dgm:spPr/>
      <dgm:t>
        <a:bodyPr/>
        <a:lstStyle/>
        <a:p>
          <a:endParaRPr lang="en-GB" sz="2400" b="1"/>
        </a:p>
      </dgm:t>
    </dgm:pt>
    <dgm:pt modelId="{F37F5067-9EAD-4770-9730-7E7D2F0C06CE}" type="sibTrans" cxnId="{3E216031-0022-4356-925A-59A5B888088E}">
      <dgm:prSet/>
      <dgm:spPr/>
      <dgm:t>
        <a:bodyPr/>
        <a:lstStyle/>
        <a:p>
          <a:endParaRPr lang="en-GB" sz="2400" b="1"/>
        </a:p>
      </dgm:t>
    </dgm:pt>
    <dgm:pt modelId="{86DAFBDB-B14A-4FFA-BA8F-9A936B6B74F8}">
      <dgm:prSet phldrT="[Text]" custT="1"/>
      <dgm:spPr/>
      <dgm:t>
        <a:bodyPr/>
        <a:lstStyle/>
        <a:p>
          <a:r>
            <a:rPr lang="ru-RU" sz="1400" b="1"/>
            <a:t>Пациенты с ростом </a:t>
          </a:r>
          <a:r>
            <a:rPr lang="en-US" sz="1400" b="1" i="1"/>
            <a:t>S. aureus </a:t>
          </a:r>
          <a:r>
            <a:rPr lang="ru-RU" sz="1400" b="1"/>
            <a:t>или </a:t>
          </a:r>
          <a:r>
            <a:rPr lang="en-US" sz="1400" b="1" i="1"/>
            <a:t>E. coli </a:t>
          </a:r>
          <a:r>
            <a:rPr lang="ru-RU" sz="1400" b="1"/>
            <a:t>в исследуемых образцах крови (знаменатель)</a:t>
          </a:r>
          <a:endParaRPr lang="en-GB" sz="1400" b="1" dirty="0"/>
        </a:p>
      </dgm:t>
    </dgm:pt>
    <dgm:pt modelId="{ED9FB0B2-7A71-4C49-82AA-906C5249857F}" type="parTrans" cxnId="{02BCAFAD-FA11-46F5-9754-F527B2946832}">
      <dgm:prSet/>
      <dgm:spPr/>
      <dgm:t>
        <a:bodyPr/>
        <a:lstStyle/>
        <a:p>
          <a:endParaRPr lang="en-US"/>
        </a:p>
      </dgm:t>
    </dgm:pt>
    <dgm:pt modelId="{E4367403-EE7D-4C03-A276-F89FF3C6FF07}" type="sibTrans" cxnId="{02BCAFAD-FA11-46F5-9754-F527B2946832}">
      <dgm:prSet/>
      <dgm:spPr/>
      <dgm:t>
        <a:bodyPr/>
        <a:lstStyle/>
        <a:p>
          <a:endParaRPr lang="en-US"/>
        </a:p>
      </dgm:t>
    </dgm:pt>
    <dgm:pt modelId="{3C427096-F3F3-4B34-BFCE-FF56269CEF1E}">
      <dgm:prSet phldrT="[Text]" custT="1"/>
      <dgm:spPr/>
      <dgm:t>
        <a:bodyPr/>
        <a:lstStyle/>
        <a:p>
          <a:r>
            <a:rPr lang="ru-RU" sz="1400" b="1"/>
            <a:t>Пациенты с ростом резистентных </a:t>
          </a:r>
          <a:r>
            <a:rPr lang="en-US" sz="1400" b="1" i="1"/>
            <a:t>S. aureus </a:t>
          </a:r>
          <a:r>
            <a:rPr lang="ru-RU" sz="1400" b="1"/>
            <a:t>или </a:t>
          </a:r>
          <a:r>
            <a:rPr lang="en-US" sz="1400" b="1" i="1"/>
            <a:t>E. coli</a:t>
          </a:r>
          <a:r>
            <a:rPr lang="en-US" sz="1400" b="1"/>
            <a:t> </a:t>
          </a:r>
          <a:r>
            <a:rPr lang="ru-RU" sz="1400" b="1"/>
            <a:t>в исследуемых образцах крови (числитель)</a:t>
          </a:r>
          <a:endParaRPr lang="en-GB" sz="1400" b="1" dirty="0"/>
        </a:p>
      </dgm:t>
    </dgm:pt>
    <dgm:pt modelId="{07180C91-FE98-48E3-9B0A-7ED02FFA2B6A}" type="parTrans" cxnId="{DB6687FF-F409-4CE1-BD45-6D2FCF66B1B9}">
      <dgm:prSet/>
      <dgm:spPr/>
      <dgm:t>
        <a:bodyPr/>
        <a:lstStyle/>
        <a:p>
          <a:endParaRPr lang="en-US"/>
        </a:p>
      </dgm:t>
    </dgm:pt>
    <dgm:pt modelId="{ADE9F3D5-1B71-419A-909D-4536017D99B0}" type="sibTrans" cxnId="{DB6687FF-F409-4CE1-BD45-6D2FCF66B1B9}">
      <dgm:prSet/>
      <dgm:spPr/>
      <dgm:t>
        <a:bodyPr/>
        <a:lstStyle/>
        <a:p>
          <a:endParaRPr lang="en-US"/>
        </a:p>
      </dgm:t>
    </dgm:pt>
    <dgm:pt modelId="{A115EC4A-ADB8-405F-AE88-535C33CB32C5}" type="pres">
      <dgm:prSet presAssocID="{4FC90C95-A314-4023-A091-AB1E7BF32798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FE3EA94-4352-4B4E-857C-643538FCF659}" type="pres">
      <dgm:prSet presAssocID="{BAD1CFC2-D6E9-4CD1-988C-174EAF0BE62C}" presName="circle1" presStyleLbl="node1" presStyleIdx="0" presStyleCnt="6" custScaleY="103890"/>
      <dgm:spPr/>
    </dgm:pt>
    <dgm:pt modelId="{A5505BFA-DFA1-4489-AD3D-142495D5AE86}" type="pres">
      <dgm:prSet presAssocID="{BAD1CFC2-D6E9-4CD1-988C-174EAF0BE62C}" presName="space" presStyleCnt="0"/>
      <dgm:spPr/>
    </dgm:pt>
    <dgm:pt modelId="{9E42D7A6-17E2-4342-918D-7DA65CA743E6}" type="pres">
      <dgm:prSet presAssocID="{BAD1CFC2-D6E9-4CD1-988C-174EAF0BE62C}" presName="rect1" presStyleLbl="alignAcc1" presStyleIdx="0" presStyleCnt="6" custScaleY="101920"/>
      <dgm:spPr/>
      <dgm:t>
        <a:bodyPr/>
        <a:lstStyle/>
        <a:p>
          <a:endParaRPr lang="ru-RU"/>
        </a:p>
      </dgm:t>
    </dgm:pt>
    <dgm:pt modelId="{7933388C-9D2B-4474-922F-293454552038}" type="pres">
      <dgm:prSet presAssocID="{FAB60642-F2E5-495A-AC2B-BC3E53C8BFEB}" presName="vertSpace2" presStyleLbl="node1" presStyleIdx="0" presStyleCnt="6"/>
      <dgm:spPr/>
    </dgm:pt>
    <dgm:pt modelId="{E0BC40F0-5CC5-4015-A92D-D2BC2570D7A6}" type="pres">
      <dgm:prSet presAssocID="{FAB60642-F2E5-495A-AC2B-BC3E53C8BFEB}" presName="circle2" presStyleLbl="node1" presStyleIdx="1" presStyleCnt="6"/>
      <dgm:spPr/>
    </dgm:pt>
    <dgm:pt modelId="{58B11A80-A042-464C-810F-88AFE1D88946}" type="pres">
      <dgm:prSet presAssocID="{FAB60642-F2E5-495A-AC2B-BC3E53C8BFEB}" presName="rect2" presStyleLbl="alignAcc1" presStyleIdx="1" presStyleCnt="6" custScaleY="99990" custLinFactNeighborX="0" custLinFactNeighborY="2582"/>
      <dgm:spPr/>
      <dgm:t>
        <a:bodyPr/>
        <a:lstStyle/>
        <a:p>
          <a:endParaRPr lang="ru-RU"/>
        </a:p>
      </dgm:t>
    </dgm:pt>
    <dgm:pt modelId="{76BD143E-3792-46B8-BF3C-340C6D67C3C5}" type="pres">
      <dgm:prSet presAssocID="{20B9781C-78F4-4411-9BA1-7E23002EF054}" presName="vertSpace3" presStyleLbl="node1" presStyleIdx="1" presStyleCnt="6"/>
      <dgm:spPr/>
    </dgm:pt>
    <dgm:pt modelId="{B3D61EB8-2742-42EA-84A1-366F5125E6FD}" type="pres">
      <dgm:prSet presAssocID="{20B9781C-78F4-4411-9BA1-7E23002EF054}" presName="circle3" presStyleLbl="node1" presStyleIdx="2" presStyleCnt="6"/>
      <dgm:spPr/>
    </dgm:pt>
    <dgm:pt modelId="{76CF3D19-9B06-4A02-A09E-0F7098C71039}" type="pres">
      <dgm:prSet presAssocID="{20B9781C-78F4-4411-9BA1-7E23002EF054}" presName="rect3" presStyleLbl="alignAcc1" presStyleIdx="2" presStyleCnt="6" custLinFactNeighborX="-183" custLinFactNeighborY="2048"/>
      <dgm:spPr/>
      <dgm:t>
        <a:bodyPr/>
        <a:lstStyle/>
        <a:p>
          <a:endParaRPr lang="ru-RU"/>
        </a:p>
      </dgm:t>
    </dgm:pt>
    <dgm:pt modelId="{10A46DE4-F803-46B9-BCDE-01E0509503AC}" type="pres">
      <dgm:prSet presAssocID="{F2E6B0E9-1822-40D7-84D5-EA22F8766E5C}" presName="vertSpace4" presStyleLbl="node1" presStyleIdx="2" presStyleCnt="6"/>
      <dgm:spPr/>
    </dgm:pt>
    <dgm:pt modelId="{15211B09-23CD-4B47-A8A0-F2C28CA634D3}" type="pres">
      <dgm:prSet presAssocID="{F2E6B0E9-1822-40D7-84D5-EA22F8766E5C}" presName="circle4" presStyleLbl="node1" presStyleIdx="3" presStyleCnt="6"/>
      <dgm:spPr/>
    </dgm:pt>
    <dgm:pt modelId="{DA841ABB-7388-4723-8293-D336503C7278}" type="pres">
      <dgm:prSet presAssocID="{F2E6B0E9-1822-40D7-84D5-EA22F8766E5C}" presName="rect4" presStyleLbl="alignAcc1" presStyleIdx="3" presStyleCnt="6"/>
      <dgm:spPr/>
      <dgm:t>
        <a:bodyPr/>
        <a:lstStyle/>
        <a:p>
          <a:endParaRPr lang="ru-RU"/>
        </a:p>
      </dgm:t>
    </dgm:pt>
    <dgm:pt modelId="{B655500C-B1D0-4727-8AEC-27766363BB32}" type="pres">
      <dgm:prSet presAssocID="{86DAFBDB-B14A-4FFA-BA8F-9A936B6B74F8}" presName="vertSpace5" presStyleLbl="node1" presStyleIdx="3" presStyleCnt="6"/>
      <dgm:spPr/>
    </dgm:pt>
    <dgm:pt modelId="{A580774E-18D0-42F5-883A-841E35BF8211}" type="pres">
      <dgm:prSet presAssocID="{86DAFBDB-B14A-4FFA-BA8F-9A936B6B74F8}" presName="circle5" presStyleLbl="node1" presStyleIdx="4" presStyleCnt="6"/>
      <dgm:spPr/>
    </dgm:pt>
    <dgm:pt modelId="{016A8C9C-16C7-4DF8-AA38-4747EF8061A4}" type="pres">
      <dgm:prSet presAssocID="{86DAFBDB-B14A-4FFA-BA8F-9A936B6B74F8}" presName="rect5" presStyleLbl="alignAcc1" presStyleIdx="4" presStyleCnt="6"/>
      <dgm:spPr/>
      <dgm:t>
        <a:bodyPr/>
        <a:lstStyle/>
        <a:p>
          <a:endParaRPr lang="ru-RU"/>
        </a:p>
      </dgm:t>
    </dgm:pt>
    <dgm:pt modelId="{3428A479-BA08-4655-A953-51DD42F9CD2F}" type="pres">
      <dgm:prSet presAssocID="{3C427096-F3F3-4B34-BFCE-FF56269CEF1E}" presName="vertSpace6" presStyleLbl="node1" presStyleIdx="4" presStyleCnt="6"/>
      <dgm:spPr/>
    </dgm:pt>
    <dgm:pt modelId="{FD914F9A-BDEE-4DF9-AC06-EE1141EBD06E}" type="pres">
      <dgm:prSet presAssocID="{3C427096-F3F3-4B34-BFCE-FF56269CEF1E}" presName="circle6" presStyleLbl="node1" presStyleIdx="5" presStyleCnt="6"/>
      <dgm:spPr/>
    </dgm:pt>
    <dgm:pt modelId="{819ECDB8-1363-4276-A8D3-35CFE96CDBAD}" type="pres">
      <dgm:prSet presAssocID="{3C427096-F3F3-4B34-BFCE-FF56269CEF1E}" presName="rect6" presStyleLbl="alignAcc1" presStyleIdx="5" presStyleCnt="6" custLinFactNeighborY="2692"/>
      <dgm:spPr/>
      <dgm:t>
        <a:bodyPr/>
        <a:lstStyle/>
        <a:p>
          <a:endParaRPr lang="ru-RU"/>
        </a:p>
      </dgm:t>
    </dgm:pt>
    <dgm:pt modelId="{D6A0E0D9-26DF-4AAE-9539-8333D805A2E9}" type="pres">
      <dgm:prSet presAssocID="{BAD1CFC2-D6E9-4CD1-988C-174EAF0BE62C}" presName="rect1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3CE37F-8F5A-4781-961C-EBE46FECD819}" type="pres">
      <dgm:prSet presAssocID="{FAB60642-F2E5-495A-AC2B-BC3E53C8BFEB}" presName="rect2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176538-3B36-410C-9647-1B8953ECDE61}" type="pres">
      <dgm:prSet presAssocID="{20B9781C-78F4-4411-9BA1-7E23002EF054}" presName="rect3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6BE9CF-3595-46E7-9B4E-A46A4E224F2C}" type="pres">
      <dgm:prSet presAssocID="{F2E6B0E9-1822-40D7-84D5-EA22F8766E5C}" presName="rect4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D963EB-E364-4A2A-B4BF-023B2AFC5824}" type="pres">
      <dgm:prSet presAssocID="{86DAFBDB-B14A-4FFA-BA8F-9A936B6B74F8}" presName="rect5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8B2FFE-E114-48E7-AA7B-B13E4C189EEC}" type="pres">
      <dgm:prSet presAssocID="{3C427096-F3F3-4B34-BFCE-FF56269CEF1E}" presName="rect6ParTxNoCh" presStyleLbl="alignAcc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2BCAFAD-FA11-46F5-9754-F527B2946832}" srcId="{4FC90C95-A314-4023-A091-AB1E7BF32798}" destId="{86DAFBDB-B14A-4FFA-BA8F-9A936B6B74F8}" srcOrd="4" destOrd="0" parTransId="{ED9FB0B2-7A71-4C49-82AA-906C5249857F}" sibTransId="{E4367403-EE7D-4C03-A276-F89FF3C6FF07}"/>
    <dgm:cxn modelId="{8272B4D5-24C2-4579-98C1-ED2BC5D74E7A}" srcId="{4FC90C95-A314-4023-A091-AB1E7BF32798}" destId="{20B9781C-78F4-4411-9BA1-7E23002EF054}" srcOrd="2" destOrd="0" parTransId="{930A78C8-2B35-4E71-B931-2FA4734621F5}" sibTransId="{92861449-75EA-4252-85BF-7FC19AA04A92}"/>
    <dgm:cxn modelId="{A01ECA3E-CDFF-4216-A0A6-84064E358153}" type="presOf" srcId="{F2E6B0E9-1822-40D7-84D5-EA22F8766E5C}" destId="{FA6BE9CF-3595-46E7-9B4E-A46A4E224F2C}" srcOrd="1" destOrd="0" presId="urn:microsoft.com/office/officeart/2005/8/layout/target3"/>
    <dgm:cxn modelId="{543B6F41-382A-45A9-A353-B10E7D1ACF48}" srcId="{4FC90C95-A314-4023-A091-AB1E7BF32798}" destId="{BAD1CFC2-D6E9-4CD1-988C-174EAF0BE62C}" srcOrd="0" destOrd="0" parTransId="{A46C0290-E912-42AA-82EE-0269F38FDEE9}" sibTransId="{687FD526-0CC5-4A04-B05C-4324FBD8ADE6}"/>
    <dgm:cxn modelId="{D177CF9C-6AE2-4249-B954-571538FA50BC}" type="presOf" srcId="{20B9781C-78F4-4411-9BA1-7E23002EF054}" destId="{76CF3D19-9B06-4A02-A09E-0F7098C71039}" srcOrd="0" destOrd="0" presId="urn:microsoft.com/office/officeart/2005/8/layout/target3"/>
    <dgm:cxn modelId="{B775FE05-25DB-47E0-8BB0-B9FD9CAB8AE0}" type="presOf" srcId="{86DAFBDB-B14A-4FFA-BA8F-9A936B6B74F8}" destId="{98D963EB-E364-4A2A-B4BF-023B2AFC5824}" srcOrd="1" destOrd="0" presId="urn:microsoft.com/office/officeart/2005/8/layout/target3"/>
    <dgm:cxn modelId="{141EFDB5-A975-4381-BEA8-F2A34D3FEDEC}" type="presOf" srcId="{20B9781C-78F4-4411-9BA1-7E23002EF054}" destId="{1A176538-3B36-410C-9647-1B8953ECDE61}" srcOrd="1" destOrd="0" presId="urn:microsoft.com/office/officeart/2005/8/layout/target3"/>
    <dgm:cxn modelId="{1AF32B3D-DF40-467A-A2BF-5509F893DC9B}" type="presOf" srcId="{FAB60642-F2E5-495A-AC2B-BC3E53C8BFEB}" destId="{323CE37F-8F5A-4781-961C-EBE46FECD819}" srcOrd="1" destOrd="0" presId="urn:microsoft.com/office/officeart/2005/8/layout/target3"/>
    <dgm:cxn modelId="{D782E4ED-11AE-4C4D-A5A2-8ABD0CFA63B8}" srcId="{4FC90C95-A314-4023-A091-AB1E7BF32798}" destId="{FAB60642-F2E5-495A-AC2B-BC3E53C8BFEB}" srcOrd="1" destOrd="0" parTransId="{705A026E-4E81-4608-8297-A7B2F0259AD0}" sibTransId="{32871175-C1A6-4F5E-9C0C-E149189D6974}"/>
    <dgm:cxn modelId="{403DC3FF-F7F4-4F39-A9A1-6843F4D64773}" type="presOf" srcId="{3C427096-F3F3-4B34-BFCE-FF56269CEF1E}" destId="{178B2FFE-E114-48E7-AA7B-B13E4C189EEC}" srcOrd="1" destOrd="0" presId="urn:microsoft.com/office/officeart/2005/8/layout/target3"/>
    <dgm:cxn modelId="{DB6687FF-F409-4CE1-BD45-6D2FCF66B1B9}" srcId="{4FC90C95-A314-4023-A091-AB1E7BF32798}" destId="{3C427096-F3F3-4B34-BFCE-FF56269CEF1E}" srcOrd="5" destOrd="0" parTransId="{07180C91-FE98-48E3-9B0A-7ED02FFA2B6A}" sibTransId="{ADE9F3D5-1B71-419A-909D-4536017D99B0}"/>
    <dgm:cxn modelId="{8C0ED227-55B7-4C83-A7D0-0EAF892EC0A5}" type="presOf" srcId="{BAD1CFC2-D6E9-4CD1-988C-174EAF0BE62C}" destId="{9E42D7A6-17E2-4342-918D-7DA65CA743E6}" srcOrd="0" destOrd="0" presId="urn:microsoft.com/office/officeart/2005/8/layout/target3"/>
    <dgm:cxn modelId="{46962347-1709-44D6-A416-9A70D6EEB280}" type="presOf" srcId="{4FC90C95-A314-4023-A091-AB1E7BF32798}" destId="{A115EC4A-ADB8-405F-AE88-535C33CB32C5}" srcOrd="0" destOrd="0" presId="urn:microsoft.com/office/officeart/2005/8/layout/target3"/>
    <dgm:cxn modelId="{ABC91085-8477-4092-942E-3E1128D190A2}" type="presOf" srcId="{F2E6B0E9-1822-40D7-84D5-EA22F8766E5C}" destId="{DA841ABB-7388-4723-8293-D336503C7278}" srcOrd="0" destOrd="0" presId="urn:microsoft.com/office/officeart/2005/8/layout/target3"/>
    <dgm:cxn modelId="{5D2021AF-A890-4F74-A418-87618D58EAE0}" type="presOf" srcId="{BAD1CFC2-D6E9-4CD1-988C-174EAF0BE62C}" destId="{D6A0E0D9-26DF-4AAE-9539-8333D805A2E9}" srcOrd="1" destOrd="0" presId="urn:microsoft.com/office/officeart/2005/8/layout/target3"/>
    <dgm:cxn modelId="{BBF4E9BB-A5A4-4847-A1FA-72CD5BA52F0C}" type="presOf" srcId="{86DAFBDB-B14A-4FFA-BA8F-9A936B6B74F8}" destId="{016A8C9C-16C7-4DF8-AA38-4747EF8061A4}" srcOrd="0" destOrd="0" presId="urn:microsoft.com/office/officeart/2005/8/layout/target3"/>
    <dgm:cxn modelId="{3A10D4A8-6AD0-44DA-A9E0-536C35BAE1DB}" type="presOf" srcId="{FAB60642-F2E5-495A-AC2B-BC3E53C8BFEB}" destId="{58B11A80-A042-464C-810F-88AFE1D88946}" srcOrd="0" destOrd="0" presId="urn:microsoft.com/office/officeart/2005/8/layout/target3"/>
    <dgm:cxn modelId="{3E216031-0022-4356-925A-59A5B888088E}" srcId="{4FC90C95-A314-4023-A091-AB1E7BF32798}" destId="{F2E6B0E9-1822-40D7-84D5-EA22F8766E5C}" srcOrd="3" destOrd="0" parTransId="{E9321F6F-AE1E-4142-B597-27E101119804}" sibTransId="{F37F5067-9EAD-4770-9730-7E7D2F0C06CE}"/>
    <dgm:cxn modelId="{6DF47727-78AF-4E40-85E6-01138DAF129B}" type="presOf" srcId="{3C427096-F3F3-4B34-BFCE-FF56269CEF1E}" destId="{819ECDB8-1363-4276-A8D3-35CFE96CDBAD}" srcOrd="0" destOrd="0" presId="urn:microsoft.com/office/officeart/2005/8/layout/target3"/>
    <dgm:cxn modelId="{16965348-2F74-48D4-BA9A-D7F880FFFDF8}" type="presParOf" srcId="{A115EC4A-ADB8-405F-AE88-535C33CB32C5}" destId="{6FE3EA94-4352-4B4E-857C-643538FCF659}" srcOrd="0" destOrd="0" presId="urn:microsoft.com/office/officeart/2005/8/layout/target3"/>
    <dgm:cxn modelId="{9EE4B0A1-FF65-401A-B64E-9013B10F9C8E}" type="presParOf" srcId="{A115EC4A-ADB8-405F-AE88-535C33CB32C5}" destId="{A5505BFA-DFA1-4489-AD3D-142495D5AE86}" srcOrd="1" destOrd="0" presId="urn:microsoft.com/office/officeart/2005/8/layout/target3"/>
    <dgm:cxn modelId="{791E1A3C-4F02-4EC6-A104-4A53501D0EAE}" type="presParOf" srcId="{A115EC4A-ADB8-405F-AE88-535C33CB32C5}" destId="{9E42D7A6-17E2-4342-918D-7DA65CA743E6}" srcOrd="2" destOrd="0" presId="urn:microsoft.com/office/officeart/2005/8/layout/target3"/>
    <dgm:cxn modelId="{A5570953-DE7E-4A96-84B0-F381CFF254A0}" type="presParOf" srcId="{A115EC4A-ADB8-405F-AE88-535C33CB32C5}" destId="{7933388C-9D2B-4474-922F-293454552038}" srcOrd="3" destOrd="0" presId="urn:microsoft.com/office/officeart/2005/8/layout/target3"/>
    <dgm:cxn modelId="{A66C9B1E-D055-4B34-9ACF-64930005368D}" type="presParOf" srcId="{A115EC4A-ADB8-405F-AE88-535C33CB32C5}" destId="{E0BC40F0-5CC5-4015-A92D-D2BC2570D7A6}" srcOrd="4" destOrd="0" presId="urn:microsoft.com/office/officeart/2005/8/layout/target3"/>
    <dgm:cxn modelId="{26517AFA-26FC-42E1-93AD-A99BAC7A32A8}" type="presParOf" srcId="{A115EC4A-ADB8-405F-AE88-535C33CB32C5}" destId="{58B11A80-A042-464C-810F-88AFE1D88946}" srcOrd="5" destOrd="0" presId="urn:microsoft.com/office/officeart/2005/8/layout/target3"/>
    <dgm:cxn modelId="{F1E1D946-D4F3-4EA7-96BF-C0FDC53189B3}" type="presParOf" srcId="{A115EC4A-ADB8-405F-AE88-535C33CB32C5}" destId="{76BD143E-3792-46B8-BF3C-340C6D67C3C5}" srcOrd="6" destOrd="0" presId="urn:microsoft.com/office/officeart/2005/8/layout/target3"/>
    <dgm:cxn modelId="{A422EFAA-A4FC-4B4F-957B-145B8324233B}" type="presParOf" srcId="{A115EC4A-ADB8-405F-AE88-535C33CB32C5}" destId="{B3D61EB8-2742-42EA-84A1-366F5125E6FD}" srcOrd="7" destOrd="0" presId="urn:microsoft.com/office/officeart/2005/8/layout/target3"/>
    <dgm:cxn modelId="{6A3387C4-754B-4B9B-81E6-F3699AD4AEBA}" type="presParOf" srcId="{A115EC4A-ADB8-405F-AE88-535C33CB32C5}" destId="{76CF3D19-9B06-4A02-A09E-0F7098C71039}" srcOrd="8" destOrd="0" presId="urn:microsoft.com/office/officeart/2005/8/layout/target3"/>
    <dgm:cxn modelId="{C50F3605-E733-4CEB-B997-C60F6102BB19}" type="presParOf" srcId="{A115EC4A-ADB8-405F-AE88-535C33CB32C5}" destId="{10A46DE4-F803-46B9-BCDE-01E0509503AC}" srcOrd="9" destOrd="0" presId="urn:microsoft.com/office/officeart/2005/8/layout/target3"/>
    <dgm:cxn modelId="{A704342F-BF5F-4657-BF44-6D948FAADD3C}" type="presParOf" srcId="{A115EC4A-ADB8-405F-AE88-535C33CB32C5}" destId="{15211B09-23CD-4B47-A8A0-F2C28CA634D3}" srcOrd="10" destOrd="0" presId="urn:microsoft.com/office/officeart/2005/8/layout/target3"/>
    <dgm:cxn modelId="{D11FE812-8C7C-4216-A3B8-1D3089E92EFA}" type="presParOf" srcId="{A115EC4A-ADB8-405F-AE88-535C33CB32C5}" destId="{DA841ABB-7388-4723-8293-D336503C7278}" srcOrd="11" destOrd="0" presId="urn:microsoft.com/office/officeart/2005/8/layout/target3"/>
    <dgm:cxn modelId="{BAFC4947-0CB2-4A8D-8056-92D2E3CEF5B2}" type="presParOf" srcId="{A115EC4A-ADB8-405F-AE88-535C33CB32C5}" destId="{B655500C-B1D0-4727-8AEC-27766363BB32}" srcOrd="12" destOrd="0" presId="urn:microsoft.com/office/officeart/2005/8/layout/target3"/>
    <dgm:cxn modelId="{C49B0890-B94B-4C06-A134-5EA486FF8770}" type="presParOf" srcId="{A115EC4A-ADB8-405F-AE88-535C33CB32C5}" destId="{A580774E-18D0-42F5-883A-841E35BF8211}" srcOrd="13" destOrd="0" presId="urn:microsoft.com/office/officeart/2005/8/layout/target3"/>
    <dgm:cxn modelId="{02CA6BF2-CDE0-433C-8A5B-7CA292077653}" type="presParOf" srcId="{A115EC4A-ADB8-405F-AE88-535C33CB32C5}" destId="{016A8C9C-16C7-4DF8-AA38-4747EF8061A4}" srcOrd="14" destOrd="0" presId="urn:microsoft.com/office/officeart/2005/8/layout/target3"/>
    <dgm:cxn modelId="{AB91F724-6315-4ABC-8E94-DEFA8BFA775F}" type="presParOf" srcId="{A115EC4A-ADB8-405F-AE88-535C33CB32C5}" destId="{3428A479-BA08-4655-A953-51DD42F9CD2F}" srcOrd="15" destOrd="0" presId="urn:microsoft.com/office/officeart/2005/8/layout/target3"/>
    <dgm:cxn modelId="{7B1081F0-381D-4F5D-931A-1FB7D099D374}" type="presParOf" srcId="{A115EC4A-ADB8-405F-AE88-535C33CB32C5}" destId="{FD914F9A-BDEE-4DF9-AC06-EE1141EBD06E}" srcOrd="16" destOrd="0" presId="urn:microsoft.com/office/officeart/2005/8/layout/target3"/>
    <dgm:cxn modelId="{ED6E5DCA-A9F2-424B-91D2-03A305AEEACE}" type="presParOf" srcId="{A115EC4A-ADB8-405F-AE88-535C33CB32C5}" destId="{819ECDB8-1363-4276-A8D3-35CFE96CDBAD}" srcOrd="17" destOrd="0" presId="urn:microsoft.com/office/officeart/2005/8/layout/target3"/>
    <dgm:cxn modelId="{C332D187-7ABA-462D-AB34-AC241064ACA4}" type="presParOf" srcId="{A115EC4A-ADB8-405F-AE88-535C33CB32C5}" destId="{D6A0E0D9-26DF-4AAE-9539-8333D805A2E9}" srcOrd="18" destOrd="0" presId="urn:microsoft.com/office/officeart/2005/8/layout/target3"/>
    <dgm:cxn modelId="{77244E30-906A-48A0-8E45-F40D8C718E02}" type="presParOf" srcId="{A115EC4A-ADB8-405F-AE88-535C33CB32C5}" destId="{323CE37F-8F5A-4781-961C-EBE46FECD819}" srcOrd="19" destOrd="0" presId="urn:microsoft.com/office/officeart/2005/8/layout/target3"/>
    <dgm:cxn modelId="{0397AF4A-BCBF-4130-89F3-5AED075B0771}" type="presParOf" srcId="{A115EC4A-ADB8-405F-AE88-535C33CB32C5}" destId="{1A176538-3B36-410C-9647-1B8953ECDE61}" srcOrd="20" destOrd="0" presId="urn:microsoft.com/office/officeart/2005/8/layout/target3"/>
    <dgm:cxn modelId="{42922A05-BB36-4C66-808A-7B1D75D83E2D}" type="presParOf" srcId="{A115EC4A-ADB8-405F-AE88-535C33CB32C5}" destId="{FA6BE9CF-3595-46E7-9B4E-A46A4E224F2C}" srcOrd="21" destOrd="0" presId="urn:microsoft.com/office/officeart/2005/8/layout/target3"/>
    <dgm:cxn modelId="{B27A0188-E70D-41C8-B5C3-D0975164C24D}" type="presParOf" srcId="{A115EC4A-ADB8-405F-AE88-535C33CB32C5}" destId="{98D963EB-E364-4A2A-B4BF-023B2AFC5824}" srcOrd="22" destOrd="0" presId="urn:microsoft.com/office/officeart/2005/8/layout/target3"/>
    <dgm:cxn modelId="{6532C469-4869-4976-BF1C-DA88DADE435A}" type="presParOf" srcId="{A115EC4A-ADB8-405F-AE88-535C33CB32C5}" destId="{178B2FFE-E114-48E7-AA7B-B13E4C189EEC}" srcOrd="23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E3EA94-4352-4B4E-857C-643538FCF659}">
      <dsp:nvSpPr>
        <dsp:cNvPr id="0" name=""/>
        <dsp:cNvSpPr/>
      </dsp:nvSpPr>
      <dsp:spPr>
        <a:xfrm>
          <a:off x="0" y="506687"/>
          <a:ext cx="3564255" cy="3702904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42D7A6-17E2-4342-918D-7DA65CA743E6}">
      <dsp:nvSpPr>
        <dsp:cNvPr id="0" name=""/>
        <dsp:cNvSpPr/>
      </dsp:nvSpPr>
      <dsp:spPr>
        <a:xfrm>
          <a:off x="1782127" y="541795"/>
          <a:ext cx="4158297" cy="363268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/>
            <a:t>Общая численность населения = общая численность населения в зоне обслуживания</a:t>
          </a:r>
          <a:endParaRPr lang="en-GB" sz="1400" b="1" kern="1200" dirty="0"/>
        </a:p>
      </dsp:txBody>
      <dsp:txXfrm>
        <a:off x="1782127" y="541795"/>
        <a:ext cx="4158297" cy="454087"/>
      </dsp:txXfrm>
    </dsp:sp>
    <dsp:sp modelId="{E0BC40F0-5CC5-4015-A92D-D2BC2570D7A6}">
      <dsp:nvSpPr>
        <dsp:cNvPr id="0" name=""/>
        <dsp:cNvSpPr/>
      </dsp:nvSpPr>
      <dsp:spPr>
        <a:xfrm>
          <a:off x="311872" y="1021545"/>
          <a:ext cx="2940509" cy="2940509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B11A80-A042-464C-810F-88AFE1D88946}">
      <dsp:nvSpPr>
        <dsp:cNvPr id="0" name=""/>
        <dsp:cNvSpPr/>
      </dsp:nvSpPr>
      <dsp:spPr>
        <a:xfrm>
          <a:off x="1782127" y="1097616"/>
          <a:ext cx="4158297" cy="294021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/>
            <a:t>Общая численность населения = общая численность населения в зоне охвата пациентов с симптомами = те, кто обращается за помощью в медицинские учреждения + те, кто этого не делает</a:t>
          </a:r>
          <a:endParaRPr lang="en-GB" sz="1100" b="1" kern="1200" dirty="0"/>
        </a:p>
      </dsp:txBody>
      <dsp:txXfrm>
        <a:off x="1782127" y="1097616"/>
        <a:ext cx="4158297" cy="445488"/>
      </dsp:txXfrm>
    </dsp:sp>
    <dsp:sp modelId="{B3D61EB8-2742-42EA-84A1-366F5125E6FD}">
      <dsp:nvSpPr>
        <dsp:cNvPr id="0" name=""/>
        <dsp:cNvSpPr/>
      </dsp:nvSpPr>
      <dsp:spPr>
        <a:xfrm>
          <a:off x="623745" y="1467078"/>
          <a:ext cx="2316763" cy="2316763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CF3D19-9B06-4A02-A09E-0F7098C71039}">
      <dsp:nvSpPr>
        <dsp:cNvPr id="0" name=""/>
        <dsp:cNvSpPr/>
      </dsp:nvSpPr>
      <dsp:spPr>
        <a:xfrm>
          <a:off x="1774517" y="1514525"/>
          <a:ext cx="4158297" cy="23167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 dirty="0"/>
            <a:t>Пациенты с симптомами, обращающиеся за помощью в мед.учреждения</a:t>
          </a:r>
          <a:endParaRPr lang="en-GB" sz="1050" b="1" kern="1200" dirty="0"/>
        </a:p>
      </dsp:txBody>
      <dsp:txXfrm>
        <a:off x="1774517" y="1514525"/>
        <a:ext cx="4158297" cy="445529"/>
      </dsp:txXfrm>
    </dsp:sp>
    <dsp:sp modelId="{15211B09-23CD-4B47-A8A0-F2C28CA634D3}">
      <dsp:nvSpPr>
        <dsp:cNvPr id="0" name=""/>
        <dsp:cNvSpPr/>
      </dsp:nvSpPr>
      <dsp:spPr>
        <a:xfrm>
          <a:off x="935616" y="1912608"/>
          <a:ext cx="1693021" cy="1693021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841ABB-7388-4723-8293-D336503C7278}">
      <dsp:nvSpPr>
        <dsp:cNvPr id="0" name=""/>
        <dsp:cNvSpPr/>
      </dsp:nvSpPr>
      <dsp:spPr>
        <a:xfrm>
          <a:off x="1782127" y="1912608"/>
          <a:ext cx="4158297" cy="169302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/>
            <a:t>Пациенты, находящиеся на лечении в мед.учреждениях, у которых были взяты и протестированы образцы крови</a:t>
          </a:r>
          <a:endParaRPr lang="en-GB" sz="1100" b="1" kern="1200" dirty="0"/>
        </a:p>
      </dsp:txBody>
      <dsp:txXfrm>
        <a:off x="1782127" y="1912608"/>
        <a:ext cx="4158297" cy="445532"/>
      </dsp:txXfrm>
    </dsp:sp>
    <dsp:sp modelId="{A580774E-18D0-42F5-883A-841E35BF8211}">
      <dsp:nvSpPr>
        <dsp:cNvPr id="0" name=""/>
        <dsp:cNvSpPr/>
      </dsp:nvSpPr>
      <dsp:spPr>
        <a:xfrm>
          <a:off x="1247489" y="2358141"/>
          <a:ext cx="1069275" cy="1069275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6A8C9C-16C7-4DF8-AA38-4747EF8061A4}">
      <dsp:nvSpPr>
        <dsp:cNvPr id="0" name=""/>
        <dsp:cNvSpPr/>
      </dsp:nvSpPr>
      <dsp:spPr>
        <a:xfrm>
          <a:off x="1782127" y="2358141"/>
          <a:ext cx="4158297" cy="10692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Пациенты с ростом </a:t>
          </a:r>
          <a:r>
            <a:rPr lang="en-US" sz="1400" b="1" i="1" kern="1200"/>
            <a:t>S. aureus </a:t>
          </a:r>
          <a:r>
            <a:rPr lang="ru-RU" sz="1400" b="1" kern="1200"/>
            <a:t>или </a:t>
          </a:r>
          <a:r>
            <a:rPr lang="en-US" sz="1400" b="1" i="1" kern="1200"/>
            <a:t>E. coli </a:t>
          </a:r>
          <a:r>
            <a:rPr lang="ru-RU" sz="1400" b="1" kern="1200"/>
            <a:t>в исследуемых образцах крови (знаменатель)</a:t>
          </a:r>
          <a:endParaRPr lang="en-GB" sz="1400" b="1" kern="1200" dirty="0"/>
        </a:p>
      </dsp:txBody>
      <dsp:txXfrm>
        <a:off x="1782127" y="2358141"/>
        <a:ext cx="4158297" cy="445533"/>
      </dsp:txXfrm>
    </dsp:sp>
    <dsp:sp modelId="{FD914F9A-BDEE-4DF9-AC06-EE1141EBD06E}">
      <dsp:nvSpPr>
        <dsp:cNvPr id="0" name=""/>
        <dsp:cNvSpPr/>
      </dsp:nvSpPr>
      <dsp:spPr>
        <a:xfrm>
          <a:off x="1559362" y="2803674"/>
          <a:ext cx="445529" cy="445529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ECDB8-1363-4276-A8D3-35CFE96CDBAD}">
      <dsp:nvSpPr>
        <dsp:cNvPr id="0" name=""/>
        <dsp:cNvSpPr/>
      </dsp:nvSpPr>
      <dsp:spPr>
        <a:xfrm>
          <a:off x="1782127" y="2815667"/>
          <a:ext cx="4158297" cy="4455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Пациенты с ростом резистентных </a:t>
          </a:r>
          <a:r>
            <a:rPr lang="en-US" sz="1400" b="1" i="1" kern="1200"/>
            <a:t>S. aureus </a:t>
          </a:r>
          <a:r>
            <a:rPr lang="ru-RU" sz="1400" b="1" kern="1200"/>
            <a:t>или </a:t>
          </a:r>
          <a:r>
            <a:rPr lang="en-US" sz="1400" b="1" i="1" kern="1200"/>
            <a:t>E. coli</a:t>
          </a:r>
          <a:r>
            <a:rPr lang="en-US" sz="1400" b="1" kern="1200"/>
            <a:t> </a:t>
          </a:r>
          <a:r>
            <a:rPr lang="ru-RU" sz="1400" b="1" kern="1200"/>
            <a:t>в исследуемых образцах крови (числитель)</a:t>
          </a:r>
          <a:endParaRPr lang="en-GB" sz="1400" b="1" kern="1200" dirty="0"/>
        </a:p>
      </dsp:txBody>
      <dsp:txXfrm>
        <a:off x="1782127" y="2815667"/>
        <a:ext cx="4158297" cy="445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A62A-F2F7-4CBD-ABDB-5AD30DB6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Жирякова Екатерина Александровна</cp:lastModifiedBy>
  <cp:revision>7</cp:revision>
  <dcterms:created xsi:type="dcterms:W3CDTF">2022-02-24T12:36:00Z</dcterms:created>
  <dcterms:modified xsi:type="dcterms:W3CDTF">2022-02-24T12:58:00Z</dcterms:modified>
</cp:coreProperties>
</file>