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C6" w:rsidRPr="002B6526" w:rsidRDefault="006E52C6" w:rsidP="006E52C6">
      <w:pPr>
        <w:spacing w:before="0"/>
        <w:ind w:firstLine="0"/>
        <w:rPr>
          <w:rFonts w:eastAsia="Times New Roman" w:cs="Times New Roman"/>
          <w:b/>
          <w:color w:val="000000"/>
          <w:szCs w:val="28"/>
          <w:lang w:eastAsia="ru-RU"/>
        </w:rPr>
      </w:pPr>
      <w:r w:rsidRPr="002B6526">
        <w:rPr>
          <w:rFonts w:eastAsia="Times New Roman" w:cs="Times New Roman"/>
          <w:b/>
          <w:color w:val="000000"/>
          <w:szCs w:val="28"/>
          <w:lang w:eastAsia="ru-RU"/>
        </w:rPr>
        <w:t xml:space="preserve">Цель 5. </w:t>
      </w:r>
      <w:r w:rsidRPr="006E52C6">
        <w:rPr>
          <w:rFonts w:eastAsia="Times New Roman" w:cs="Times New Roman"/>
          <w:b/>
          <w:color w:val="000000"/>
          <w:szCs w:val="28"/>
          <w:lang w:eastAsia="ru-RU"/>
        </w:rPr>
        <w:t>Обеспечение гендерного равенства и расширение прав и возможностей всех женщин и девочек</w:t>
      </w:r>
    </w:p>
    <w:p w:rsidR="006E52C6" w:rsidRPr="002B6526" w:rsidRDefault="006E52C6" w:rsidP="006E52C6">
      <w:pPr>
        <w:spacing w:before="0"/>
        <w:ind w:firstLine="0"/>
        <w:rPr>
          <w:rFonts w:eastAsia="Times New Roman" w:cs="Times New Roman"/>
          <w:b/>
          <w:color w:val="000000"/>
          <w:szCs w:val="28"/>
          <w:lang w:eastAsia="ru-RU"/>
        </w:rPr>
      </w:pPr>
    </w:p>
    <w:p w:rsidR="006E52C6" w:rsidRPr="002B6526" w:rsidRDefault="006E52C6" w:rsidP="006E52C6">
      <w:pPr>
        <w:spacing w:before="0"/>
        <w:ind w:firstLine="0"/>
        <w:rPr>
          <w:rFonts w:eastAsia="Times New Roman" w:cs="Times New Roman"/>
          <w:b/>
          <w:color w:val="000000"/>
          <w:szCs w:val="28"/>
          <w:lang w:eastAsia="ru-RU"/>
        </w:rPr>
      </w:pPr>
      <w:r w:rsidRPr="006E52C6">
        <w:rPr>
          <w:rFonts w:eastAsia="Times New Roman" w:cs="Times New Roman"/>
          <w:b/>
          <w:color w:val="000000"/>
          <w:szCs w:val="28"/>
          <w:lang w:eastAsia="ru-RU"/>
        </w:rPr>
        <w:t>5.6</w:t>
      </w:r>
      <w:proofErr w:type="gramStart"/>
      <w:r w:rsidRPr="006E52C6">
        <w:rPr>
          <w:rFonts w:eastAsia="Times New Roman" w:cs="Times New Roman"/>
          <w:b/>
          <w:color w:val="000000"/>
          <w:szCs w:val="28"/>
          <w:lang w:eastAsia="ru-RU"/>
        </w:rPr>
        <w:t xml:space="preserve"> О</w:t>
      </w:r>
      <w:proofErr w:type="gramEnd"/>
      <w:r w:rsidRPr="006E52C6">
        <w:rPr>
          <w:rFonts w:eastAsia="Times New Roman" w:cs="Times New Roman"/>
          <w:b/>
          <w:color w:val="000000"/>
          <w:szCs w:val="28"/>
          <w:lang w:eastAsia="ru-RU"/>
        </w:rPr>
        <w:t>беспечить всеобщий доступ к услугам в области охраны сексуального и репродуктивного здоровья и к реализации репродуктивных прав в соответствии с Программой действий Международной конференции по народонаселению и развитию, Пекинской платформой действий и итоговыми документами конференций по рассмотрению хода их выполнения</w:t>
      </w:r>
    </w:p>
    <w:p w:rsidR="006E52C6" w:rsidRPr="002B6526" w:rsidRDefault="006E52C6" w:rsidP="006E52C6">
      <w:pPr>
        <w:spacing w:before="0"/>
        <w:ind w:firstLine="0"/>
        <w:rPr>
          <w:rFonts w:eastAsia="Times New Roman" w:cs="Times New Roman"/>
          <w:b/>
          <w:color w:val="000000"/>
          <w:szCs w:val="28"/>
          <w:lang w:eastAsia="ru-RU"/>
        </w:rPr>
      </w:pPr>
    </w:p>
    <w:p w:rsidR="006E52C6" w:rsidRPr="002B6526" w:rsidRDefault="006E52C6" w:rsidP="006E52C6">
      <w:pPr>
        <w:spacing w:before="0"/>
        <w:ind w:firstLine="0"/>
        <w:rPr>
          <w:rFonts w:eastAsia="Times New Roman" w:cs="Times New Roman"/>
          <w:b/>
          <w:color w:val="000000"/>
          <w:szCs w:val="28"/>
          <w:lang w:eastAsia="ru-RU"/>
        </w:rPr>
      </w:pPr>
      <w:r w:rsidRPr="006E52C6">
        <w:rPr>
          <w:rFonts w:eastAsia="Times New Roman" w:cs="Times New Roman"/>
          <w:b/>
          <w:color w:val="000000"/>
          <w:szCs w:val="28"/>
          <w:lang w:eastAsia="ru-RU"/>
        </w:rPr>
        <w:t>5.6.2 Число стран, где действуют законы и нормативные акты, гарантирующие женщинам и мужчинам в возрасте от 15 лет полный и равный доступ к услугам по охране сексуального и репродуктивного здоровья и информации и просвещению в этой сфере</w:t>
      </w:r>
    </w:p>
    <w:p w:rsidR="006E52C6" w:rsidRPr="002B6526" w:rsidRDefault="00230E90" w:rsidP="00230E90">
      <w:pPr>
        <w:ind w:firstLine="0"/>
        <w:rPr>
          <w:rFonts w:cs="Times New Roman"/>
          <w:b/>
          <w:szCs w:val="28"/>
        </w:rPr>
      </w:pPr>
      <w:r w:rsidRPr="002B6526">
        <w:rPr>
          <w:rFonts w:cs="Times New Roman"/>
          <w:b/>
          <w:szCs w:val="28"/>
        </w:rPr>
        <w:t>Институциональная информация</w:t>
      </w:r>
    </w:p>
    <w:p w:rsidR="00230E90" w:rsidRPr="002B6526" w:rsidRDefault="00230E90" w:rsidP="00230E90">
      <w:pPr>
        <w:ind w:firstLine="0"/>
        <w:rPr>
          <w:rFonts w:cs="Times New Roman"/>
          <w:szCs w:val="28"/>
        </w:rPr>
      </w:pPr>
      <w:r w:rsidRPr="002B6526">
        <w:rPr>
          <w:rFonts w:cs="Times New Roman"/>
          <w:szCs w:val="28"/>
        </w:rPr>
        <w:t>Организаци</w:t>
      </w:r>
      <w:proofErr w:type="gramStart"/>
      <w:r w:rsidRPr="002B6526">
        <w:rPr>
          <w:rFonts w:cs="Times New Roman"/>
          <w:szCs w:val="28"/>
        </w:rPr>
        <w:t>я(</w:t>
      </w:r>
      <w:proofErr w:type="gramEnd"/>
      <w:r w:rsidRPr="002B6526">
        <w:rPr>
          <w:rFonts w:cs="Times New Roman"/>
          <w:szCs w:val="28"/>
        </w:rPr>
        <w:t>и):</w:t>
      </w:r>
    </w:p>
    <w:p w:rsidR="00230E90" w:rsidRPr="002B6526" w:rsidRDefault="00230E90" w:rsidP="00230E90">
      <w:pPr>
        <w:ind w:firstLine="0"/>
        <w:rPr>
          <w:rFonts w:cs="Times New Roman"/>
          <w:szCs w:val="28"/>
        </w:rPr>
      </w:pPr>
      <w:r w:rsidRPr="002B6526">
        <w:rPr>
          <w:rFonts w:cs="Times New Roman"/>
          <w:szCs w:val="28"/>
        </w:rPr>
        <w:t>Фонд Организации Объединенных Наций в области народонаселения (ЮНФПА)</w:t>
      </w:r>
    </w:p>
    <w:p w:rsidR="00230E90" w:rsidRPr="002B6526" w:rsidRDefault="00230E90" w:rsidP="00230E90">
      <w:pPr>
        <w:ind w:firstLine="0"/>
        <w:rPr>
          <w:rFonts w:cs="Times New Roman"/>
          <w:b/>
          <w:szCs w:val="28"/>
        </w:rPr>
      </w:pPr>
      <w:r w:rsidRPr="002B6526">
        <w:rPr>
          <w:rFonts w:cs="Times New Roman"/>
          <w:b/>
          <w:szCs w:val="28"/>
        </w:rPr>
        <w:t>Концепции и определения</w:t>
      </w:r>
    </w:p>
    <w:p w:rsidR="00230E90" w:rsidRPr="002B6526" w:rsidRDefault="00230E90" w:rsidP="00D95CE2">
      <w:pPr>
        <w:spacing w:line="360" w:lineRule="auto"/>
        <w:ind w:firstLine="0"/>
        <w:rPr>
          <w:rFonts w:cs="Times New Roman"/>
          <w:szCs w:val="28"/>
        </w:rPr>
      </w:pPr>
      <w:r w:rsidRPr="002B6526">
        <w:rPr>
          <w:rFonts w:cs="Times New Roman"/>
          <w:szCs w:val="28"/>
        </w:rPr>
        <w:t>Показатель 5.6.2 цел</w:t>
      </w:r>
      <w:r w:rsidR="00836FCB">
        <w:rPr>
          <w:rFonts w:cs="Times New Roman"/>
          <w:szCs w:val="28"/>
        </w:rPr>
        <w:t>ей</w:t>
      </w:r>
      <w:r w:rsidRPr="002B6526">
        <w:rPr>
          <w:rFonts w:cs="Times New Roman"/>
          <w:szCs w:val="28"/>
        </w:rPr>
        <w:t xml:space="preserve"> в области устойчивого развития (ЦУР) направлен на измерение того, в какой степени страны имеют национальные законы и положения, гарантирующие полный и равный доступ женщин и мужчин в возрасте 15 лет и старше к услугам, информации и образованию в области сексуального и репродуктивного здоровья.</w:t>
      </w:r>
    </w:p>
    <w:p w:rsidR="00230E90" w:rsidRPr="002B6526" w:rsidRDefault="00230E90" w:rsidP="00D95CE2">
      <w:pPr>
        <w:spacing w:line="360" w:lineRule="auto"/>
        <w:ind w:firstLine="0"/>
        <w:rPr>
          <w:rFonts w:cs="Times New Roman"/>
          <w:szCs w:val="28"/>
        </w:rPr>
      </w:pPr>
      <w:r w:rsidRPr="002B6526">
        <w:rPr>
          <w:rFonts w:cs="Times New Roman"/>
          <w:szCs w:val="28"/>
        </w:rPr>
        <w:t>Показатель представляет собой процентный показатель</w:t>
      </w:r>
      <w:proofErr w:type="gramStart"/>
      <w:r w:rsidRPr="002B6526">
        <w:rPr>
          <w:rFonts w:cs="Times New Roman"/>
          <w:szCs w:val="28"/>
        </w:rPr>
        <w:t xml:space="preserve"> (%) </w:t>
      </w:r>
      <w:proofErr w:type="gramEnd"/>
      <w:r w:rsidRPr="002B6526">
        <w:rPr>
          <w:rFonts w:cs="Times New Roman"/>
          <w:szCs w:val="28"/>
        </w:rPr>
        <w:t>от 0 до 100 (национальные законы и нормативные акты существуют для обеспечения полного и равного доступа), указывающий на статус страны и прогресс в существовании таких национальных законов и нормативных актов.  Показатель 5.6.2 измеряет только наличие законов и нормативных актов; он не измеряет их осуществление.</w:t>
      </w:r>
    </w:p>
    <w:p w:rsidR="0062188E" w:rsidRDefault="0062188E" w:rsidP="00D95CE2">
      <w:pPr>
        <w:spacing w:line="360" w:lineRule="auto"/>
        <w:ind w:firstLine="0"/>
        <w:rPr>
          <w:rFonts w:cs="Times New Roman"/>
          <w:szCs w:val="28"/>
        </w:rPr>
      </w:pPr>
    </w:p>
    <w:p w:rsidR="0062188E" w:rsidRDefault="0062188E" w:rsidP="00D95CE2">
      <w:pPr>
        <w:spacing w:line="360" w:lineRule="auto"/>
        <w:ind w:firstLine="0"/>
        <w:rPr>
          <w:rFonts w:cs="Times New Roman"/>
          <w:szCs w:val="28"/>
        </w:rPr>
      </w:pPr>
    </w:p>
    <w:p w:rsidR="00230E90" w:rsidRPr="002B6526" w:rsidRDefault="00230E90" w:rsidP="00D95CE2">
      <w:pPr>
        <w:spacing w:line="360" w:lineRule="auto"/>
        <w:ind w:firstLine="0"/>
        <w:rPr>
          <w:rFonts w:cs="Times New Roman"/>
          <w:szCs w:val="28"/>
        </w:rPr>
      </w:pPr>
      <w:r w:rsidRPr="002B6526">
        <w:rPr>
          <w:rFonts w:cs="Times New Roman"/>
          <w:szCs w:val="28"/>
        </w:rPr>
        <w:lastRenderedPageBreak/>
        <w:t>Определение:</w:t>
      </w:r>
    </w:p>
    <w:p w:rsidR="00230E90" w:rsidRPr="002B6526" w:rsidRDefault="00230E90" w:rsidP="00D95CE2">
      <w:pPr>
        <w:spacing w:line="360" w:lineRule="auto"/>
        <w:ind w:firstLine="0"/>
        <w:rPr>
          <w:rFonts w:cs="Times New Roman"/>
          <w:szCs w:val="28"/>
        </w:rPr>
      </w:pPr>
      <w:proofErr w:type="gramStart"/>
      <w:r w:rsidRPr="002B6526">
        <w:rPr>
          <w:rFonts w:cs="Times New Roman"/>
          <w:szCs w:val="28"/>
        </w:rPr>
        <w:t>Показатель 5.6.2 призван дать первую всеобъемлющую глобальную оценку нормативно-правовой базы в соответствии с программой действий международной конференции по Народонаселению и развитию (МКНР) 1994 года</w:t>
      </w:r>
      <w:r w:rsidRPr="002B6526">
        <w:rPr>
          <w:rStyle w:val="a6"/>
          <w:rFonts w:cs="Times New Roman"/>
          <w:szCs w:val="28"/>
        </w:rPr>
        <w:footnoteReference w:id="1"/>
      </w:r>
      <w:r w:rsidRPr="002B6526">
        <w:rPr>
          <w:rFonts w:cs="Times New Roman"/>
          <w:szCs w:val="28"/>
        </w:rPr>
        <w:t>, пекинской платформой действий</w:t>
      </w:r>
      <w:r w:rsidRPr="002B6526">
        <w:rPr>
          <w:rStyle w:val="a6"/>
          <w:rFonts w:cs="Times New Roman"/>
          <w:szCs w:val="28"/>
        </w:rPr>
        <w:footnoteReference w:id="2"/>
      </w:r>
      <w:r w:rsidRPr="002B6526">
        <w:rPr>
          <w:rFonts w:cs="Times New Roman"/>
          <w:szCs w:val="28"/>
        </w:rPr>
        <w:t xml:space="preserve"> и международными стандартами в области прав человека</w:t>
      </w:r>
      <w:r w:rsidRPr="002B6526">
        <w:rPr>
          <w:rStyle w:val="a6"/>
          <w:rFonts w:cs="Times New Roman"/>
          <w:szCs w:val="28"/>
        </w:rPr>
        <w:footnoteReference w:id="3"/>
      </w:r>
      <w:r w:rsidRPr="002B6526">
        <w:rPr>
          <w:rFonts w:cs="Times New Roman"/>
          <w:szCs w:val="28"/>
        </w:rPr>
        <w:t>.</w:t>
      </w:r>
      <w:r w:rsidR="00D95CE2" w:rsidRPr="002B6526">
        <w:rPr>
          <w:rFonts w:cs="Times New Roman"/>
          <w:szCs w:val="28"/>
        </w:rPr>
        <w:t xml:space="preserve"> Показатель измеряет нормативно-правовую базу по четырем тематическим разделам, определяемым как ключевые параметры охраны сексуального и репродуктивного здоровья, информации и образования в соответствии с этими международными </w:t>
      </w:r>
      <w:proofErr w:type="spellStart"/>
      <w:r w:rsidR="00D95CE2" w:rsidRPr="002B6526">
        <w:rPr>
          <w:rFonts w:cs="Times New Roman"/>
          <w:szCs w:val="28"/>
        </w:rPr>
        <w:t>консенсусными</w:t>
      </w:r>
      <w:proofErr w:type="spellEnd"/>
      <w:proofErr w:type="gramEnd"/>
      <w:r w:rsidR="00D95CE2" w:rsidRPr="002B6526">
        <w:rPr>
          <w:rFonts w:cs="Times New Roman"/>
          <w:szCs w:val="28"/>
        </w:rPr>
        <w:t xml:space="preserve"> документами и стандартами в области прав человека:</w:t>
      </w:r>
    </w:p>
    <w:tbl>
      <w:tblPr>
        <w:tblStyle w:val="a7"/>
        <w:tblW w:w="0" w:type="auto"/>
        <w:tblLook w:val="04A0" w:firstRow="1" w:lastRow="0" w:firstColumn="1" w:lastColumn="0" w:noHBand="0" w:noVBand="1"/>
      </w:tblPr>
      <w:tblGrid>
        <w:gridCol w:w="9016"/>
      </w:tblGrid>
      <w:tr w:rsidR="00D95CE2" w:rsidRPr="00D95CE2" w:rsidTr="00836FCB">
        <w:tc>
          <w:tcPr>
            <w:tcW w:w="9016" w:type="dxa"/>
          </w:tcPr>
          <w:p w:rsidR="00D95CE2" w:rsidRPr="00D95CE2" w:rsidRDefault="00D95CE2" w:rsidP="00D95CE2">
            <w:pPr>
              <w:spacing w:line="360" w:lineRule="auto"/>
              <w:rPr>
                <w:rFonts w:ascii="Times New Roman" w:eastAsia="Times New Roman" w:hAnsi="Times New Roman" w:cs="Times New Roman"/>
                <w:sz w:val="28"/>
                <w:szCs w:val="28"/>
              </w:rPr>
            </w:pPr>
            <w:proofErr w:type="spellStart"/>
            <w:r w:rsidRPr="002B6526">
              <w:rPr>
                <w:rFonts w:ascii="Times New Roman" w:eastAsia="Times New Roman" w:hAnsi="Times New Roman" w:cs="Times New Roman"/>
                <w:sz w:val="28"/>
                <w:szCs w:val="28"/>
              </w:rPr>
              <w:t>Услуги</w:t>
            </w:r>
            <w:proofErr w:type="spellEnd"/>
            <w:r w:rsidRPr="002B6526">
              <w:rPr>
                <w:rFonts w:ascii="Times New Roman" w:eastAsia="Times New Roman" w:hAnsi="Times New Roman" w:cs="Times New Roman"/>
                <w:sz w:val="28"/>
                <w:szCs w:val="28"/>
              </w:rPr>
              <w:t xml:space="preserve"> </w:t>
            </w:r>
            <w:proofErr w:type="spellStart"/>
            <w:r w:rsidRPr="002B6526">
              <w:rPr>
                <w:rFonts w:ascii="Times New Roman" w:eastAsia="Times New Roman" w:hAnsi="Times New Roman" w:cs="Times New Roman"/>
                <w:sz w:val="28"/>
                <w:szCs w:val="28"/>
              </w:rPr>
              <w:t>по</w:t>
            </w:r>
            <w:proofErr w:type="spellEnd"/>
            <w:r w:rsidRPr="002B6526">
              <w:rPr>
                <w:rFonts w:ascii="Times New Roman" w:eastAsia="Times New Roman" w:hAnsi="Times New Roman" w:cs="Times New Roman"/>
                <w:sz w:val="28"/>
                <w:szCs w:val="28"/>
              </w:rPr>
              <w:t xml:space="preserve"> </w:t>
            </w:r>
            <w:proofErr w:type="spellStart"/>
            <w:r w:rsidRPr="002B6526">
              <w:rPr>
                <w:rFonts w:ascii="Times New Roman" w:eastAsia="Times New Roman" w:hAnsi="Times New Roman" w:cs="Times New Roman"/>
                <w:sz w:val="28"/>
                <w:szCs w:val="28"/>
              </w:rPr>
              <w:t>охране</w:t>
            </w:r>
            <w:proofErr w:type="spellEnd"/>
            <w:r w:rsidRPr="002B6526">
              <w:rPr>
                <w:rFonts w:ascii="Times New Roman" w:eastAsia="Times New Roman" w:hAnsi="Times New Roman" w:cs="Times New Roman"/>
                <w:sz w:val="28"/>
                <w:szCs w:val="28"/>
              </w:rPr>
              <w:t xml:space="preserve"> </w:t>
            </w:r>
            <w:proofErr w:type="spellStart"/>
            <w:r w:rsidRPr="002B6526">
              <w:rPr>
                <w:rFonts w:ascii="Times New Roman" w:eastAsia="Times New Roman" w:hAnsi="Times New Roman" w:cs="Times New Roman"/>
                <w:sz w:val="28"/>
                <w:szCs w:val="28"/>
              </w:rPr>
              <w:t>материнства</w:t>
            </w:r>
            <w:proofErr w:type="spellEnd"/>
          </w:p>
        </w:tc>
      </w:tr>
      <w:tr w:rsidR="00D95CE2" w:rsidRPr="00D95CE2" w:rsidTr="00836FCB">
        <w:tc>
          <w:tcPr>
            <w:tcW w:w="9016" w:type="dxa"/>
          </w:tcPr>
          <w:p w:rsidR="00D95CE2" w:rsidRPr="00D95CE2" w:rsidRDefault="00D95CE2" w:rsidP="00D95CE2">
            <w:pPr>
              <w:spacing w:line="360" w:lineRule="auto"/>
              <w:rPr>
                <w:rFonts w:ascii="Times New Roman" w:eastAsia="Times New Roman" w:hAnsi="Times New Roman" w:cs="Times New Roman"/>
                <w:sz w:val="28"/>
                <w:szCs w:val="28"/>
              </w:rPr>
            </w:pPr>
            <w:proofErr w:type="spellStart"/>
            <w:r w:rsidRPr="002B6526">
              <w:rPr>
                <w:rFonts w:ascii="Times New Roman" w:eastAsia="Times New Roman" w:hAnsi="Times New Roman" w:cs="Times New Roman"/>
                <w:sz w:val="28"/>
                <w:szCs w:val="28"/>
              </w:rPr>
              <w:t>Контрацепция</w:t>
            </w:r>
            <w:proofErr w:type="spellEnd"/>
            <w:r w:rsidRPr="002B6526">
              <w:rPr>
                <w:rFonts w:ascii="Times New Roman" w:eastAsia="Times New Roman" w:hAnsi="Times New Roman" w:cs="Times New Roman"/>
                <w:sz w:val="28"/>
                <w:szCs w:val="28"/>
              </w:rPr>
              <w:t xml:space="preserve"> и </w:t>
            </w:r>
            <w:proofErr w:type="spellStart"/>
            <w:r w:rsidRPr="002B6526">
              <w:rPr>
                <w:rFonts w:ascii="Times New Roman" w:eastAsia="Times New Roman" w:hAnsi="Times New Roman" w:cs="Times New Roman"/>
                <w:sz w:val="28"/>
                <w:szCs w:val="28"/>
              </w:rPr>
              <w:t>планирование</w:t>
            </w:r>
            <w:proofErr w:type="spellEnd"/>
            <w:r w:rsidRPr="002B6526">
              <w:rPr>
                <w:rFonts w:ascii="Times New Roman" w:eastAsia="Times New Roman" w:hAnsi="Times New Roman" w:cs="Times New Roman"/>
                <w:sz w:val="28"/>
                <w:szCs w:val="28"/>
              </w:rPr>
              <w:t xml:space="preserve"> </w:t>
            </w:r>
            <w:proofErr w:type="spellStart"/>
            <w:r w:rsidRPr="002B6526">
              <w:rPr>
                <w:rFonts w:ascii="Times New Roman" w:eastAsia="Times New Roman" w:hAnsi="Times New Roman" w:cs="Times New Roman"/>
                <w:sz w:val="28"/>
                <w:szCs w:val="28"/>
              </w:rPr>
              <w:t>семьи</w:t>
            </w:r>
            <w:proofErr w:type="spellEnd"/>
          </w:p>
        </w:tc>
      </w:tr>
      <w:tr w:rsidR="00D95CE2" w:rsidRPr="00D95CE2" w:rsidTr="00836FCB">
        <w:tc>
          <w:tcPr>
            <w:tcW w:w="9016" w:type="dxa"/>
          </w:tcPr>
          <w:p w:rsidR="00D95CE2" w:rsidRPr="00D95CE2" w:rsidRDefault="00D95CE2" w:rsidP="00D95CE2">
            <w:pPr>
              <w:spacing w:line="360" w:lineRule="auto"/>
              <w:rPr>
                <w:rFonts w:ascii="Times New Roman" w:eastAsia="Times New Roman" w:hAnsi="Times New Roman" w:cs="Times New Roman"/>
                <w:sz w:val="28"/>
                <w:szCs w:val="28"/>
                <w:lang w:val="ru-RU"/>
              </w:rPr>
            </w:pPr>
            <w:r w:rsidRPr="002B6526">
              <w:rPr>
                <w:rFonts w:ascii="Times New Roman" w:eastAsia="Times New Roman" w:hAnsi="Times New Roman" w:cs="Times New Roman"/>
                <w:sz w:val="28"/>
                <w:szCs w:val="28"/>
                <w:lang w:val="ru-RU"/>
              </w:rPr>
              <w:t>Комплексное половое воспитание и информация</w:t>
            </w:r>
          </w:p>
        </w:tc>
      </w:tr>
      <w:tr w:rsidR="00D95CE2" w:rsidRPr="00D95CE2" w:rsidTr="00836FCB">
        <w:tc>
          <w:tcPr>
            <w:tcW w:w="9016" w:type="dxa"/>
          </w:tcPr>
          <w:p w:rsidR="00D95CE2" w:rsidRPr="00D95CE2" w:rsidRDefault="00D95CE2" w:rsidP="00D95CE2">
            <w:pPr>
              <w:spacing w:line="360" w:lineRule="auto"/>
              <w:rPr>
                <w:rFonts w:ascii="Times New Roman" w:eastAsia="Times New Roman" w:hAnsi="Times New Roman" w:cs="Times New Roman"/>
                <w:sz w:val="28"/>
                <w:szCs w:val="28"/>
              </w:rPr>
            </w:pPr>
            <w:proofErr w:type="spellStart"/>
            <w:r w:rsidRPr="002B6526">
              <w:rPr>
                <w:rFonts w:ascii="Times New Roman" w:eastAsia="Times New Roman" w:hAnsi="Times New Roman" w:cs="Times New Roman"/>
                <w:sz w:val="28"/>
                <w:szCs w:val="28"/>
              </w:rPr>
              <w:t>Сексуальное</w:t>
            </w:r>
            <w:proofErr w:type="spellEnd"/>
            <w:r w:rsidRPr="002B6526">
              <w:rPr>
                <w:rFonts w:ascii="Times New Roman" w:eastAsia="Times New Roman" w:hAnsi="Times New Roman" w:cs="Times New Roman"/>
                <w:sz w:val="28"/>
                <w:szCs w:val="28"/>
              </w:rPr>
              <w:t xml:space="preserve"> </w:t>
            </w:r>
            <w:proofErr w:type="spellStart"/>
            <w:r w:rsidRPr="002B6526">
              <w:rPr>
                <w:rFonts w:ascii="Times New Roman" w:eastAsia="Times New Roman" w:hAnsi="Times New Roman" w:cs="Times New Roman"/>
                <w:sz w:val="28"/>
                <w:szCs w:val="28"/>
              </w:rPr>
              <w:t>здоровье</w:t>
            </w:r>
            <w:proofErr w:type="spellEnd"/>
            <w:r w:rsidRPr="002B6526">
              <w:rPr>
                <w:rFonts w:ascii="Times New Roman" w:eastAsia="Times New Roman" w:hAnsi="Times New Roman" w:cs="Times New Roman"/>
                <w:sz w:val="28"/>
                <w:szCs w:val="28"/>
              </w:rPr>
              <w:t xml:space="preserve"> и </w:t>
            </w:r>
            <w:proofErr w:type="spellStart"/>
            <w:r w:rsidRPr="002B6526">
              <w:rPr>
                <w:rFonts w:ascii="Times New Roman" w:eastAsia="Times New Roman" w:hAnsi="Times New Roman" w:cs="Times New Roman"/>
                <w:sz w:val="28"/>
                <w:szCs w:val="28"/>
              </w:rPr>
              <w:t>благополучие</w:t>
            </w:r>
            <w:proofErr w:type="spellEnd"/>
          </w:p>
        </w:tc>
      </w:tr>
    </w:tbl>
    <w:p w:rsidR="00D95CE2" w:rsidRPr="002B6526" w:rsidRDefault="00461446" w:rsidP="00461446">
      <w:pPr>
        <w:spacing w:line="360" w:lineRule="auto"/>
        <w:ind w:firstLine="0"/>
        <w:rPr>
          <w:rFonts w:cs="Times New Roman"/>
          <w:szCs w:val="28"/>
        </w:rPr>
      </w:pPr>
      <w:r w:rsidRPr="002B6526">
        <w:rPr>
          <w:rFonts w:cs="Times New Roman"/>
          <w:szCs w:val="28"/>
        </w:rPr>
        <w:t xml:space="preserve">Каждая из четырех тематических областей (разделов) представлена отдельными компонентами, которые были разъяснены в ходе консультаций с глобальными экспертами, с </w:t>
      </w:r>
      <w:proofErr w:type="gramStart"/>
      <w:r w:rsidRPr="002B6526">
        <w:rPr>
          <w:rFonts w:cs="Times New Roman"/>
          <w:szCs w:val="28"/>
        </w:rPr>
        <w:t>тем</w:t>
      </w:r>
      <w:proofErr w:type="gramEnd"/>
      <w:r w:rsidRPr="002B6526">
        <w:rPr>
          <w:rFonts w:cs="Times New Roman"/>
          <w:szCs w:val="28"/>
        </w:rPr>
        <w:t xml:space="preserve"> чтобы отразить темы, которые являются:</w:t>
      </w:r>
      <w:r w:rsidR="00836FCB">
        <w:rPr>
          <w:rFonts w:cs="Times New Roman"/>
          <w:szCs w:val="28"/>
        </w:rPr>
        <w:br/>
      </w:r>
      <w:r w:rsidRPr="002B6526">
        <w:rPr>
          <w:rFonts w:cs="Times New Roman"/>
          <w:szCs w:val="28"/>
          <w:lang w:val="en-GB"/>
        </w:rPr>
        <w:t>i</w:t>
      </w:r>
      <w:r w:rsidRPr="002B6526">
        <w:rPr>
          <w:rFonts w:cs="Times New Roman"/>
          <w:szCs w:val="28"/>
        </w:rPr>
        <w:t xml:space="preserve">) критически важными с точки зрения существа; </w:t>
      </w:r>
      <w:r w:rsidRPr="002B6526">
        <w:rPr>
          <w:rFonts w:cs="Times New Roman"/>
          <w:szCs w:val="28"/>
          <w:lang w:val="en-GB"/>
        </w:rPr>
        <w:t>ii</w:t>
      </w:r>
      <w:r w:rsidRPr="002B6526">
        <w:rPr>
          <w:rFonts w:cs="Times New Roman"/>
          <w:szCs w:val="28"/>
        </w:rPr>
        <w:t xml:space="preserve">) охватывают широкий спектр услуг в области сексуального и репродуктивного здоровья, информации и образования; и </w:t>
      </w:r>
      <w:r w:rsidRPr="002B6526">
        <w:rPr>
          <w:rFonts w:cs="Times New Roman"/>
          <w:szCs w:val="28"/>
          <w:lang w:val="en-GB"/>
        </w:rPr>
        <w:t>iii</w:t>
      </w:r>
      <w:r w:rsidRPr="002B6526">
        <w:rPr>
          <w:rFonts w:cs="Times New Roman"/>
          <w:szCs w:val="28"/>
        </w:rPr>
        <w:t>) предметом национальной нормативно-</w:t>
      </w:r>
      <w:r w:rsidR="0062188E">
        <w:rPr>
          <w:rFonts w:cs="Times New Roman"/>
          <w:szCs w:val="28"/>
        </w:rPr>
        <w:lastRenderedPageBreak/>
        <w:t>п</w:t>
      </w:r>
      <w:r w:rsidRPr="002B6526">
        <w:rPr>
          <w:rFonts w:cs="Times New Roman"/>
          <w:szCs w:val="28"/>
        </w:rPr>
        <w:t xml:space="preserve">равовой базы.  </w:t>
      </w:r>
      <w:r w:rsidRPr="0062188E">
        <w:rPr>
          <w:rFonts w:cs="Times New Roman"/>
          <w:szCs w:val="28"/>
        </w:rPr>
        <w:t>В общей сложности показатель 5.6.2 измеряет 13 компонентов, классифицированных следующим образом:</w:t>
      </w:r>
    </w:p>
    <w:tbl>
      <w:tblPr>
        <w:tblStyle w:val="a7"/>
        <w:tblW w:w="0" w:type="auto"/>
        <w:tblLook w:val="04A0" w:firstRow="1" w:lastRow="0" w:firstColumn="1" w:lastColumn="0" w:noHBand="0" w:noVBand="1"/>
      </w:tblPr>
      <w:tblGrid>
        <w:gridCol w:w="9016"/>
      </w:tblGrid>
      <w:tr w:rsidR="00461446" w:rsidRPr="00461446" w:rsidTr="00836FCB">
        <w:tc>
          <w:tcPr>
            <w:tcW w:w="9016" w:type="dxa"/>
          </w:tcPr>
          <w:p w:rsidR="00461446" w:rsidRPr="00461446" w:rsidRDefault="00461446" w:rsidP="00461446">
            <w:pPr>
              <w:contextualSpacing/>
              <w:rPr>
                <w:rFonts w:ascii="Times New Roman" w:eastAsia="Times New Roman" w:hAnsi="Times New Roman" w:cs="Times New Roman"/>
                <w:sz w:val="28"/>
                <w:szCs w:val="28"/>
                <w:lang w:val="ru-RU"/>
              </w:rPr>
            </w:pPr>
            <w:r w:rsidRPr="002B6526">
              <w:rPr>
                <w:rFonts w:ascii="Times New Roman" w:eastAsia="Times New Roman" w:hAnsi="Times New Roman" w:cs="Times New Roman"/>
                <w:sz w:val="28"/>
                <w:szCs w:val="28"/>
                <w:lang w:val="ru-RU"/>
              </w:rPr>
              <w:t xml:space="preserve">РАЗДЕЛ </w:t>
            </w:r>
            <w:r w:rsidRPr="002B6526">
              <w:rPr>
                <w:rFonts w:ascii="Times New Roman" w:eastAsia="Times New Roman" w:hAnsi="Times New Roman" w:cs="Times New Roman"/>
                <w:sz w:val="28"/>
                <w:szCs w:val="28"/>
              </w:rPr>
              <w:t>I</w:t>
            </w:r>
            <w:r w:rsidRPr="002B6526">
              <w:rPr>
                <w:rFonts w:ascii="Times New Roman" w:eastAsia="Times New Roman" w:hAnsi="Times New Roman" w:cs="Times New Roman"/>
                <w:sz w:val="28"/>
                <w:szCs w:val="28"/>
                <w:lang w:val="ru-RU"/>
              </w:rPr>
              <w:t>: УСЛУГИ ПО ОХРАНЕ МАТЕРИНСТВА</w:t>
            </w:r>
          </w:p>
        </w:tc>
      </w:tr>
      <w:tr w:rsidR="00461446" w:rsidRPr="00461446" w:rsidTr="00836FCB">
        <w:tc>
          <w:tcPr>
            <w:tcW w:w="9016" w:type="dxa"/>
          </w:tcPr>
          <w:p w:rsidR="00461446" w:rsidRPr="00836FCB" w:rsidRDefault="00461446" w:rsidP="00461446">
            <w:pPr>
              <w:contextualSpacing/>
              <w:rPr>
                <w:rFonts w:ascii="Times New Roman" w:eastAsia="Times New Roman" w:hAnsi="Times New Roman" w:cs="Times New Roman"/>
                <w:sz w:val="28"/>
                <w:szCs w:val="28"/>
                <w:lang w:val="ru-RU"/>
              </w:rPr>
            </w:pPr>
            <w:r w:rsidRPr="00836FCB">
              <w:rPr>
                <w:rFonts w:ascii="Times New Roman" w:eastAsia="Times New Roman" w:hAnsi="Times New Roman" w:cs="Times New Roman"/>
                <w:sz w:val="28"/>
                <w:szCs w:val="28"/>
                <w:lang w:val="ru-RU"/>
              </w:rPr>
              <w:t>1. Охрана материнства</w:t>
            </w:r>
          </w:p>
        </w:tc>
      </w:tr>
      <w:tr w:rsidR="00461446" w:rsidRPr="00461446" w:rsidTr="00836FCB">
        <w:tc>
          <w:tcPr>
            <w:tcW w:w="9016" w:type="dxa"/>
          </w:tcPr>
          <w:p w:rsidR="00461446" w:rsidRPr="00836FCB" w:rsidRDefault="00461446" w:rsidP="00461446">
            <w:pPr>
              <w:contextualSpacing/>
              <w:rPr>
                <w:rFonts w:ascii="Times New Roman" w:eastAsia="Times New Roman" w:hAnsi="Times New Roman" w:cs="Times New Roman"/>
                <w:sz w:val="28"/>
                <w:szCs w:val="28"/>
                <w:lang w:val="ru-RU"/>
              </w:rPr>
            </w:pPr>
            <w:r w:rsidRPr="00836FCB">
              <w:rPr>
                <w:rFonts w:ascii="Times New Roman" w:eastAsia="Times New Roman" w:hAnsi="Times New Roman" w:cs="Times New Roman"/>
                <w:sz w:val="28"/>
                <w:szCs w:val="28"/>
                <w:lang w:val="ru-RU"/>
              </w:rPr>
              <w:t>2. Товары, спасающие жизнь</w:t>
            </w:r>
          </w:p>
        </w:tc>
      </w:tr>
      <w:tr w:rsidR="00461446" w:rsidRPr="00461446" w:rsidTr="00836FCB">
        <w:tc>
          <w:tcPr>
            <w:tcW w:w="9016" w:type="dxa"/>
          </w:tcPr>
          <w:p w:rsidR="00461446" w:rsidRPr="00836FCB" w:rsidRDefault="00461446" w:rsidP="00461446">
            <w:pPr>
              <w:contextualSpacing/>
              <w:rPr>
                <w:rFonts w:ascii="Times New Roman" w:eastAsia="Times New Roman" w:hAnsi="Times New Roman" w:cs="Times New Roman"/>
                <w:sz w:val="28"/>
                <w:szCs w:val="28"/>
                <w:lang w:val="ru-RU"/>
              </w:rPr>
            </w:pPr>
            <w:r w:rsidRPr="00836FCB">
              <w:rPr>
                <w:rFonts w:ascii="Times New Roman" w:eastAsia="Times New Roman" w:hAnsi="Times New Roman" w:cs="Times New Roman"/>
                <w:sz w:val="28"/>
                <w:szCs w:val="28"/>
                <w:lang w:val="ru-RU"/>
              </w:rPr>
              <w:t>3. Аборт</w:t>
            </w:r>
          </w:p>
        </w:tc>
      </w:tr>
      <w:tr w:rsidR="00461446" w:rsidRPr="00461446" w:rsidTr="00836FCB">
        <w:tc>
          <w:tcPr>
            <w:tcW w:w="9016" w:type="dxa"/>
            <w:tcBorders>
              <w:bottom w:val="single" w:sz="4" w:space="0" w:color="auto"/>
            </w:tcBorders>
          </w:tcPr>
          <w:p w:rsidR="00461446" w:rsidRPr="00836FCB" w:rsidRDefault="00461446" w:rsidP="00461446">
            <w:pPr>
              <w:contextualSpacing/>
              <w:rPr>
                <w:rFonts w:ascii="Times New Roman" w:eastAsia="Times New Roman" w:hAnsi="Times New Roman" w:cs="Times New Roman"/>
                <w:sz w:val="28"/>
                <w:szCs w:val="28"/>
                <w:lang w:val="ru-RU"/>
              </w:rPr>
            </w:pPr>
            <w:r w:rsidRPr="00836FCB">
              <w:rPr>
                <w:rFonts w:ascii="Times New Roman" w:eastAsia="Times New Roman" w:hAnsi="Times New Roman" w:cs="Times New Roman"/>
                <w:sz w:val="28"/>
                <w:szCs w:val="28"/>
                <w:lang w:val="ru-RU"/>
              </w:rPr>
              <w:t>4. Уход</w:t>
            </w:r>
            <w:r w:rsidRPr="002B6526">
              <w:rPr>
                <w:rFonts w:ascii="Times New Roman" w:eastAsia="Times New Roman" w:hAnsi="Times New Roman" w:cs="Times New Roman"/>
                <w:sz w:val="28"/>
                <w:szCs w:val="28"/>
                <w:lang w:val="ru-RU"/>
              </w:rPr>
              <w:t xml:space="preserve"> </w:t>
            </w:r>
            <w:r w:rsidRPr="00836FCB">
              <w:rPr>
                <w:rFonts w:ascii="Times New Roman" w:eastAsia="Times New Roman" w:hAnsi="Times New Roman" w:cs="Times New Roman"/>
                <w:sz w:val="28"/>
                <w:szCs w:val="28"/>
                <w:lang w:val="ru-RU"/>
              </w:rPr>
              <w:t>после аборта</w:t>
            </w:r>
          </w:p>
        </w:tc>
      </w:tr>
      <w:tr w:rsidR="00461446" w:rsidRPr="00461446" w:rsidTr="00836FCB">
        <w:tc>
          <w:tcPr>
            <w:tcW w:w="9016" w:type="dxa"/>
          </w:tcPr>
          <w:p w:rsidR="00461446" w:rsidRPr="00461446" w:rsidRDefault="00461446" w:rsidP="00461446">
            <w:pPr>
              <w:contextualSpacing/>
              <w:rPr>
                <w:rFonts w:ascii="Times New Roman" w:eastAsia="Times New Roman" w:hAnsi="Times New Roman" w:cs="Times New Roman"/>
                <w:sz w:val="28"/>
                <w:szCs w:val="28"/>
                <w:lang w:val="ru-RU"/>
              </w:rPr>
            </w:pPr>
            <w:r w:rsidRPr="002B6526">
              <w:rPr>
                <w:rFonts w:ascii="Times New Roman" w:eastAsia="Times New Roman" w:hAnsi="Times New Roman" w:cs="Times New Roman"/>
                <w:sz w:val="28"/>
                <w:szCs w:val="28"/>
                <w:lang w:val="ru-RU"/>
              </w:rPr>
              <w:t xml:space="preserve">РАЗДЕЛ </w:t>
            </w:r>
            <w:r w:rsidRPr="002B6526">
              <w:rPr>
                <w:rFonts w:ascii="Times New Roman" w:eastAsia="Times New Roman" w:hAnsi="Times New Roman" w:cs="Times New Roman"/>
                <w:sz w:val="28"/>
                <w:szCs w:val="28"/>
              </w:rPr>
              <w:t>II</w:t>
            </w:r>
            <w:r w:rsidRPr="002B6526">
              <w:rPr>
                <w:rFonts w:ascii="Times New Roman" w:eastAsia="Times New Roman" w:hAnsi="Times New Roman" w:cs="Times New Roman"/>
                <w:sz w:val="28"/>
                <w:szCs w:val="28"/>
                <w:lang w:val="ru-RU"/>
              </w:rPr>
              <w:t>: КОНТРАЦЕПЦИЯ И ПЛАНИРОВАНИЕ СЕМЬИ</w:t>
            </w:r>
          </w:p>
        </w:tc>
      </w:tr>
      <w:tr w:rsidR="00461446" w:rsidRPr="00461446" w:rsidTr="00836FCB">
        <w:tc>
          <w:tcPr>
            <w:tcW w:w="9016" w:type="dxa"/>
          </w:tcPr>
          <w:p w:rsidR="00461446" w:rsidRPr="00461446" w:rsidRDefault="00461446" w:rsidP="00461446">
            <w:pPr>
              <w:contextualSpacing/>
              <w:rPr>
                <w:rFonts w:ascii="Times New Roman" w:eastAsia="Times New Roman" w:hAnsi="Times New Roman" w:cs="Times New Roman"/>
                <w:sz w:val="28"/>
                <w:szCs w:val="28"/>
              </w:rPr>
            </w:pPr>
            <w:r w:rsidRPr="00461446">
              <w:rPr>
                <w:rFonts w:ascii="Times New Roman" w:eastAsia="Times New Roman" w:hAnsi="Times New Roman" w:cs="Times New Roman"/>
                <w:sz w:val="28"/>
                <w:szCs w:val="28"/>
              </w:rPr>
              <w:t xml:space="preserve">5. </w:t>
            </w:r>
            <w:r w:rsidRPr="002B6526">
              <w:rPr>
                <w:rFonts w:ascii="Times New Roman" w:eastAsia="Times New Roman" w:hAnsi="Times New Roman" w:cs="Times New Roman"/>
                <w:sz w:val="28"/>
                <w:szCs w:val="28"/>
                <w:lang w:val="ru-RU"/>
              </w:rPr>
              <w:t>К</w:t>
            </w:r>
            <w:proofErr w:type="spellStart"/>
            <w:r w:rsidRPr="002B6526">
              <w:rPr>
                <w:rFonts w:ascii="Times New Roman" w:eastAsia="Times New Roman" w:hAnsi="Times New Roman" w:cs="Times New Roman"/>
                <w:sz w:val="28"/>
                <w:szCs w:val="28"/>
              </w:rPr>
              <w:t>онтрацепция</w:t>
            </w:r>
            <w:proofErr w:type="spellEnd"/>
          </w:p>
        </w:tc>
      </w:tr>
      <w:tr w:rsidR="00461446" w:rsidRPr="00461446" w:rsidTr="00836FCB">
        <w:tc>
          <w:tcPr>
            <w:tcW w:w="9016" w:type="dxa"/>
          </w:tcPr>
          <w:p w:rsidR="00461446" w:rsidRPr="00461446" w:rsidRDefault="00461446" w:rsidP="00461446">
            <w:pPr>
              <w:contextualSpacing/>
              <w:rPr>
                <w:rFonts w:ascii="Times New Roman" w:eastAsia="Times New Roman" w:hAnsi="Times New Roman" w:cs="Times New Roman"/>
                <w:sz w:val="28"/>
                <w:szCs w:val="28"/>
              </w:rPr>
            </w:pPr>
            <w:r w:rsidRPr="00461446">
              <w:rPr>
                <w:rFonts w:ascii="Times New Roman" w:eastAsia="Times New Roman" w:hAnsi="Times New Roman" w:cs="Times New Roman"/>
                <w:sz w:val="28"/>
                <w:szCs w:val="28"/>
              </w:rPr>
              <w:t xml:space="preserve">6. </w:t>
            </w:r>
            <w:proofErr w:type="spellStart"/>
            <w:r w:rsidRPr="002B6526">
              <w:rPr>
                <w:rFonts w:ascii="Times New Roman" w:eastAsia="Times New Roman" w:hAnsi="Times New Roman" w:cs="Times New Roman"/>
                <w:sz w:val="28"/>
                <w:szCs w:val="28"/>
              </w:rPr>
              <w:t>Согласие</w:t>
            </w:r>
            <w:proofErr w:type="spellEnd"/>
            <w:r w:rsidRPr="002B6526">
              <w:rPr>
                <w:rFonts w:ascii="Times New Roman" w:eastAsia="Times New Roman" w:hAnsi="Times New Roman" w:cs="Times New Roman"/>
                <w:sz w:val="28"/>
                <w:szCs w:val="28"/>
              </w:rPr>
              <w:t xml:space="preserve"> </w:t>
            </w:r>
            <w:proofErr w:type="spellStart"/>
            <w:r w:rsidRPr="002B6526">
              <w:rPr>
                <w:rFonts w:ascii="Times New Roman" w:eastAsia="Times New Roman" w:hAnsi="Times New Roman" w:cs="Times New Roman"/>
                <w:sz w:val="28"/>
                <w:szCs w:val="28"/>
              </w:rPr>
              <w:t>на</w:t>
            </w:r>
            <w:proofErr w:type="spellEnd"/>
            <w:r w:rsidRPr="002B6526">
              <w:rPr>
                <w:rFonts w:ascii="Times New Roman" w:eastAsia="Times New Roman" w:hAnsi="Times New Roman" w:cs="Times New Roman"/>
                <w:sz w:val="28"/>
                <w:szCs w:val="28"/>
              </w:rPr>
              <w:t xml:space="preserve"> </w:t>
            </w:r>
            <w:proofErr w:type="spellStart"/>
            <w:r w:rsidRPr="002B6526">
              <w:rPr>
                <w:rFonts w:ascii="Times New Roman" w:eastAsia="Times New Roman" w:hAnsi="Times New Roman" w:cs="Times New Roman"/>
                <w:sz w:val="28"/>
                <w:szCs w:val="28"/>
              </w:rPr>
              <w:t>контрацептивные</w:t>
            </w:r>
            <w:proofErr w:type="spellEnd"/>
            <w:r w:rsidRPr="002B6526">
              <w:rPr>
                <w:rFonts w:ascii="Times New Roman" w:eastAsia="Times New Roman" w:hAnsi="Times New Roman" w:cs="Times New Roman"/>
                <w:sz w:val="28"/>
                <w:szCs w:val="28"/>
              </w:rPr>
              <w:t xml:space="preserve"> </w:t>
            </w:r>
            <w:proofErr w:type="spellStart"/>
            <w:r w:rsidRPr="002B6526">
              <w:rPr>
                <w:rFonts w:ascii="Times New Roman" w:eastAsia="Times New Roman" w:hAnsi="Times New Roman" w:cs="Times New Roman"/>
                <w:sz w:val="28"/>
                <w:szCs w:val="28"/>
              </w:rPr>
              <w:t>услуги</w:t>
            </w:r>
            <w:proofErr w:type="spellEnd"/>
          </w:p>
        </w:tc>
      </w:tr>
      <w:tr w:rsidR="00461446" w:rsidRPr="00461446" w:rsidTr="00836FCB">
        <w:tc>
          <w:tcPr>
            <w:tcW w:w="9016" w:type="dxa"/>
          </w:tcPr>
          <w:p w:rsidR="00461446" w:rsidRPr="00461446" w:rsidRDefault="00461446" w:rsidP="00461446">
            <w:pPr>
              <w:contextualSpacing/>
              <w:rPr>
                <w:rFonts w:ascii="Times New Roman" w:eastAsia="Times New Roman" w:hAnsi="Times New Roman" w:cs="Times New Roman"/>
                <w:sz w:val="28"/>
                <w:szCs w:val="28"/>
              </w:rPr>
            </w:pPr>
            <w:r w:rsidRPr="00461446">
              <w:rPr>
                <w:rFonts w:ascii="Times New Roman" w:eastAsia="Times New Roman" w:hAnsi="Times New Roman" w:cs="Times New Roman"/>
                <w:sz w:val="28"/>
                <w:szCs w:val="28"/>
              </w:rPr>
              <w:t xml:space="preserve">7. </w:t>
            </w:r>
            <w:proofErr w:type="spellStart"/>
            <w:r w:rsidRPr="002B6526">
              <w:rPr>
                <w:rFonts w:ascii="Times New Roman" w:eastAsia="Times New Roman" w:hAnsi="Times New Roman" w:cs="Times New Roman"/>
                <w:sz w:val="28"/>
                <w:szCs w:val="28"/>
              </w:rPr>
              <w:t>Экстренная</w:t>
            </w:r>
            <w:proofErr w:type="spellEnd"/>
            <w:r w:rsidRPr="002B6526">
              <w:rPr>
                <w:rFonts w:ascii="Times New Roman" w:eastAsia="Times New Roman" w:hAnsi="Times New Roman" w:cs="Times New Roman"/>
                <w:sz w:val="28"/>
                <w:szCs w:val="28"/>
              </w:rPr>
              <w:t xml:space="preserve"> </w:t>
            </w:r>
            <w:proofErr w:type="spellStart"/>
            <w:r w:rsidRPr="002B6526">
              <w:rPr>
                <w:rFonts w:ascii="Times New Roman" w:eastAsia="Times New Roman" w:hAnsi="Times New Roman" w:cs="Times New Roman"/>
                <w:sz w:val="28"/>
                <w:szCs w:val="28"/>
              </w:rPr>
              <w:t>контрацепция</w:t>
            </w:r>
            <w:proofErr w:type="spellEnd"/>
          </w:p>
        </w:tc>
      </w:tr>
      <w:tr w:rsidR="00461446" w:rsidRPr="00461446" w:rsidTr="00836FCB">
        <w:tc>
          <w:tcPr>
            <w:tcW w:w="9016" w:type="dxa"/>
          </w:tcPr>
          <w:p w:rsidR="00461446" w:rsidRPr="00461446" w:rsidRDefault="00461446" w:rsidP="00461446">
            <w:pPr>
              <w:contextualSpacing/>
              <w:rPr>
                <w:rFonts w:ascii="Times New Roman" w:eastAsia="Times New Roman" w:hAnsi="Times New Roman" w:cs="Times New Roman"/>
                <w:sz w:val="28"/>
                <w:szCs w:val="28"/>
                <w:lang w:val="ru-RU"/>
              </w:rPr>
            </w:pPr>
            <w:r w:rsidRPr="002B6526">
              <w:rPr>
                <w:rFonts w:ascii="Times New Roman" w:eastAsia="Times New Roman" w:hAnsi="Times New Roman" w:cs="Times New Roman"/>
                <w:sz w:val="28"/>
                <w:szCs w:val="28"/>
                <w:lang w:val="ru-RU"/>
              </w:rPr>
              <w:t xml:space="preserve">РАЗДЕЛ </w:t>
            </w:r>
            <w:r w:rsidRPr="002B6526">
              <w:rPr>
                <w:rFonts w:ascii="Times New Roman" w:eastAsia="Times New Roman" w:hAnsi="Times New Roman" w:cs="Times New Roman"/>
                <w:sz w:val="28"/>
                <w:szCs w:val="28"/>
              </w:rPr>
              <w:t>III</w:t>
            </w:r>
            <w:r w:rsidRPr="002B6526">
              <w:rPr>
                <w:rFonts w:ascii="Times New Roman" w:eastAsia="Times New Roman" w:hAnsi="Times New Roman" w:cs="Times New Roman"/>
                <w:sz w:val="28"/>
                <w:szCs w:val="28"/>
                <w:lang w:val="ru-RU"/>
              </w:rPr>
              <w:t>: ВСЕОБЪЕМЛЮЩЕЕ ПОЛОВОЕ ПРОСВЕЩЕНИЕ И ИНФОРМАЦИЯ</w:t>
            </w:r>
          </w:p>
        </w:tc>
      </w:tr>
      <w:tr w:rsidR="00461446" w:rsidRPr="00461446" w:rsidTr="00836FCB">
        <w:tc>
          <w:tcPr>
            <w:tcW w:w="9016" w:type="dxa"/>
          </w:tcPr>
          <w:p w:rsidR="00461446" w:rsidRPr="00461446" w:rsidRDefault="00461446" w:rsidP="00161871">
            <w:pPr>
              <w:contextualSpacing/>
              <w:rPr>
                <w:rFonts w:ascii="Times New Roman" w:eastAsia="Times New Roman" w:hAnsi="Times New Roman" w:cs="Times New Roman"/>
                <w:sz w:val="28"/>
                <w:szCs w:val="28"/>
                <w:lang w:val="en-US"/>
              </w:rPr>
            </w:pPr>
            <w:r w:rsidRPr="00461446">
              <w:rPr>
                <w:rFonts w:ascii="Times New Roman" w:eastAsia="Times New Roman" w:hAnsi="Times New Roman" w:cs="Times New Roman"/>
                <w:sz w:val="28"/>
                <w:szCs w:val="28"/>
              </w:rPr>
              <w:t xml:space="preserve">8. </w:t>
            </w:r>
            <w:r w:rsidR="00161871" w:rsidRPr="002B6526">
              <w:rPr>
                <w:rFonts w:ascii="Times New Roman" w:eastAsia="Times New Roman" w:hAnsi="Times New Roman" w:cs="Times New Roman"/>
                <w:sz w:val="28"/>
                <w:szCs w:val="28"/>
                <w:lang w:val="ru-RU"/>
              </w:rPr>
              <w:t>Закон</w:t>
            </w:r>
            <w:r w:rsidR="00161871" w:rsidRPr="002B6526">
              <w:rPr>
                <w:rFonts w:ascii="Times New Roman" w:eastAsia="Times New Roman" w:hAnsi="Times New Roman" w:cs="Times New Roman"/>
                <w:sz w:val="28"/>
                <w:szCs w:val="28"/>
              </w:rPr>
              <w:t xml:space="preserve"> </w:t>
            </w:r>
            <w:r w:rsidRPr="00461446">
              <w:rPr>
                <w:rFonts w:ascii="Times New Roman" w:eastAsia="Times New Roman" w:hAnsi="Times New Roman" w:cs="Times New Roman"/>
                <w:sz w:val="28"/>
                <w:szCs w:val="28"/>
              </w:rPr>
              <w:t xml:space="preserve">CSE </w:t>
            </w:r>
          </w:p>
        </w:tc>
      </w:tr>
      <w:tr w:rsidR="00461446" w:rsidRPr="00461446" w:rsidTr="00836FCB">
        <w:tc>
          <w:tcPr>
            <w:tcW w:w="9016" w:type="dxa"/>
          </w:tcPr>
          <w:p w:rsidR="00461446" w:rsidRPr="00461446" w:rsidRDefault="00461446" w:rsidP="00161871">
            <w:pPr>
              <w:contextualSpacing/>
              <w:rPr>
                <w:rFonts w:ascii="Times New Roman" w:eastAsia="Times New Roman" w:hAnsi="Times New Roman" w:cs="Times New Roman"/>
                <w:sz w:val="28"/>
                <w:szCs w:val="28"/>
                <w:lang w:val="en-US"/>
              </w:rPr>
            </w:pPr>
            <w:r w:rsidRPr="00461446">
              <w:rPr>
                <w:rFonts w:ascii="Times New Roman" w:eastAsia="Times New Roman" w:hAnsi="Times New Roman" w:cs="Times New Roman"/>
                <w:sz w:val="28"/>
                <w:szCs w:val="28"/>
              </w:rPr>
              <w:t xml:space="preserve">9. </w:t>
            </w:r>
            <w:proofErr w:type="spellStart"/>
            <w:r w:rsidR="00161871" w:rsidRPr="002B6526">
              <w:rPr>
                <w:rFonts w:ascii="Times New Roman" w:eastAsia="Times New Roman" w:hAnsi="Times New Roman" w:cs="Times New Roman"/>
                <w:sz w:val="28"/>
                <w:szCs w:val="28"/>
              </w:rPr>
              <w:t>Учебная</w:t>
            </w:r>
            <w:proofErr w:type="spellEnd"/>
            <w:r w:rsidR="00161871" w:rsidRPr="002B6526">
              <w:rPr>
                <w:rFonts w:ascii="Times New Roman" w:eastAsia="Times New Roman" w:hAnsi="Times New Roman" w:cs="Times New Roman"/>
                <w:sz w:val="28"/>
                <w:szCs w:val="28"/>
              </w:rPr>
              <w:t xml:space="preserve"> </w:t>
            </w:r>
            <w:proofErr w:type="spellStart"/>
            <w:r w:rsidR="00161871" w:rsidRPr="002B6526">
              <w:rPr>
                <w:rFonts w:ascii="Times New Roman" w:eastAsia="Times New Roman" w:hAnsi="Times New Roman" w:cs="Times New Roman"/>
                <w:sz w:val="28"/>
                <w:szCs w:val="28"/>
              </w:rPr>
              <w:t>программа</w:t>
            </w:r>
            <w:proofErr w:type="spellEnd"/>
            <w:r w:rsidR="00161871" w:rsidRPr="002B6526">
              <w:rPr>
                <w:rFonts w:ascii="Times New Roman" w:eastAsia="Times New Roman" w:hAnsi="Times New Roman" w:cs="Times New Roman"/>
                <w:sz w:val="28"/>
                <w:szCs w:val="28"/>
              </w:rPr>
              <w:t xml:space="preserve"> CSE </w:t>
            </w:r>
          </w:p>
        </w:tc>
      </w:tr>
      <w:tr w:rsidR="00461446" w:rsidRPr="00461446" w:rsidTr="00836FCB">
        <w:tc>
          <w:tcPr>
            <w:tcW w:w="9016" w:type="dxa"/>
          </w:tcPr>
          <w:p w:rsidR="00461446" w:rsidRPr="00461446" w:rsidRDefault="00161871" w:rsidP="00461446">
            <w:pPr>
              <w:contextualSpacing/>
              <w:rPr>
                <w:rFonts w:ascii="Times New Roman" w:eastAsia="Times New Roman" w:hAnsi="Times New Roman" w:cs="Times New Roman"/>
                <w:sz w:val="28"/>
                <w:szCs w:val="28"/>
                <w:lang w:val="ru-RU"/>
              </w:rPr>
            </w:pPr>
            <w:r w:rsidRPr="002B6526">
              <w:rPr>
                <w:rFonts w:ascii="Times New Roman" w:eastAsia="Times New Roman" w:hAnsi="Times New Roman" w:cs="Times New Roman"/>
                <w:sz w:val="28"/>
                <w:szCs w:val="28"/>
                <w:lang w:val="ru-RU"/>
              </w:rPr>
              <w:t xml:space="preserve">РАЗДЕЛ </w:t>
            </w:r>
            <w:r w:rsidRPr="002B6526">
              <w:rPr>
                <w:rFonts w:ascii="Times New Roman" w:eastAsia="Times New Roman" w:hAnsi="Times New Roman" w:cs="Times New Roman"/>
                <w:sz w:val="28"/>
                <w:szCs w:val="28"/>
              </w:rPr>
              <w:t>IV</w:t>
            </w:r>
            <w:r w:rsidRPr="002B6526">
              <w:rPr>
                <w:rFonts w:ascii="Times New Roman" w:eastAsia="Times New Roman" w:hAnsi="Times New Roman" w:cs="Times New Roman"/>
                <w:sz w:val="28"/>
                <w:szCs w:val="28"/>
                <w:lang w:val="ru-RU"/>
              </w:rPr>
              <w:t>: СЕКСУАЛЬНОЕ ЗДОРОВЬЕ И БЛАГОПОЛУЧИЕ</w:t>
            </w:r>
          </w:p>
        </w:tc>
      </w:tr>
      <w:tr w:rsidR="00461446" w:rsidRPr="00461446" w:rsidTr="00836FCB">
        <w:tc>
          <w:tcPr>
            <w:tcW w:w="9016" w:type="dxa"/>
          </w:tcPr>
          <w:p w:rsidR="00461446" w:rsidRPr="00461446" w:rsidRDefault="00461446" w:rsidP="00461446">
            <w:pPr>
              <w:contextualSpacing/>
              <w:rPr>
                <w:rFonts w:ascii="Times New Roman" w:eastAsia="Times New Roman" w:hAnsi="Times New Roman" w:cs="Times New Roman"/>
                <w:sz w:val="28"/>
                <w:szCs w:val="28"/>
                <w:lang w:val="ru-RU"/>
              </w:rPr>
            </w:pPr>
            <w:r w:rsidRPr="00461446">
              <w:rPr>
                <w:rFonts w:ascii="Times New Roman" w:eastAsia="Times New Roman" w:hAnsi="Times New Roman" w:cs="Times New Roman"/>
                <w:sz w:val="28"/>
                <w:szCs w:val="28"/>
                <w:lang w:val="ru-RU"/>
              </w:rPr>
              <w:t xml:space="preserve">10. </w:t>
            </w:r>
            <w:r w:rsidR="00161871" w:rsidRPr="002B6526">
              <w:rPr>
                <w:rFonts w:ascii="Times New Roman" w:eastAsia="Times New Roman" w:hAnsi="Times New Roman" w:cs="Times New Roman"/>
                <w:sz w:val="28"/>
                <w:szCs w:val="28"/>
                <w:lang w:val="ru-RU"/>
              </w:rPr>
              <w:t>Тестирование на ВИЧ и консультирование</w:t>
            </w:r>
          </w:p>
        </w:tc>
      </w:tr>
      <w:tr w:rsidR="00461446" w:rsidRPr="00461446" w:rsidTr="00836FCB">
        <w:tc>
          <w:tcPr>
            <w:tcW w:w="9016" w:type="dxa"/>
          </w:tcPr>
          <w:p w:rsidR="00461446" w:rsidRPr="00461446" w:rsidRDefault="00461446" w:rsidP="00461446">
            <w:pPr>
              <w:contextualSpacing/>
              <w:rPr>
                <w:rFonts w:ascii="Times New Roman" w:eastAsia="Times New Roman" w:hAnsi="Times New Roman" w:cs="Times New Roman"/>
                <w:sz w:val="28"/>
                <w:szCs w:val="28"/>
                <w:lang w:val="ru-RU"/>
              </w:rPr>
            </w:pPr>
            <w:r w:rsidRPr="00461446">
              <w:rPr>
                <w:rFonts w:ascii="Times New Roman" w:eastAsia="Times New Roman" w:hAnsi="Times New Roman" w:cs="Times New Roman"/>
                <w:sz w:val="28"/>
                <w:szCs w:val="28"/>
                <w:lang w:val="ru-RU"/>
              </w:rPr>
              <w:t xml:space="preserve">11. </w:t>
            </w:r>
            <w:r w:rsidR="00161871" w:rsidRPr="002B6526">
              <w:rPr>
                <w:rFonts w:ascii="Times New Roman" w:eastAsia="Times New Roman" w:hAnsi="Times New Roman" w:cs="Times New Roman"/>
                <w:sz w:val="28"/>
                <w:szCs w:val="28"/>
                <w:lang w:val="ru-RU"/>
              </w:rPr>
              <w:t>Лечение и уход в связи с ВИЧ</w:t>
            </w:r>
          </w:p>
        </w:tc>
      </w:tr>
      <w:tr w:rsidR="00461446" w:rsidRPr="00461446" w:rsidTr="00836FCB">
        <w:tc>
          <w:tcPr>
            <w:tcW w:w="9016" w:type="dxa"/>
            <w:tcBorders>
              <w:bottom w:val="single" w:sz="4" w:space="0" w:color="auto"/>
            </w:tcBorders>
          </w:tcPr>
          <w:p w:rsidR="00461446" w:rsidRPr="00461446" w:rsidRDefault="00461446" w:rsidP="00461446">
            <w:pPr>
              <w:contextualSpacing/>
              <w:rPr>
                <w:rFonts w:ascii="Times New Roman" w:eastAsia="Times New Roman" w:hAnsi="Times New Roman" w:cs="Times New Roman"/>
                <w:sz w:val="28"/>
                <w:szCs w:val="28"/>
                <w:lang w:val="ru-RU"/>
              </w:rPr>
            </w:pPr>
            <w:r w:rsidRPr="00461446">
              <w:rPr>
                <w:rFonts w:ascii="Times New Roman" w:eastAsia="Times New Roman" w:hAnsi="Times New Roman" w:cs="Times New Roman"/>
                <w:sz w:val="28"/>
                <w:szCs w:val="28"/>
                <w:lang w:val="ru-RU"/>
              </w:rPr>
              <w:t xml:space="preserve">12. </w:t>
            </w:r>
            <w:r w:rsidR="00161871" w:rsidRPr="002B6526">
              <w:rPr>
                <w:rFonts w:ascii="Times New Roman" w:eastAsia="Times New Roman" w:hAnsi="Times New Roman" w:cs="Times New Roman"/>
                <w:sz w:val="28"/>
                <w:szCs w:val="28"/>
                <w:lang w:val="ru-RU"/>
              </w:rPr>
              <w:t>Конфиденциальность состояния здоровья мужчин и женщин, живущих с ВИЧ</w:t>
            </w:r>
          </w:p>
        </w:tc>
      </w:tr>
      <w:tr w:rsidR="00461446" w:rsidRPr="00461446" w:rsidTr="00836FCB">
        <w:tc>
          <w:tcPr>
            <w:tcW w:w="9016" w:type="dxa"/>
            <w:tcBorders>
              <w:bottom w:val="single" w:sz="4" w:space="0" w:color="auto"/>
            </w:tcBorders>
          </w:tcPr>
          <w:p w:rsidR="00461446" w:rsidRPr="00461446" w:rsidRDefault="00461446" w:rsidP="00461446">
            <w:pPr>
              <w:contextualSpacing/>
              <w:rPr>
                <w:rFonts w:ascii="Times New Roman" w:eastAsia="Times New Roman" w:hAnsi="Times New Roman" w:cs="Times New Roman"/>
                <w:sz w:val="28"/>
                <w:szCs w:val="28"/>
              </w:rPr>
            </w:pPr>
            <w:r w:rsidRPr="00461446">
              <w:rPr>
                <w:rFonts w:ascii="Times New Roman" w:eastAsia="Times New Roman" w:hAnsi="Times New Roman" w:cs="Times New Roman"/>
                <w:sz w:val="28"/>
                <w:szCs w:val="28"/>
              </w:rPr>
              <w:t xml:space="preserve">13. </w:t>
            </w:r>
            <w:proofErr w:type="spellStart"/>
            <w:r w:rsidR="00F978D7" w:rsidRPr="002B6526">
              <w:rPr>
                <w:rFonts w:ascii="Times New Roman" w:eastAsia="Times New Roman" w:hAnsi="Times New Roman" w:cs="Times New Roman"/>
                <w:sz w:val="28"/>
                <w:szCs w:val="28"/>
              </w:rPr>
              <w:t>Вакцина</w:t>
            </w:r>
            <w:proofErr w:type="spellEnd"/>
            <w:r w:rsidR="00F978D7" w:rsidRPr="002B6526">
              <w:rPr>
                <w:rFonts w:ascii="Times New Roman" w:eastAsia="Times New Roman" w:hAnsi="Times New Roman" w:cs="Times New Roman"/>
                <w:sz w:val="28"/>
                <w:szCs w:val="28"/>
              </w:rPr>
              <w:t xml:space="preserve"> </w:t>
            </w:r>
            <w:proofErr w:type="spellStart"/>
            <w:r w:rsidR="00F978D7" w:rsidRPr="002B6526">
              <w:rPr>
                <w:rFonts w:ascii="Times New Roman" w:eastAsia="Times New Roman" w:hAnsi="Times New Roman" w:cs="Times New Roman"/>
                <w:sz w:val="28"/>
                <w:szCs w:val="28"/>
              </w:rPr>
              <w:t>против</w:t>
            </w:r>
            <w:proofErr w:type="spellEnd"/>
            <w:r w:rsidR="00F978D7" w:rsidRPr="002B6526">
              <w:rPr>
                <w:rFonts w:ascii="Times New Roman" w:eastAsia="Times New Roman" w:hAnsi="Times New Roman" w:cs="Times New Roman"/>
                <w:sz w:val="28"/>
                <w:szCs w:val="28"/>
              </w:rPr>
              <w:t xml:space="preserve"> ВПЧ</w:t>
            </w:r>
          </w:p>
        </w:tc>
      </w:tr>
    </w:tbl>
    <w:p w:rsidR="00461446" w:rsidRPr="002B6526" w:rsidRDefault="000E1BB8" w:rsidP="00461446">
      <w:pPr>
        <w:spacing w:line="360" w:lineRule="auto"/>
        <w:ind w:firstLine="0"/>
        <w:rPr>
          <w:rFonts w:cs="Times New Roman"/>
          <w:szCs w:val="28"/>
        </w:rPr>
      </w:pPr>
      <w:proofErr w:type="gramStart"/>
      <w:r w:rsidRPr="002B6526">
        <w:rPr>
          <w:rFonts w:cs="Times New Roman"/>
          <w:szCs w:val="28"/>
        </w:rPr>
        <w:t xml:space="preserve">По каждому из 13 компонентов собирается информация о наличии i) конкретных правовых инструментов (позитивные законы и нормативные акты) и </w:t>
      </w:r>
      <w:proofErr w:type="spellStart"/>
      <w:r w:rsidRPr="002B6526">
        <w:rPr>
          <w:rFonts w:cs="Times New Roman"/>
          <w:szCs w:val="28"/>
        </w:rPr>
        <w:t>ii</w:t>
      </w:r>
      <w:proofErr w:type="spellEnd"/>
      <w:r w:rsidRPr="002B6526">
        <w:rPr>
          <w:rFonts w:cs="Times New Roman"/>
          <w:szCs w:val="28"/>
        </w:rPr>
        <w:t>) конкретных правовых барьеров</w:t>
      </w:r>
      <w:r w:rsidR="00686B24" w:rsidRPr="002B6526">
        <w:rPr>
          <w:rStyle w:val="a6"/>
          <w:rFonts w:cs="Times New Roman"/>
          <w:szCs w:val="28"/>
        </w:rPr>
        <w:footnoteReference w:id="4"/>
      </w:r>
      <w:r w:rsidRPr="002B6526">
        <w:rPr>
          <w:rFonts w:cs="Times New Roman"/>
          <w:szCs w:val="28"/>
        </w:rPr>
        <w:t>. Такие барьеры включают в себя ограничения в отношении позитивных законов и положений (например, по возрасту, полу, семейному положению и требованию в отношении разрешения третьей стороны), а также многочисленные правовые системы, которые противоречат существующим позитивным законам и положениям</w:t>
      </w:r>
      <w:proofErr w:type="gramEnd"/>
      <w:r w:rsidRPr="002B6526">
        <w:rPr>
          <w:rFonts w:cs="Times New Roman"/>
          <w:szCs w:val="28"/>
        </w:rPr>
        <w:t>. Для каждого компонента конкретные факторы и барьеры, по которым собираются данные, определяются как основные факторы и барьеры для этого компонента.  Даже там, где действуют позитивные законы, правовые барьеры могут препятствовать полному и равному доступу к услугам, информации и образованию в области сексуального и репродуктивного здоровья; методология призвана обеспечить учет этого.</w:t>
      </w:r>
    </w:p>
    <w:p w:rsidR="000E1BB8" w:rsidRPr="002B6526" w:rsidRDefault="00CB57BD" w:rsidP="00461446">
      <w:pPr>
        <w:spacing w:line="360" w:lineRule="auto"/>
        <w:ind w:firstLine="0"/>
        <w:rPr>
          <w:rFonts w:cs="Times New Roman"/>
          <w:szCs w:val="28"/>
        </w:rPr>
      </w:pPr>
      <w:r w:rsidRPr="002B6526">
        <w:rPr>
          <w:rFonts w:cs="Times New Roman"/>
          <w:szCs w:val="28"/>
        </w:rPr>
        <w:lastRenderedPageBreak/>
        <w:t xml:space="preserve">Процентная оценка отражает статус страны и прогресс в существовании национальных законов и положений, гарантирующих полный и равный доступ к услугам в области сексуального и репродуктивного здоровья, информации и образования.  Отражая </w:t>
      </w:r>
      <w:r w:rsidR="00836FCB">
        <w:rPr>
          <w:rFonts w:cs="Times New Roman"/>
          <w:szCs w:val="28"/>
        </w:rPr>
        <w:t>«</w:t>
      </w:r>
      <w:r w:rsidRPr="002B6526">
        <w:rPr>
          <w:rFonts w:cs="Times New Roman"/>
          <w:szCs w:val="28"/>
        </w:rPr>
        <w:t>степень, в которой</w:t>
      </w:r>
      <w:r w:rsidR="00836FCB">
        <w:rPr>
          <w:rFonts w:cs="Times New Roman"/>
          <w:szCs w:val="28"/>
        </w:rPr>
        <w:t>»</w:t>
      </w:r>
      <w:r w:rsidRPr="002B6526">
        <w:rPr>
          <w:rFonts w:cs="Times New Roman"/>
          <w:szCs w:val="28"/>
        </w:rPr>
        <w:t xml:space="preserve"> страны гарантируют полный и равный доступ к услугам в области сексуального и репродуктивного здоровья, информации и образования, этот показатель позволяет проводить </w:t>
      </w:r>
      <w:proofErr w:type="spellStart"/>
      <w:r w:rsidRPr="002B6526">
        <w:rPr>
          <w:rFonts w:cs="Times New Roman"/>
          <w:szCs w:val="28"/>
        </w:rPr>
        <w:t>межстрановые</w:t>
      </w:r>
      <w:proofErr w:type="spellEnd"/>
      <w:r w:rsidRPr="002B6526">
        <w:rPr>
          <w:rFonts w:cs="Times New Roman"/>
          <w:szCs w:val="28"/>
        </w:rPr>
        <w:t xml:space="preserve"> сопоставления и фиксировать достигнутый внутри страны прогресс с течением времени.</w:t>
      </w:r>
    </w:p>
    <w:p w:rsidR="00686B24" w:rsidRPr="002B6526" w:rsidRDefault="00686B24" w:rsidP="00461446">
      <w:pPr>
        <w:spacing w:line="360" w:lineRule="auto"/>
        <w:ind w:firstLine="0"/>
        <w:rPr>
          <w:rFonts w:cs="Times New Roman"/>
          <w:szCs w:val="28"/>
        </w:rPr>
      </w:pPr>
      <w:r w:rsidRPr="002B6526">
        <w:rPr>
          <w:rFonts w:cs="Times New Roman"/>
          <w:szCs w:val="28"/>
        </w:rPr>
        <w:t>Основные понятия:</w:t>
      </w:r>
    </w:p>
    <w:p w:rsidR="00686B24" w:rsidRPr="002B6526" w:rsidRDefault="00686B24" w:rsidP="00461446">
      <w:pPr>
        <w:spacing w:line="360" w:lineRule="auto"/>
        <w:ind w:firstLine="0"/>
        <w:rPr>
          <w:rFonts w:cs="Times New Roman"/>
          <w:szCs w:val="28"/>
        </w:rPr>
      </w:pPr>
      <w:r w:rsidRPr="002B6526">
        <w:rPr>
          <w:rFonts w:cs="Times New Roman"/>
          <w:szCs w:val="28"/>
        </w:rPr>
        <w:t>Законы: законы и уставы – это официальные правила поведения или действия, предписанные или официально признанные обязательными или применяемые контролирующим органом, который регулирует поведение субъектов (включая людей, корпорации, ассоциации, правительственные учреждения).  Они принимаются или ратифицируются законодательной ветвью власти и могут официально признаваться в Конституции или толковаться судами.  Законы, регулирующие сексуальное и репродуктивное здоровье, необязательно содержатся в одном законе.</w:t>
      </w:r>
    </w:p>
    <w:p w:rsidR="00686B24" w:rsidRPr="002B6526" w:rsidRDefault="00686B24" w:rsidP="00461446">
      <w:pPr>
        <w:spacing w:line="360" w:lineRule="auto"/>
        <w:ind w:firstLine="0"/>
        <w:rPr>
          <w:rFonts w:cs="Times New Roman"/>
          <w:szCs w:val="28"/>
        </w:rPr>
      </w:pPr>
      <w:r w:rsidRPr="002B6526">
        <w:rPr>
          <w:rFonts w:cs="Times New Roman"/>
          <w:szCs w:val="28"/>
        </w:rPr>
        <w:t>Правила: считаются исполнительными, министерскими или иными административными распоряжениями или указами. На муниципальном уровне нормативные акты иногда называют постановлениями.  Правила и предписания государственных органов имеют силу закона, хотя и ограниченную по уровню полномочий.  В соответствии с этой методологией рассматриваются только правила, применяемые на национальном уровне.</w:t>
      </w:r>
    </w:p>
    <w:p w:rsidR="00686B24" w:rsidRPr="002B6526" w:rsidRDefault="00686B24" w:rsidP="00461446">
      <w:pPr>
        <w:spacing w:line="360" w:lineRule="auto"/>
        <w:ind w:firstLine="0"/>
        <w:rPr>
          <w:rFonts w:cs="Times New Roman"/>
          <w:szCs w:val="28"/>
        </w:rPr>
      </w:pPr>
      <w:r w:rsidRPr="002B6526">
        <w:rPr>
          <w:rFonts w:cs="Times New Roman"/>
          <w:szCs w:val="28"/>
        </w:rPr>
        <w:t xml:space="preserve">Ограничения: многие законы и нормативные акты содержат ограничения в сфере их применения.  Такие ограничения, которые включают, хотя и не ограничиваются ими, ограничения по возрасту, полу, семейному положению и требованию разрешения третьей стороны, препятствуют полному и </w:t>
      </w:r>
      <w:r w:rsidRPr="002B6526">
        <w:rPr>
          <w:rFonts w:cs="Times New Roman"/>
          <w:szCs w:val="28"/>
        </w:rPr>
        <w:lastRenderedPageBreak/>
        <w:t>равному доступу к услугам, информации и образованию в области сексуального и репродуктивного здоровья.</w:t>
      </w:r>
    </w:p>
    <w:p w:rsidR="00686B24" w:rsidRPr="002B6526" w:rsidRDefault="00686B24" w:rsidP="00461446">
      <w:pPr>
        <w:spacing w:line="360" w:lineRule="auto"/>
        <w:ind w:firstLine="0"/>
        <w:rPr>
          <w:rFonts w:cs="Times New Roman"/>
          <w:szCs w:val="28"/>
        </w:rPr>
      </w:pPr>
      <w:r w:rsidRPr="002B6526">
        <w:rPr>
          <w:rFonts w:cs="Times New Roman"/>
          <w:szCs w:val="28"/>
        </w:rPr>
        <w:t xml:space="preserve">Множественное число правовых систем: определяются как правовые системы, в которых сосуществуют несколько источников права.  Такие правовые системы, как правило, развивались в течение определенного периода времени в результате колониального наследования, религии и других социально-культурных факторов. Примеры источников права, которые могут сосуществовать в рамках множественной правовой системы, включают: английское общее право, французское гражданское </w:t>
      </w:r>
      <w:r w:rsidR="002B6526" w:rsidRPr="002B6526">
        <w:rPr>
          <w:rFonts w:cs="Times New Roman"/>
          <w:szCs w:val="28"/>
        </w:rPr>
        <w:t xml:space="preserve">или иное право, статутное право, </w:t>
      </w:r>
      <w:r w:rsidRPr="002B6526">
        <w:rPr>
          <w:rFonts w:cs="Times New Roman"/>
          <w:szCs w:val="28"/>
        </w:rPr>
        <w:t>обычное и религиозное право.  Сосуществование многочисленных источников права может привести к возникновению фундаментальных противоречий в правовой системе, что создает препятствия для полного и равного доступа к услугам в области сексуального и репродуктивного здоровья, информации и образования.</w:t>
      </w:r>
    </w:p>
    <w:p w:rsidR="00686B24" w:rsidRPr="002B6526" w:rsidRDefault="002B6526" w:rsidP="00461446">
      <w:pPr>
        <w:spacing w:line="360" w:lineRule="auto"/>
        <w:ind w:firstLine="0"/>
        <w:rPr>
          <w:rFonts w:cs="Times New Roman"/>
          <w:szCs w:val="28"/>
        </w:rPr>
      </w:pPr>
      <w:r w:rsidRPr="002B6526">
        <w:rPr>
          <w:rFonts w:cs="Times New Roman"/>
          <w:szCs w:val="28"/>
        </w:rPr>
        <w:t>«Гарантия» (доступ): для этой методологии «гарантия» понимается в отношении закона или правила, которые обеспечивают определенный результат или условие. В методологии признается, что законы могут только «в принципе» это гарантировать; чтобы результаты были полностью реализованы на практике, необходимо будет предпринять дополнительные шаги, включая политические и бюджетные меры.</w:t>
      </w:r>
    </w:p>
    <w:p w:rsidR="00CB57BD" w:rsidRPr="0062188E" w:rsidRDefault="00CB57BD" w:rsidP="00461446">
      <w:pPr>
        <w:spacing w:line="360" w:lineRule="auto"/>
        <w:ind w:firstLine="0"/>
        <w:rPr>
          <w:b/>
        </w:rPr>
      </w:pPr>
      <w:r w:rsidRPr="0062188E">
        <w:rPr>
          <w:b/>
        </w:rPr>
        <w:t>Комментарии и ограничения:</w:t>
      </w:r>
    </w:p>
    <w:p w:rsidR="00CB57BD" w:rsidRPr="002B6526" w:rsidRDefault="00CB57BD" w:rsidP="00461446">
      <w:pPr>
        <w:spacing w:line="360" w:lineRule="auto"/>
        <w:ind w:firstLine="0"/>
        <w:rPr>
          <w:rFonts w:cs="Times New Roman"/>
          <w:szCs w:val="28"/>
        </w:rPr>
      </w:pPr>
      <w:r w:rsidRPr="002B6526">
        <w:rPr>
          <w:rFonts w:cs="Times New Roman"/>
          <w:szCs w:val="28"/>
        </w:rPr>
        <w:t>Показатель 5.6.2 измеряет исключительно наличие законов и нормативных актов и препятствия</w:t>
      </w:r>
      <w:r w:rsidR="00686B24" w:rsidRPr="002B6526">
        <w:rPr>
          <w:rFonts w:cs="Times New Roman"/>
          <w:szCs w:val="28"/>
        </w:rPr>
        <w:t xml:space="preserve"> для их исполнения</w:t>
      </w:r>
      <w:r w:rsidRPr="002B6526">
        <w:rPr>
          <w:rFonts w:cs="Times New Roman"/>
          <w:szCs w:val="28"/>
        </w:rPr>
        <w:t>.  Он не измеряет осуществление таких законов</w:t>
      </w:r>
      <w:r w:rsidR="00686B24" w:rsidRPr="002B6526">
        <w:rPr>
          <w:rFonts w:cs="Times New Roman"/>
          <w:szCs w:val="28"/>
        </w:rPr>
        <w:t>/</w:t>
      </w:r>
      <w:r w:rsidRPr="002B6526">
        <w:rPr>
          <w:rFonts w:cs="Times New Roman"/>
          <w:szCs w:val="28"/>
        </w:rPr>
        <w:t xml:space="preserve">положений. Кроме того, 13 компонентов призваны служить ориентировочными показателями охраны сексуального и репродуктивного здоровья, информации и образования, а не полным или исчерпывающим перечнем услуг, информации и образования. Эти компоненты были отобраны, поскольку они были определены в качестве ключевых параметров </w:t>
      </w:r>
      <w:r w:rsidRPr="002B6526">
        <w:rPr>
          <w:rFonts w:cs="Times New Roman"/>
          <w:szCs w:val="28"/>
        </w:rPr>
        <w:lastRenderedPageBreak/>
        <w:t xml:space="preserve">в соответствии с международными </w:t>
      </w:r>
      <w:proofErr w:type="spellStart"/>
      <w:r w:rsidRPr="002B6526">
        <w:rPr>
          <w:rFonts w:cs="Times New Roman"/>
          <w:szCs w:val="28"/>
        </w:rPr>
        <w:t>консенсусными</w:t>
      </w:r>
      <w:proofErr w:type="spellEnd"/>
      <w:r w:rsidRPr="002B6526">
        <w:rPr>
          <w:rFonts w:cs="Times New Roman"/>
          <w:szCs w:val="28"/>
        </w:rPr>
        <w:t xml:space="preserve"> документами и стандартами в области прав человека.</w:t>
      </w:r>
    </w:p>
    <w:p w:rsidR="002B6526" w:rsidRPr="002B6526" w:rsidRDefault="002B6526" w:rsidP="002B6526">
      <w:pPr>
        <w:spacing w:before="0" w:after="200" w:line="276" w:lineRule="auto"/>
        <w:ind w:firstLine="0"/>
        <w:rPr>
          <w:rFonts w:cs="Times New Roman"/>
          <w:b/>
          <w:szCs w:val="28"/>
        </w:rPr>
      </w:pPr>
      <w:r w:rsidRPr="002B6526">
        <w:rPr>
          <w:rFonts w:cs="Times New Roman"/>
          <w:b/>
          <w:szCs w:val="28"/>
        </w:rPr>
        <w:t>Методология:</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Метод расчета:</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Показатель измеряет конкретные юридические механизмы и барьеры для 13 компонентов по четырем тематическим областям. Для расчета показателя требуются данные для всех 13 компонентов, а затем вычисление общего балла по этим значениям.</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 xml:space="preserve">13 компонентов </w:t>
      </w:r>
      <w:proofErr w:type="gramStart"/>
      <w:r w:rsidRPr="002B6526">
        <w:rPr>
          <w:rFonts w:cs="Times New Roman"/>
          <w:szCs w:val="28"/>
        </w:rPr>
        <w:t>размещены</w:t>
      </w:r>
      <w:proofErr w:type="gramEnd"/>
      <w:r w:rsidRPr="002B6526">
        <w:rPr>
          <w:rFonts w:cs="Times New Roman"/>
          <w:szCs w:val="28"/>
        </w:rPr>
        <w:t xml:space="preserve"> в одном и том же масштабе, причем 0% - самое низкое значение, а 100% - наиболее оптимальное значение. Каждый компонент оценивается независимо и взвешенно одинаково. Оценка для данного компонента рассчитывается как:</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((Количество существующих факторов/Общее количество факторов) - (Количество существующих барьеров/Общее количество барьеров)) * 100</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Здесь</w:t>
      </w:r>
      <w:r w:rsidR="00771935">
        <w:rPr>
          <w:rStyle w:val="a6"/>
          <w:rFonts w:cs="Times New Roman"/>
          <w:szCs w:val="28"/>
        </w:rPr>
        <w:footnoteReference w:id="5"/>
      </w:r>
      <w:r w:rsidRPr="002B6526">
        <w:rPr>
          <w:rFonts w:cs="Times New Roman"/>
          <w:szCs w:val="28"/>
        </w:rPr>
        <w:t xml:space="preserve"> можно оценить детали подхода оценки, относящегося к каждому отдельному компоненту.</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Общий балл для показателя 5.6.2 рассчитывается как среднее арифметическое для 13 компонентных баллов. Аналогично, оценка для каждой тематической секции рассчитывается как среднее арифметическое для ее составляющих компонентов.</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Оценка будет оценена для любых тонкостей относительного веса средств защиты до барьеров, как только данные будут собраны и оценены как минимум для 50 стран.</w:t>
      </w:r>
    </w:p>
    <w:p w:rsidR="002B6526" w:rsidRPr="002B6526" w:rsidRDefault="002B6526" w:rsidP="002B6526">
      <w:pPr>
        <w:spacing w:before="0" w:after="200" w:line="276" w:lineRule="auto"/>
        <w:ind w:firstLine="0"/>
        <w:rPr>
          <w:rFonts w:cs="Times New Roman"/>
          <w:b/>
          <w:szCs w:val="28"/>
        </w:rPr>
      </w:pPr>
      <w:proofErr w:type="spellStart"/>
      <w:r w:rsidRPr="002B6526">
        <w:rPr>
          <w:rFonts w:cs="Times New Roman"/>
          <w:b/>
          <w:szCs w:val="28"/>
        </w:rPr>
        <w:t>Дезагрегация</w:t>
      </w:r>
      <w:proofErr w:type="spellEnd"/>
      <w:r w:rsidRPr="002B6526">
        <w:rPr>
          <w:rFonts w:cs="Times New Roman"/>
          <w:b/>
          <w:szCs w:val="28"/>
        </w:rPr>
        <w:t>:</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Данные будут дезагрегированы по тематическому разделу. Это позволит странам определить конкретные области сексуального и репродуктивного здоровья, информацию и образование, в которых требуется прогресс.</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Обработка отсутствующих значений:</w:t>
      </w:r>
    </w:p>
    <w:p w:rsidR="002B6526" w:rsidRPr="002B6526" w:rsidRDefault="002B6526" w:rsidP="002B6526">
      <w:pPr>
        <w:numPr>
          <w:ilvl w:val="0"/>
          <w:numId w:val="1"/>
        </w:numPr>
        <w:spacing w:before="0" w:after="200" w:line="276" w:lineRule="auto"/>
        <w:contextualSpacing/>
        <w:jc w:val="left"/>
        <w:rPr>
          <w:rFonts w:cs="Times New Roman"/>
          <w:szCs w:val="28"/>
        </w:rPr>
      </w:pPr>
      <w:r w:rsidRPr="002B6526">
        <w:rPr>
          <w:rFonts w:cs="Times New Roman"/>
          <w:szCs w:val="28"/>
        </w:rPr>
        <w:t xml:space="preserve">На </w:t>
      </w:r>
      <w:proofErr w:type="spellStart"/>
      <w:r w:rsidRPr="002B6526">
        <w:rPr>
          <w:rFonts w:cs="Times New Roman"/>
          <w:szCs w:val="28"/>
        </w:rPr>
        <w:t>страновом</w:t>
      </w:r>
      <w:proofErr w:type="spellEnd"/>
      <w:r w:rsidRPr="002B6526">
        <w:rPr>
          <w:rFonts w:cs="Times New Roman"/>
          <w:szCs w:val="28"/>
        </w:rPr>
        <w:t xml:space="preserve"> уровне</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Для стран с отсутствующими значениями вменения не осуществляются.</w:t>
      </w:r>
    </w:p>
    <w:p w:rsidR="002B6526" w:rsidRPr="002B6526" w:rsidRDefault="002B6526" w:rsidP="002B6526">
      <w:pPr>
        <w:numPr>
          <w:ilvl w:val="0"/>
          <w:numId w:val="1"/>
        </w:numPr>
        <w:spacing w:before="0" w:after="200" w:line="276" w:lineRule="auto"/>
        <w:contextualSpacing/>
        <w:jc w:val="left"/>
        <w:rPr>
          <w:rFonts w:cs="Times New Roman"/>
          <w:szCs w:val="28"/>
        </w:rPr>
      </w:pPr>
      <w:r w:rsidRPr="002B6526">
        <w:rPr>
          <w:rFonts w:cs="Times New Roman"/>
          <w:szCs w:val="28"/>
        </w:rPr>
        <w:lastRenderedPageBreak/>
        <w:t>На региональном и глобальном уровнях:</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На региональном и глобальном уровнях вменения не осуществляются.</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Региональные показатели:</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Региональные и глобальные показатели рассчитываются как невзвешенные средние баллы по странам для стран-учредителей.</w:t>
      </w:r>
    </w:p>
    <w:p w:rsidR="002B6526" w:rsidRPr="002B6526" w:rsidRDefault="002B6526" w:rsidP="002B6526">
      <w:pPr>
        <w:spacing w:before="0" w:after="200" w:line="276" w:lineRule="auto"/>
        <w:ind w:firstLine="0"/>
        <w:rPr>
          <w:rFonts w:cs="Times New Roman"/>
          <w:b/>
          <w:szCs w:val="28"/>
        </w:rPr>
      </w:pPr>
      <w:r w:rsidRPr="002B6526">
        <w:rPr>
          <w:rFonts w:cs="Times New Roman"/>
          <w:b/>
          <w:szCs w:val="28"/>
        </w:rPr>
        <w:t>Источники расхождения:</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Не применимо, поскольку показатель 5.6.2 основывается на официальных данных, предоставленных национальными правительствами, и оценка на международном уровне не производится.</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Методы и рекомендации, доступные странам для составления данных на национальном уровне:</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 xml:space="preserve">Для сбора данных на национальном уровне используется </w:t>
      </w:r>
      <w:hyperlink r:id="rId9" w:history="1">
        <w:r w:rsidRPr="002B6526">
          <w:rPr>
            <w:rFonts w:cs="Times New Roman"/>
            <w:color w:val="0000FF" w:themeColor="hyperlink"/>
            <w:szCs w:val="28"/>
            <w:u w:val="single"/>
          </w:rPr>
          <w:t>электронное обследование с инструкциями</w:t>
        </w:r>
      </w:hyperlink>
      <w:r w:rsidRPr="002B6526">
        <w:rPr>
          <w:rFonts w:cs="Times New Roman"/>
          <w:szCs w:val="28"/>
        </w:rPr>
        <w:t xml:space="preserve"> в сопроводительной технической записке.</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Гарантия качества:</w:t>
      </w:r>
      <w:bookmarkStart w:id="0" w:name="_GoBack"/>
      <w:bookmarkEnd w:id="0"/>
    </w:p>
    <w:p w:rsidR="002B6526" w:rsidRPr="002B6526" w:rsidRDefault="002B6526" w:rsidP="002B6526">
      <w:pPr>
        <w:spacing w:before="0" w:after="200" w:line="276" w:lineRule="auto"/>
        <w:ind w:firstLine="0"/>
        <w:rPr>
          <w:rFonts w:cs="Times New Roman"/>
          <w:szCs w:val="28"/>
        </w:rPr>
      </w:pPr>
      <w:r w:rsidRPr="002B6526">
        <w:rPr>
          <w:rFonts w:cs="Times New Roman"/>
          <w:szCs w:val="28"/>
        </w:rPr>
        <w:t xml:space="preserve">Информация, предоставленная правительствами стран в рамках опроса, посвященного самоотчету, имеет триангуляцию с участием ключевых заинтересованных сторон, включая </w:t>
      </w:r>
      <w:proofErr w:type="spellStart"/>
      <w:r w:rsidRPr="002B6526">
        <w:rPr>
          <w:rFonts w:cs="Times New Roman"/>
          <w:szCs w:val="28"/>
        </w:rPr>
        <w:t>страновые</w:t>
      </w:r>
      <w:proofErr w:type="spellEnd"/>
      <w:r w:rsidRPr="002B6526">
        <w:rPr>
          <w:rFonts w:cs="Times New Roman"/>
          <w:szCs w:val="28"/>
        </w:rPr>
        <w:t xml:space="preserve"> группы ООН и агентства ООН, такие как ВОЗ, ЮНФПА и ООН. Женщины, которые также собирают конкретную </w:t>
      </w:r>
      <w:proofErr w:type="spellStart"/>
      <w:r w:rsidRPr="002B6526">
        <w:rPr>
          <w:rFonts w:cs="Times New Roman"/>
          <w:szCs w:val="28"/>
        </w:rPr>
        <w:t>страновую</w:t>
      </w:r>
      <w:proofErr w:type="spellEnd"/>
      <w:r w:rsidRPr="002B6526">
        <w:rPr>
          <w:rFonts w:cs="Times New Roman"/>
          <w:szCs w:val="28"/>
        </w:rPr>
        <w:t xml:space="preserve"> информацию о законодательных и нормативных изменениях по вопросам, относящимся к их соответствующим мандатам. Заключительные замечания и рекомендации правозащитных механизмов ООН (договорные органы, специальные процедуры и универсальный периодический обзор) также предоставляют ценную информацию о пробелах и противоречивых законах и нормативных актах.</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Для каждой страны национальный комитет по проверке рассматривает и проверяет все данные, полученные в ходе опроса, проведенного самостоятельно. В состав комитета по проверке входят представители:</w:t>
      </w:r>
    </w:p>
    <w:p w:rsidR="002B6526" w:rsidRPr="002B6526" w:rsidRDefault="002B6526" w:rsidP="002B6526">
      <w:pPr>
        <w:numPr>
          <w:ilvl w:val="0"/>
          <w:numId w:val="2"/>
        </w:numPr>
        <w:spacing w:before="0" w:after="200" w:line="276" w:lineRule="auto"/>
        <w:contextualSpacing/>
        <w:jc w:val="left"/>
        <w:rPr>
          <w:rFonts w:cs="Times New Roman"/>
          <w:szCs w:val="28"/>
        </w:rPr>
      </w:pPr>
      <w:proofErr w:type="spellStart"/>
      <w:r w:rsidRPr="002B6526">
        <w:rPr>
          <w:rFonts w:cs="Times New Roman"/>
          <w:szCs w:val="28"/>
        </w:rPr>
        <w:t>страновые</w:t>
      </w:r>
      <w:proofErr w:type="spellEnd"/>
      <w:r w:rsidRPr="002B6526">
        <w:rPr>
          <w:rFonts w:cs="Times New Roman"/>
          <w:szCs w:val="28"/>
        </w:rPr>
        <w:t xml:space="preserve"> группы ООН, включая такие учреждения, как ВОЗ, ЮНФПА и ООН. Эти агентства также собирают информацию по конкретным странам о правовых и нормативных изменениях по вопросам, относящимся к их соответствующим мандатам</w:t>
      </w:r>
    </w:p>
    <w:p w:rsidR="002B6526" w:rsidRPr="002B6526" w:rsidRDefault="002B6526" w:rsidP="002B6526">
      <w:pPr>
        <w:numPr>
          <w:ilvl w:val="0"/>
          <w:numId w:val="2"/>
        </w:numPr>
        <w:spacing w:before="0" w:after="200" w:line="276" w:lineRule="auto"/>
        <w:contextualSpacing/>
        <w:jc w:val="left"/>
        <w:rPr>
          <w:rFonts w:cs="Times New Roman"/>
          <w:szCs w:val="28"/>
        </w:rPr>
      </w:pPr>
      <w:r w:rsidRPr="002B6526">
        <w:rPr>
          <w:rFonts w:cs="Times New Roman"/>
          <w:szCs w:val="28"/>
        </w:rPr>
        <w:t xml:space="preserve">Группы гражданского общества, которые лучше всего располагают доступом к информации о правовых рамках, гарантирующих женщинам и мужчинам доступ к услугам в области сексуального и </w:t>
      </w:r>
      <w:r w:rsidRPr="002B6526">
        <w:rPr>
          <w:rFonts w:cs="Times New Roman"/>
          <w:szCs w:val="28"/>
        </w:rPr>
        <w:lastRenderedPageBreak/>
        <w:t>репродуктивного здоровья, информации и услуг, а также иерархию соответствующих законов и правил</w:t>
      </w:r>
    </w:p>
    <w:p w:rsidR="002B6526" w:rsidRPr="002B6526" w:rsidRDefault="002B6526" w:rsidP="002B6526">
      <w:pPr>
        <w:numPr>
          <w:ilvl w:val="0"/>
          <w:numId w:val="2"/>
        </w:numPr>
        <w:spacing w:before="0" w:after="200" w:line="276" w:lineRule="auto"/>
        <w:contextualSpacing/>
        <w:jc w:val="left"/>
        <w:rPr>
          <w:rFonts w:cs="Times New Roman"/>
          <w:szCs w:val="28"/>
        </w:rPr>
      </w:pPr>
      <w:r w:rsidRPr="002B6526">
        <w:rPr>
          <w:rFonts w:cs="Times New Roman"/>
          <w:szCs w:val="28"/>
        </w:rPr>
        <w:t>Национальные статистические управления</w:t>
      </w:r>
    </w:p>
    <w:p w:rsidR="002B6526" w:rsidRPr="002B6526" w:rsidRDefault="002B6526" w:rsidP="002B6526">
      <w:pPr>
        <w:numPr>
          <w:ilvl w:val="0"/>
          <w:numId w:val="2"/>
        </w:numPr>
        <w:spacing w:before="0" w:after="200" w:line="276" w:lineRule="auto"/>
        <w:contextualSpacing/>
        <w:jc w:val="left"/>
        <w:rPr>
          <w:rFonts w:cs="Times New Roman"/>
          <w:szCs w:val="28"/>
        </w:rPr>
      </w:pPr>
      <w:r w:rsidRPr="002B6526">
        <w:rPr>
          <w:rFonts w:cs="Times New Roman"/>
          <w:szCs w:val="28"/>
        </w:rPr>
        <w:t>Другие правительственные партнеры</w:t>
      </w:r>
    </w:p>
    <w:p w:rsidR="002B6526" w:rsidRPr="002B6526" w:rsidRDefault="002B6526" w:rsidP="002B6526">
      <w:pPr>
        <w:spacing w:before="0" w:after="200" w:line="276" w:lineRule="auto"/>
        <w:ind w:firstLine="0"/>
        <w:rPr>
          <w:rFonts w:cs="Times New Roman"/>
          <w:b/>
          <w:szCs w:val="28"/>
        </w:rPr>
      </w:pPr>
      <w:r w:rsidRPr="002B6526">
        <w:rPr>
          <w:rFonts w:cs="Times New Roman"/>
          <w:b/>
          <w:szCs w:val="28"/>
        </w:rPr>
        <w:t>Источники данных:</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Описание:</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Данные собираются с помощью электронного общенационального опроса, с помощью которого осуществляется электронное администрирование, которое было разработано для измерения правовой и нормативной среды по широкому спектру параметров сексуального и репродуктивного здоровья, информации и образования, включая все параметры, связанные с показателем 5.6.2. Инструмент опроса был разработан для предварительного кодирования ответов, где это применимо, и для обеспечения возможности открытого ответа для добавления описаний и объяснений. Он был разработан с использованием шаблонов пропуска, чтобы избежать избыточности.</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Процесс сбора:</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 xml:space="preserve">Предусматривается, что ЮНФПА назначит координатора из </w:t>
      </w:r>
      <w:proofErr w:type="spellStart"/>
      <w:r w:rsidRPr="002B6526">
        <w:rPr>
          <w:rFonts w:cs="Times New Roman"/>
          <w:szCs w:val="28"/>
        </w:rPr>
        <w:t>странового</w:t>
      </w:r>
      <w:proofErr w:type="spellEnd"/>
      <w:r w:rsidRPr="002B6526">
        <w:rPr>
          <w:rFonts w:cs="Times New Roman"/>
          <w:szCs w:val="28"/>
        </w:rPr>
        <w:t xml:space="preserve"> отделения ЮНФПА (или регионального отделения в случае стран без </w:t>
      </w:r>
      <w:proofErr w:type="spellStart"/>
      <w:r w:rsidRPr="002B6526">
        <w:rPr>
          <w:rFonts w:cs="Times New Roman"/>
          <w:szCs w:val="28"/>
        </w:rPr>
        <w:t>странового</w:t>
      </w:r>
      <w:proofErr w:type="spellEnd"/>
      <w:r w:rsidRPr="002B6526">
        <w:rPr>
          <w:rFonts w:cs="Times New Roman"/>
          <w:szCs w:val="28"/>
        </w:rPr>
        <w:t xml:space="preserve"> отделения) для координации завершения обследования путем установления связи с соответствующими министерствами, ведомствами и учреждениями правительства. После завершения обследования координационный центр ЮНФПА будет координировать национальное совещание по проверке, в котором представители </w:t>
      </w:r>
      <w:proofErr w:type="spellStart"/>
      <w:r w:rsidRPr="002B6526">
        <w:rPr>
          <w:rFonts w:cs="Times New Roman"/>
          <w:szCs w:val="28"/>
        </w:rPr>
        <w:t>страновых</w:t>
      </w:r>
      <w:proofErr w:type="spellEnd"/>
      <w:r w:rsidRPr="002B6526">
        <w:rPr>
          <w:rFonts w:cs="Times New Roman"/>
          <w:szCs w:val="28"/>
        </w:rPr>
        <w:t xml:space="preserve"> групп ООН, включая такие учреждения, как ВОЗ, ЮНФПА и ООН, группы гражданского общества, национальные статистические управления и правительственные партнеры, будут рассматривать и утверждать ответы опроса. ЮНФПА также изучает возможности для дальнейшего сотрудничества с Отделом народонаселения ООН (ДЭСВ) для управления инструментом обследования в рамках расследования ООН среди правительств по вопросам народонаселения и развития.</w:t>
      </w:r>
    </w:p>
    <w:p w:rsidR="002B6526" w:rsidRPr="002B6526" w:rsidRDefault="002B6526" w:rsidP="002B6526">
      <w:pPr>
        <w:spacing w:before="0" w:after="200" w:line="276" w:lineRule="auto"/>
        <w:ind w:firstLine="0"/>
        <w:rPr>
          <w:rFonts w:cs="Times New Roman"/>
          <w:b/>
          <w:szCs w:val="28"/>
        </w:rPr>
      </w:pPr>
      <w:r w:rsidRPr="002B6526">
        <w:rPr>
          <w:rFonts w:cs="Times New Roman"/>
          <w:b/>
          <w:szCs w:val="28"/>
        </w:rPr>
        <w:t>Доступность данных:</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Описание:</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Показатель 5.6.2 является новым показателем. Первоначальное администрирование инструмента обследования 5.6.2 будет использоваться для установления исходных данных.</w:t>
      </w:r>
    </w:p>
    <w:p w:rsidR="0062188E" w:rsidRDefault="0062188E" w:rsidP="002B6526">
      <w:pPr>
        <w:spacing w:before="0" w:after="200" w:line="276" w:lineRule="auto"/>
        <w:ind w:firstLine="0"/>
        <w:rPr>
          <w:rFonts w:cs="Times New Roman"/>
          <w:szCs w:val="28"/>
        </w:rPr>
      </w:pPr>
    </w:p>
    <w:p w:rsidR="002B6526" w:rsidRPr="002B6526" w:rsidRDefault="002B6526" w:rsidP="002B6526">
      <w:pPr>
        <w:spacing w:before="0" w:after="200" w:line="276" w:lineRule="auto"/>
        <w:ind w:firstLine="0"/>
        <w:rPr>
          <w:rFonts w:cs="Times New Roman"/>
          <w:szCs w:val="28"/>
        </w:rPr>
      </w:pPr>
      <w:r w:rsidRPr="002B6526">
        <w:rPr>
          <w:rFonts w:cs="Times New Roman"/>
          <w:szCs w:val="28"/>
        </w:rPr>
        <w:t>Временные ряды:</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Не применимо</w:t>
      </w:r>
    </w:p>
    <w:p w:rsidR="002B6526" w:rsidRPr="002B6526" w:rsidRDefault="002B6526" w:rsidP="002B6526">
      <w:pPr>
        <w:spacing w:before="0" w:after="200" w:line="276" w:lineRule="auto"/>
        <w:ind w:firstLine="0"/>
        <w:rPr>
          <w:rFonts w:cs="Times New Roman"/>
          <w:b/>
          <w:szCs w:val="28"/>
        </w:rPr>
      </w:pPr>
      <w:r w:rsidRPr="002B6526">
        <w:rPr>
          <w:rFonts w:cs="Times New Roman"/>
          <w:b/>
          <w:szCs w:val="28"/>
        </w:rPr>
        <w:t>Календарь:</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Сбор данных:</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Сбор базовых данных запланирован на 2019 год. Сбор данных будет планироваться каждые 2-3 года.</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Выпуск данных:</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2019</w:t>
      </w:r>
    </w:p>
    <w:p w:rsidR="002B6526" w:rsidRPr="002B6526" w:rsidRDefault="002B6526" w:rsidP="002B6526">
      <w:pPr>
        <w:spacing w:before="0" w:after="200" w:line="276" w:lineRule="auto"/>
        <w:ind w:firstLine="0"/>
        <w:rPr>
          <w:rFonts w:cs="Times New Roman"/>
          <w:b/>
          <w:szCs w:val="28"/>
        </w:rPr>
      </w:pPr>
      <w:r w:rsidRPr="002B6526">
        <w:rPr>
          <w:rFonts w:cs="Times New Roman"/>
          <w:b/>
          <w:szCs w:val="28"/>
        </w:rPr>
        <w:t>Поставщики данных:</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Данные будут предоставлены соответствующими министерствами, ведомствами и ведомствами.</w:t>
      </w:r>
    </w:p>
    <w:p w:rsidR="002B6526" w:rsidRPr="002B6526" w:rsidRDefault="002B6526" w:rsidP="002B6526">
      <w:pPr>
        <w:spacing w:before="0" w:after="200" w:line="276" w:lineRule="auto"/>
        <w:ind w:firstLine="0"/>
        <w:rPr>
          <w:rFonts w:cs="Times New Roman"/>
          <w:b/>
          <w:szCs w:val="28"/>
        </w:rPr>
      </w:pPr>
      <w:r w:rsidRPr="002B6526">
        <w:rPr>
          <w:rFonts w:cs="Times New Roman"/>
          <w:b/>
          <w:szCs w:val="28"/>
        </w:rPr>
        <w:t>Составители данных:</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ЮНФПА, при содействии международных агентств-партнеров.</w:t>
      </w:r>
    </w:p>
    <w:p w:rsidR="002B6526" w:rsidRPr="002B6526" w:rsidRDefault="002B6526" w:rsidP="002B6526">
      <w:pPr>
        <w:spacing w:before="0" w:after="200" w:line="276" w:lineRule="auto"/>
        <w:ind w:firstLine="0"/>
        <w:rPr>
          <w:rFonts w:cs="Times New Roman"/>
          <w:b/>
          <w:szCs w:val="28"/>
        </w:rPr>
      </w:pPr>
      <w:r w:rsidRPr="002B6526">
        <w:rPr>
          <w:rFonts w:cs="Times New Roman"/>
          <w:b/>
          <w:szCs w:val="28"/>
        </w:rPr>
        <w:t>Ссылки:</w:t>
      </w:r>
    </w:p>
    <w:p w:rsidR="002B6526" w:rsidRPr="002B6526" w:rsidRDefault="002B6526" w:rsidP="002B6526">
      <w:pPr>
        <w:shd w:val="clear" w:color="auto" w:fill="FFFFFF"/>
        <w:spacing w:before="0" w:line="276" w:lineRule="auto"/>
        <w:ind w:firstLine="0"/>
        <w:rPr>
          <w:rFonts w:cs="Times New Roman"/>
          <w:szCs w:val="28"/>
        </w:rPr>
      </w:pPr>
      <w:r w:rsidRPr="002B6526">
        <w:rPr>
          <w:rFonts w:cs="Times New Roman"/>
          <w:szCs w:val="28"/>
        </w:rPr>
        <w:t>URL:</w:t>
      </w:r>
    </w:p>
    <w:p w:rsidR="002B6526" w:rsidRPr="002B6526" w:rsidRDefault="002B6526" w:rsidP="002B6526">
      <w:pPr>
        <w:shd w:val="clear" w:color="auto" w:fill="FFFFFF"/>
        <w:spacing w:before="0" w:line="276" w:lineRule="auto"/>
        <w:ind w:firstLine="0"/>
        <w:rPr>
          <w:rFonts w:eastAsia="Times New Roman" w:cs="Times New Roman"/>
          <w:b/>
          <w:bCs/>
          <w:color w:val="4A4A4A"/>
          <w:szCs w:val="28"/>
          <w:lang w:eastAsia="en-GB"/>
        </w:rPr>
      </w:pPr>
    </w:p>
    <w:p w:rsidR="002B6526" w:rsidRPr="002B6526" w:rsidRDefault="002B6526" w:rsidP="002B6526">
      <w:pPr>
        <w:shd w:val="clear" w:color="auto" w:fill="FFFFFF"/>
        <w:spacing w:before="0" w:line="276" w:lineRule="auto"/>
        <w:ind w:firstLine="0"/>
        <w:rPr>
          <w:rFonts w:eastAsia="Times New Roman" w:cs="Times New Roman"/>
          <w:bCs/>
          <w:color w:val="0000FF" w:themeColor="hyperlink"/>
          <w:szCs w:val="28"/>
          <w:u w:val="single"/>
          <w:lang w:eastAsia="en-GB"/>
        </w:rPr>
      </w:pPr>
      <w:r w:rsidRPr="002B6526">
        <w:rPr>
          <w:rFonts w:eastAsia="Times New Roman" w:cs="Times New Roman"/>
          <w:bCs/>
          <w:szCs w:val="28"/>
          <w:lang w:val="en-US" w:eastAsia="en-GB"/>
        </w:rPr>
        <w:fldChar w:fldCharType="begin"/>
      </w:r>
      <w:r w:rsidRPr="002B6526">
        <w:rPr>
          <w:rFonts w:eastAsia="Times New Roman" w:cs="Times New Roman"/>
          <w:bCs/>
          <w:szCs w:val="28"/>
          <w:lang w:eastAsia="en-GB"/>
        </w:rPr>
        <w:instrText xml:space="preserve"> </w:instrText>
      </w:r>
      <w:r w:rsidRPr="002B6526">
        <w:rPr>
          <w:rFonts w:eastAsia="Times New Roman" w:cs="Times New Roman"/>
          <w:bCs/>
          <w:szCs w:val="28"/>
          <w:lang w:val="en-US" w:eastAsia="en-GB"/>
        </w:rPr>
        <w:instrText>HYPERLINK</w:instrText>
      </w:r>
      <w:r w:rsidRPr="002B6526">
        <w:rPr>
          <w:rFonts w:eastAsia="Times New Roman" w:cs="Times New Roman"/>
          <w:bCs/>
          <w:szCs w:val="28"/>
          <w:lang w:eastAsia="en-GB"/>
        </w:rPr>
        <w:instrText xml:space="preserve"> "</w:instrText>
      </w:r>
      <w:r w:rsidRPr="002B6526">
        <w:rPr>
          <w:rFonts w:eastAsia="Times New Roman" w:cs="Times New Roman"/>
          <w:bCs/>
          <w:szCs w:val="28"/>
          <w:lang w:val="en-US" w:eastAsia="en-GB"/>
        </w:rPr>
        <w:instrText>https</w:instrText>
      </w:r>
      <w:r w:rsidRPr="002B6526">
        <w:rPr>
          <w:rFonts w:eastAsia="Times New Roman" w:cs="Times New Roman"/>
          <w:bCs/>
          <w:szCs w:val="28"/>
          <w:lang w:eastAsia="en-GB"/>
        </w:rPr>
        <w:instrText>://</w:instrText>
      </w:r>
      <w:r w:rsidRPr="002B6526">
        <w:rPr>
          <w:rFonts w:eastAsia="Times New Roman" w:cs="Times New Roman"/>
          <w:bCs/>
          <w:szCs w:val="28"/>
          <w:lang w:val="en-US" w:eastAsia="en-GB"/>
        </w:rPr>
        <w:instrText>drive</w:instrText>
      </w:r>
      <w:r w:rsidRPr="002B6526">
        <w:rPr>
          <w:rFonts w:eastAsia="Times New Roman" w:cs="Times New Roman"/>
          <w:bCs/>
          <w:szCs w:val="28"/>
          <w:lang w:eastAsia="en-GB"/>
        </w:rPr>
        <w:instrText>.</w:instrText>
      </w:r>
      <w:r w:rsidRPr="002B6526">
        <w:rPr>
          <w:rFonts w:eastAsia="Times New Roman" w:cs="Times New Roman"/>
          <w:bCs/>
          <w:szCs w:val="28"/>
          <w:lang w:val="en-US" w:eastAsia="en-GB"/>
        </w:rPr>
        <w:instrText>google</w:instrText>
      </w:r>
      <w:r w:rsidRPr="002B6526">
        <w:rPr>
          <w:rFonts w:eastAsia="Times New Roman" w:cs="Times New Roman"/>
          <w:bCs/>
          <w:szCs w:val="28"/>
          <w:lang w:eastAsia="en-GB"/>
        </w:rPr>
        <w:instrText>.</w:instrText>
      </w:r>
      <w:r w:rsidRPr="002B6526">
        <w:rPr>
          <w:rFonts w:eastAsia="Times New Roman" w:cs="Times New Roman"/>
          <w:bCs/>
          <w:szCs w:val="28"/>
          <w:lang w:val="en-US" w:eastAsia="en-GB"/>
        </w:rPr>
        <w:instrText>com</w:instrText>
      </w:r>
      <w:r w:rsidRPr="002B6526">
        <w:rPr>
          <w:rFonts w:eastAsia="Times New Roman" w:cs="Times New Roman"/>
          <w:bCs/>
          <w:szCs w:val="28"/>
          <w:lang w:eastAsia="en-GB"/>
        </w:rPr>
        <w:instrText>/</w:instrText>
      </w:r>
      <w:r w:rsidRPr="002B6526">
        <w:rPr>
          <w:rFonts w:eastAsia="Times New Roman" w:cs="Times New Roman"/>
          <w:bCs/>
          <w:szCs w:val="28"/>
          <w:lang w:val="en-US" w:eastAsia="en-GB"/>
        </w:rPr>
        <w:instrText>open</w:instrText>
      </w:r>
      <w:r w:rsidRPr="002B6526">
        <w:rPr>
          <w:rFonts w:eastAsia="Times New Roman" w:cs="Times New Roman"/>
          <w:bCs/>
          <w:szCs w:val="28"/>
          <w:lang w:eastAsia="en-GB"/>
        </w:rPr>
        <w:instrText>?</w:instrText>
      </w:r>
      <w:r w:rsidRPr="002B6526">
        <w:rPr>
          <w:rFonts w:eastAsia="Times New Roman" w:cs="Times New Roman"/>
          <w:bCs/>
          <w:szCs w:val="28"/>
          <w:lang w:val="en-US" w:eastAsia="en-GB"/>
        </w:rPr>
        <w:instrText>id</w:instrText>
      </w:r>
      <w:r w:rsidRPr="002B6526">
        <w:rPr>
          <w:rFonts w:eastAsia="Times New Roman" w:cs="Times New Roman"/>
          <w:bCs/>
          <w:szCs w:val="28"/>
          <w:lang w:eastAsia="en-GB"/>
        </w:rPr>
        <w:instrText>=18</w:instrText>
      </w:r>
      <w:r w:rsidRPr="002B6526">
        <w:rPr>
          <w:rFonts w:eastAsia="Times New Roman" w:cs="Times New Roman"/>
          <w:bCs/>
          <w:szCs w:val="28"/>
          <w:lang w:val="en-US" w:eastAsia="en-GB"/>
        </w:rPr>
        <w:instrText>ckC</w:instrText>
      </w:r>
      <w:r w:rsidRPr="002B6526">
        <w:rPr>
          <w:rFonts w:eastAsia="Times New Roman" w:cs="Times New Roman"/>
          <w:bCs/>
          <w:szCs w:val="28"/>
          <w:lang w:eastAsia="en-GB"/>
        </w:rPr>
        <w:instrText>6</w:instrText>
      </w:r>
      <w:r w:rsidRPr="002B6526">
        <w:rPr>
          <w:rFonts w:eastAsia="Times New Roman" w:cs="Times New Roman"/>
          <w:bCs/>
          <w:szCs w:val="28"/>
          <w:lang w:val="en-US" w:eastAsia="en-GB"/>
        </w:rPr>
        <w:instrText>IGJ</w:instrText>
      </w:r>
      <w:r w:rsidRPr="002B6526">
        <w:rPr>
          <w:rFonts w:eastAsia="Times New Roman" w:cs="Times New Roman"/>
          <w:bCs/>
          <w:szCs w:val="28"/>
          <w:lang w:eastAsia="en-GB"/>
        </w:rPr>
        <w:instrText>92</w:instrText>
      </w:r>
      <w:r w:rsidRPr="002B6526">
        <w:rPr>
          <w:rFonts w:eastAsia="Times New Roman" w:cs="Times New Roman"/>
          <w:bCs/>
          <w:szCs w:val="28"/>
          <w:lang w:val="en-US" w:eastAsia="en-GB"/>
        </w:rPr>
        <w:instrText>G</w:instrText>
      </w:r>
      <w:r w:rsidRPr="002B6526">
        <w:rPr>
          <w:rFonts w:eastAsia="Times New Roman" w:cs="Times New Roman"/>
          <w:bCs/>
          <w:szCs w:val="28"/>
          <w:lang w:eastAsia="en-GB"/>
        </w:rPr>
        <w:instrText>-</w:instrText>
      </w:r>
      <w:r w:rsidRPr="002B6526">
        <w:rPr>
          <w:rFonts w:eastAsia="Times New Roman" w:cs="Times New Roman"/>
          <w:bCs/>
          <w:szCs w:val="28"/>
          <w:lang w:val="en-US" w:eastAsia="en-GB"/>
        </w:rPr>
        <w:instrText>xY</w:instrText>
      </w:r>
      <w:r w:rsidRPr="002B6526">
        <w:rPr>
          <w:rFonts w:eastAsia="Times New Roman" w:cs="Times New Roman"/>
          <w:bCs/>
          <w:szCs w:val="28"/>
          <w:lang w:eastAsia="en-GB"/>
        </w:rPr>
        <w:instrText>1</w:instrText>
      </w:r>
      <w:r w:rsidRPr="002B6526">
        <w:rPr>
          <w:rFonts w:eastAsia="Times New Roman" w:cs="Times New Roman"/>
          <w:bCs/>
          <w:szCs w:val="28"/>
          <w:lang w:val="en-US" w:eastAsia="en-GB"/>
        </w:rPr>
        <w:instrText>yfnggQuZi</w:instrText>
      </w:r>
      <w:r w:rsidRPr="002B6526">
        <w:rPr>
          <w:rFonts w:eastAsia="Times New Roman" w:cs="Times New Roman"/>
          <w:bCs/>
          <w:szCs w:val="28"/>
          <w:lang w:eastAsia="en-GB"/>
        </w:rPr>
        <w:instrText>3</w:instrText>
      </w:r>
      <w:r w:rsidRPr="002B6526">
        <w:rPr>
          <w:rFonts w:eastAsia="Times New Roman" w:cs="Times New Roman"/>
          <w:bCs/>
          <w:szCs w:val="28"/>
          <w:lang w:val="en-US" w:eastAsia="en-GB"/>
        </w:rPr>
        <w:instrText>KAVQoRI</w:instrText>
      </w:r>
      <w:r w:rsidRPr="002B6526">
        <w:rPr>
          <w:rFonts w:eastAsia="Times New Roman" w:cs="Times New Roman"/>
          <w:bCs/>
          <w:szCs w:val="28"/>
          <w:lang w:eastAsia="en-GB"/>
        </w:rPr>
        <w:instrText xml:space="preserve">" </w:instrText>
      </w:r>
      <w:r w:rsidRPr="002B6526">
        <w:rPr>
          <w:rFonts w:eastAsia="Times New Roman" w:cs="Times New Roman"/>
          <w:bCs/>
          <w:szCs w:val="28"/>
          <w:lang w:val="en-US" w:eastAsia="en-GB"/>
        </w:rPr>
        <w:fldChar w:fldCharType="separate"/>
      </w:r>
      <w:r w:rsidRPr="002B6526">
        <w:rPr>
          <w:rFonts w:eastAsia="Times New Roman" w:cs="Times New Roman"/>
          <w:bCs/>
          <w:color w:val="0000FF" w:themeColor="hyperlink"/>
          <w:szCs w:val="28"/>
          <w:u w:val="single"/>
          <w:lang w:eastAsia="en-GB"/>
        </w:rPr>
        <w:t>Инструмент обследования и техническая записка</w:t>
      </w:r>
    </w:p>
    <w:p w:rsidR="002B6526" w:rsidRPr="002B6526" w:rsidRDefault="002B6526" w:rsidP="002B6526">
      <w:pPr>
        <w:shd w:val="clear" w:color="auto" w:fill="FFFFFF"/>
        <w:spacing w:before="0" w:line="276" w:lineRule="auto"/>
        <w:ind w:firstLine="0"/>
        <w:rPr>
          <w:rFonts w:eastAsia="Times New Roman" w:cs="Times New Roman"/>
          <w:bCs/>
          <w:color w:val="0000FF" w:themeColor="hyperlink"/>
          <w:szCs w:val="28"/>
          <w:u w:val="single"/>
          <w:lang w:eastAsia="en-GB"/>
        </w:rPr>
      </w:pPr>
      <w:r w:rsidRPr="002B6526">
        <w:rPr>
          <w:rFonts w:eastAsia="Times New Roman" w:cs="Times New Roman"/>
          <w:bCs/>
          <w:szCs w:val="28"/>
          <w:lang w:val="en-US" w:eastAsia="en-GB"/>
        </w:rPr>
        <w:fldChar w:fldCharType="end"/>
      </w:r>
      <w:r w:rsidRPr="002B6526">
        <w:rPr>
          <w:rFonts w:eastAsia="Times New Roman" w:cs="Times New Roman"/>
          <w:bCs/>
          <w:szCs w:val="28"/>
          <w:lang w:val="en-US" w:eastAsia="en-GB"/>
        </w:rPr>
        <w:fldChar w:fldCharType="begin"/>
      </w:r>
      <w:r w:rsidRPr="002B6526">
        <w:rPr>
          <w:rFonts w:eastAsia="Times New Roman" w:cs="Times New Roman"/>
          <w:bCs/>
          <w:szCs w:val="28"/>
          <w:lang w:eastAsia="en-GB"/>
        </w:rPr>
        <w:instrText xml:space="preserve"> </w:instrText>
      </w:r>
      <w:r w:rsidRPr="002B6526">
        <w:rPr>
          <w:rFonts w:eastAsia="Times New Roman" w:cs="Times New Roman"/>
          <w:bCs/>
          <w:szCs w:val="28"/>
          <w:lang w:val="en-US" w:eastAsia="en-GB"/>
        </w:rPr>
        <w:instrText>HYPERLINK</w:instrText>
      </w:r>
      <w:r w:rsidRPr="002B6526">
        <w:rPr>
          <w:rFonts w:eastAsia="Times New Roman" w:cs="Times New Roman"/>
          <w:bCs/>
          <w:szCs w:val="28"/>
          <w:lang w:eastAsia="en-GB"/>
        </w:rPr>
        <w:instrText xml:space="preserve"> "</w:instrText>
      </w:r>
      <w:r w:rsidRPr="002B6526">
        <w:rPr>
          <w:rFonts w:eastAsia="Times New Roman" w:cs="Times New Roman"/>
          <w:bCs/>
          <w:szCs w:val="28"/>
          <w:lang w:val="en-US" w:eastAsia="en-GB"/>
        </w:rPr>
        <w:instrText>https</w:instrText>
      </w:r>
      <w:r w:rsidRPr="002B6526">
        <w:rPr>
          <w:rFonts w:eastAsia="Times New Roman" w:cs="Times New Roman"/>
          <w:bCs/>
          <w:szCs w:val="28"/>
          <w:lang w:eastAsia="en-GB"/>
        </w:rPr>
        <w:instrText>://</w:instrText>
      </w:r>
      <w:r w:rsidRPr="002B6526">
        <w:rPr>
          <w:rFonts w:eastAsia="Times New Roman" w:cs="Times New Roman"/>
          <w:bCs/>
          <w:szCs w:val="28"/>
          <w:lang w:val="en-US" w:eastAsia="en-GB"/>
        </w:rPr>
        <w:instrText>drive</w:instrText>
      </w:r>
      <w:r w:rsidRPr="002B6526">
        <w:rPr>
          <w:rFonts w:eastAsia="Times New Roman" w:cs="Times New Roman"/>
          <w:bCs/>
          <w:szCs w:val="28"/>
          <w:lang w:eastAsia="en-GB"/>
        </w:rPr>
        <w:instrText>.</w:instrText>
      </w:r>
      <w:r w:rsidRPr="002B6526">
        <w:rPr>
          <w:rFonts w:eastAsia="Times New Roman" w:cs="Times New Roman"/>
          <w:bCs/>
          <w:szCs w:val="28"/>
          <w:lang w:val="en-US" w:eastAsia="en-GB"/>
        </w:rPr>
        <w:instrText>google</w:instrText>
      </w:r>
      <w:r w:rsidRPr="002B6526">
        <w:rPr>
          <w:rFonts w:eastAsia="Times New Roman" w:cs="Times New Roman"/>
          <w:bCs/>
          <w:szCs w:val="28"/>
          <w:lang w:eastAsia="en-GB"/>
        </w:rPr>
        <w:instrText>.</w:instrText>
      </w:r>
      <w:r w:rsidRPr="002B6526">
        <w:rPr>
          <w:rFonts w:eastAsia="Times New Roman" w:cs="Times New Roman"/>
          <w:bCs/>
          <w:szCs w:val="28"/>
          <w:lang w:val="en-US" w:eastAsia="en-GB"/>
        </w:rPr>
        <w:instrText>com</w:instrText>
      </w:r>
      <w:r w:rsidRPr="002B6526">
        <w:rPr>
          <w:rFonts w:eastAsia="Times New Roman" w:cs="Times New Roman"/>
          <w:bCs/>
          <w:szCs w:val="28"/>
          <w:lang w:eastAsia="en-GB"/>
        </w:rPr>
        <w:instrText>/</w:instrText>
      </w:r>
      <w:r w:rsidRPr="002B6526">
        <w:rPr>
          <w:rFonts w:eastAsia="Times New Roman" w:cs="Times New Roman"/>
          <w:bCs/>
          <w:szCs w:val="28"/>
          <w:lang w:val="en-US" w:eastAsia="en-GB"/>
        </w:rPr>
        <w:instrText>open</w:instrText>
      </w:r>
      <w:r w:rsidRPr="002B6526">
        <w:rPr>
          <w:rFonts w:eastAsia="Times New Roman" w:cs="Times New Roman"/>
          <w:bCs/>
          <w:szCs w:val="28"/>
          <w:lang w:eastAsia="en-GB"/>
        </w:rPr>
        <w:instrText>?</w:instrText>
      </w:r>
      <w:r w:rsidRPr="002B6526">
        <w:rPr>
          <w:rFonts w:eastAsia="Times New Roman" w:cs="Times New Roman"/>
          <w:bCs/>
          <w:szCs w:val="28"/>
          <w:lang w:val="en-US" w:eastAsia="en-GB"/>
        </w:rPr>
        <w:instrText>id</w:instrText>
      </w:r>
      <w:r w:rsidRPr="002B6526">
        <w:rPr>
          <w:rFonts w:eastAsia="Times New Roman" w:cs="Times New Roman"/>
          <w:bCs/>
          <w:szCs w:val="28"/>
          <w:lang w:eastAsia="en-GB"/>
        </w:rPr>
        <w:instrText>=15</w:instrText>
      </w:r>
      <w:r w:rsidRPr="002B6526">
        <w:rPr>
          <w:rFonts w:eastAsia="Times New Roman" w:cs="Times New Roman"/>
          <w:bCs/>
          <w:szCs w:val="28"/>
          <w:lang w:val="en-US" w:eastAsia="en-GB"/>
        </w:rPr>
        <w:instrText>aUNkLrzuEmXS</w:instrText>
      </w:r>
      <w:r w:rsidRPr="002B6526">
        <w:rPr>
          <w:rFonts w:eastAsia="Times New Roman" w:cs="Times New Roman"/>
          <w:bCs/>
          <w:szCs w:val="28"/>
          <w:lang w:eastAsia="en-GB"/>
        </w:rPr>
        <w:instrText>9</w:instrText>
      </w:r>
      <w:r w:rsidRPr="002B6526">
        <w:rPr>
          <w:rFonts w:eastAsia="Times New Roman" w:cs="Times New Roman"/>
          <w:bCs/>
          <w:szCs w:val="28"/>
          <w:lang w:val="en-US" w:eastAsia="en-GB"/>
        </w:rPr>
        <w:instrText>K</w:instrText>
      </w:r>
      <w:r w:rsidRPr="002B6526">
        <w:rPr>
          <w:rFonts w:eastAsia="Times New Roman" w:cs="Times New Roman"/>
          <w:bCs/>
          <w:szCs w:val="28"/>
          <w:lang w:eastAsia="en-GB"/>
        </w:rPr>
        <w:instrText>7</w:instrText>
      </w:r>
      <w:r w:rsidRPr="002B6526">
        <w:rPr>
          <w:rFonts w:eastAsia="Times New Roman" w:cs="Times New Roman"/>
          <w:bCs/>
          <w:szCs w:val="28"/>
          <w:lang w:val="en-US" w:eastAsia="en-GB"/>
        </w:rPr>
        <w:instrText>rEPEn</w:instrText>
      </w:r>
      <w:r w:rsidRPr="002B6526">
        <w:rPr>
          <w:rFonts w:eastAsia="Times New Roman" w:cs="Times New Roman"/>
          <w:bCs/>
          <w:szCs w:val="28"/>
          <w:lang w:eastAsia="en-GB"/>
        </w:rPr>
        <w:instrText>87</w:instrText>
      </w:r>
      <w:r w:rsidRPr="002B6526">
        <w:rPr>
          <w:rFonts w:eastAsia="Times New Roman" w:cs="Times New Roman"/>
          <w:bCs/>
          <w:szCs w:val="28"/>
          <w:lang w:val="en-US" w:eastAsia="en-GB"/>
        </w:rPr>
        <w:instrText>lC</w:instrText>
      </w:r>
      <w:r w:rsidRPr="002B6526">
        <w:rPr>
          <w:rFonts w:eastAsia="Times New Roman" w:cs="Times New Roman"/>
          <w:bCs/>
          <w:szCs w:val="28"/>
          <w:lang w:eastAsia="en-GB"/>
        </w:rPr>
        <w:instrText>3</w:instrText>
      </w:r>
      <w:r w:rsidRPr="002B6526">
        <w:rPr>
          <w:rFonts w:eastAsia="Times New Roman" w:cs="Times New Roman"/>
          <w:bCs/>
          <w:szCs w:val="28"/>
          <w:lang w:val="en-US" w:eastAsia="en-GB"/>
        </w:rPr>
        <w:instrText>ENyEro</w:instrText>
      </w:r>
      <w:r w:rsidRPr="002B6526">
        <w:rPr>
          <w:rFonts w:eastAsia="Times New Roman" w:cs="Times New Roman"/>
          <w:bCs/>
          <w:szCs w:val="28"/>
          <w:lang w:eastAsia="en-GB"/>
        </w:rPr>
        <w:instrText xml:space="preserve">" </w:instrText>
      </w:r>
      <w:r w:rsidRPr="002B6526">
        <w:rPr>
          <w:rFonts w:eastAsia="Times New Roman" w:cs="Times New Roman"/>
          <w:bCs/>
          <w:szCs w:val="28"/>
          <w:lang w:val="en-US" w:eastAsia="en-GB"/>
        </w:rPr>
        <w:fldChar w:fldCharType="separate"/>
      </w:r>
      <w:r w:rsidRPr="002B6526">
        <w:rPr>
          <w:rFonts w:eastAsia="Times New Roman" w:cs="Times New Roman"/>
          <w:bCs/>
          <w:color w:val="0000FF" w:themeColor="hyperlink"/>
          <w:szCs w:val="28"/>
          <w:u w:val="single"/>
          <w:lang w:eastAsia="en-GB"/>
        </w:rPr>
        <w:t>Опросный лист</w:t>
      </w:r>
    </w:p>
    <w:p w:rsidR="002B6526" w:rsidRDefault="002B6526" w:rsidP="002B6526">
      <w:pPr>
        <w:spacing w:before="0" w:after="200" w:line="276" w:lineRule="auto"/>
        <w:ind w:firstLine="0"/>
        <w:rPr>
          <w:rFonts w:eastAsia="Times New Roman" w:cs="Times New Roman"/>
          <w:bCs/>
          <w:szCs w:val="28"/>
          <w:lang w:eastAsia="en-GB"/>
        </w:rPr>
      </w:pPr>
      <w:r w:rsidRPr="002B6526">
        <w:rPr>
          <w:rFonts w:eastAsia="Times New Roman" w:cs="Times New Roman"/>
          <w:bCs/>
          <w:szCs w:val="28"/>
          <w:lang w:val="en-US" w:eastAsia="en-GB"/>
        </w:rPr>
        <w:fldChar w:fldCharType="end"/>
      </w:r>
    </w:p>
    <w:p w:rsidR="002B6526" w:rsidRPr="002B6526" w:rsidRDefault="002B6526" w:rsidP="002B6526">
      <w:pPr>
        <w:spacing w:before="0" w:after="200" w:line="276" w:lineRule="auto"/>
        <w:ind w:firstLine="0"/>
        <w:rPr>
          <w:rFonts w:eastAsia="Times New Roman" w:cs="Times New Roman"/>
          <w:b/>
          <w:bCs/>
          <w:szCs w:val="28"/>
          <w:lang w:eastAsia="en-GB"/>
        </w:rPr>
      </w:pPr>
      <w:r w:rsidRPr="002B6526">
        <w:rPr>
          <w:rFonts w:eastAsia="Times New Roman" w:cs="Times New Roman"/>
          <w:b/>
          <w:bCs/>
          <w:szCs w:val="28"/>
          <w:lang w:eastAsia="en-GB"/>
        </w:rPr>
        <w:t>Связанные показатели:</w:t>
      </w:r>
    </w:p>
    <w:p w:rsidR="002B6526" w:rsidRPr="002B6526" w:rsidRDefault="002B6526" w:rsidP="002B6526">
      <w:pPr>
        <w:spacing w:before="0" w:after="200" w:line="276" w:lineRule="auto"/>
        <w:ind w:firstLine="0"/>
        <w:rPr>
          <w:rFonts w:eastAsia="Times New Roman" w:cs="Times New Roman"/>
          <w:szCs w:val="28"/>
        </w:rPr>
      </w:pPr>
      <w:r w:rsidRPr="002B6526">
        <w:rPr>
          <w:rFonts w:eastAsia="Times New Roman" w:cs="Times New Roman"/>
          <w:szCs w:val="28"/>
        </w:rPr>
        <w:t>Показатель 5.6.1 Доля женщин в возрасте от 15 до 49 лет, самостоятельно принимающих обдуманные решения о сексуальных отношениях, применении противозачаточных средств и обращении за услугами по охране репродуктивного здоровья</w:t>
      </w:r>
    </w:p>
    <w:p w:rsidR="002B6526" w:rsidRPr="002B6526" w:rsidRDefault="002B6526" w:rsidP="002B6526">
      <w:pPr>
        <w:spacing w:before="0" w:after="200" w:line="276" w:lineRule="auto"/>
        <w:ind w:firstLine="0"/>
        <w:rPr>
          <w:rFonts w:cs="Times New Roman"/>
          <w:szCs w:val="28"/>
        </w:rPr>
      </w:pPr>
      <w:r w:rsidRPr="002B6526">
        <w:rPr>
          <w:rFonts w:cs="Times New Roman"/>
          <w:szCs w:val="28"/>
        </w:rPr>
        <w:t>Задача 3.7</w:t>
      </w:r>
      <w:proofErr w:type="gramStart"/>
      <w:r w:rsidRPr="002B6526">
        <w:rPr>
          <w:rFonts w:cs="Times New Roman"/>
          <w:szCs w:val="28"/>
        </w:rPr>
        <w:t xml:space="preserve"> К</w:t>
      </w:r>
      <w:proofErr w:type="gramEnd"/>
      <w:r w:rsidRPr="002B6526">
        <w:rPr>
          <w:rFonts w:cs="Times New Roman"/>
          <w:szCs w:val="28"/>
        </w:rPr>
        <w:t xml:space="preserve"> 2030 году обеспечить всеобщий доступ к услугам по охране сексуального и репродуктивного здоровья, включая услуги по планированию семьи, информирование и просвещение, и учет вопросов охраны репродуктивного здоровья в национальных стратегиях и программах</w:t>
      </w:r>
    </w:p>
    <w:p w:rsidR="002B6526" w:rsidRPr="00CB57BD" w:rsidRDefault="002B6526" w:rsidP="00461446">
      <w:pPr>
        <w:spacing w:line="360" w:lineRule="auto"/>
        <w:ind w:firstLine="0"/>
        <w:rPr>
          <w:sz w:val="24"/>
        </w:rPr>
      </w:pPr>
    </w:p>
    <w:sectPr w:rsidR="002B6526" w:rsidRPr="00CB57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35" w:rsidRDefault="00771935" w:rsidP="00230E90">
      <w:pPr>
        <w:spacing w:before="0"/>
      </w:pPr>
      <w:r>
        <w:separator/>
      </w:r>
    </w:p>
  </w:endnote>
  <w:endnote w:type="continuationSeparator" w:id="0">
    <w:p w:rsidR="00771935" w:rsidRDefault="00771935" w:rsidP="00230E9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35" w:rsidRDefault="00771935" w:rsidP="00230E90">
      <w:pPr>
        <w:spacing w:before="0"/>
      </w:pPr>
      <w:r>
        <w:separator/>
      </w:r>
    </w:p>
  </w:footnote>
  <w:footnote w:type="continuationSeparator" w:id="0">
    <w:p w:rsidR="00771935" w:rsidRDefault="00771935" w:rsidP="00230E90">
      <w:pPr>
        <w:spacing w:before="0"/>
      </w:pPr>
      <w:r>
        <w:continuationSeparator/>
      </w:r>
    </w:p>
  </w:footnote>
  <w:footnote w:id="1">
    <w:p w:rsidR="00771935" w:rsidRPr="00D95CE2" w:rsidRDefault="00771935">
      <w:pPr>
        <w:pStyle w:val="a4"/>
        <w:rPr>
          <w:rFonts w:asciiTheme="minorHAnsi" w:hAnsiTheme="minorHAnsi"/>
        </w:rPr>
      </w:pPr>
      <w:r>
        <w:rPr>
          <w:rStyle w:val="a6"/>
        </w:rPr>
        <w:footnoteRef/>
      </w:r>
      <w:r>
        <w:t xml:space="preserve"> </w:t>
      </w:r>
      <w:r w:rsidRPr="00D95CE2">
        <w:rPr>
          <w:rFonts w:asciiTheme="minorHAnsi" w:hAnsiTheme="minorHAnsi"/>
        </w:rPr>
        <w:t>Организация Объединенных Наций (1994 год) Международная конференция по Народонаселению и развитию: программа действий. Каир, Египет.</w:t>
      </w:r>
    </w:p>
  </w:footnote>
  <w:footnote w:id="2">
    <w:p w:rsidR="00771935" w:rsidRPr="00D95CE2" w:rsidRDefault="00771935">
      <w:pPr>
        <w:pStyle w:val="a4"/>
        <w:rPr>
          <w:rFonts w:asciiTheme="minorHAnsi" w:hAnsiTheme="minorHAnsi"/>
          <w:lang w:val="en-US"/>
        </w:rPr>
      </w:pPr>
      <w:r w:rsidRPr="00D95CE2">
        <w:rPr>
          <w:rStyle w:val="a6"/>
          <w:rFonts w:asciiTheme="minorHAnsi" w:hAnsiTheme="minorHAnsi"/>
        </w:rPr>
        <w:footnoteRef/>
      </w:r>
      <w:r w:rsidRPr="00D95CE2">
        <w:rPr>
          <w:rFonts w:asciiTheme="minorHAnsi" w:hAnsiTheme="minorHAnsi"/>
        </w:rPr>
        <w:t xml:space="preserve"> Организация Объединенных Наций (1995 год) четвертая Всемирная конференция по положению женщин: программа действий. Пекин</w:t>
      </w:r>
      <w:r w:rsidRPr="00D95CE2">
        <w:rPr>
          <w:rFonts w:asciiTheme="minorHAnsi" w:hAnsiTheme="minorHAnsi"/>
          <w:lang w:val="en-US"/>
        </w:rPr>
        <w:t xml:space="preserve">, </w:t>
      </w:r>
      <w:r w:rsidRPr="00D95CE2">
        <w:rPr>
          <w:rFonts w:asciiTheme="minorHAnsi" w:hAnsiTheme="minorHAnsi"/>
        </w:rPr>
        <w:t>Китай</w:t>
      </w:r>
      <w:r w:rsidRPr="00D95CE2">
        <w:rPr>
          <w:rFonts w:asciiTheme="minorHAnsi" w:hAnsiTheme="minorHAnsi"/>
          <w:lang w:val="en-US"/>
        </w:rPr>
        <w:t>.</w:t>
      </w:r>
    </w:p>
  </w:footnote>
  <w:footnote w:id="3">
    <w:p w:rsidR="00771935" w:rsidRPr="0062188E" w:rsidRDefault="00771935">
      <w:pPr>
        <w:pStyle w:val="a4"/>
        <w:rPr>
          <w:rFonts w:asciiTheme="minorHAnsi" w:hAnsiTheme="minorHAnsi"/>
          <w:lang w:val="en-US"/>
        </w:rPr>
      </w:pPr>
      <w:r w:rsidRPr="00D95CE2">
        <w:rPr>
          <w:rStyle w:val="a6"/>
          <w:rFonts w:asciiTheme="minorHAnsi" w:hAnsiTheme="minorHAnsi"/>
        </w:rPr>
        <w:footnoteRef/>
      </w:r>
      <w:r w:rsidRPr="00D95CE2">
        <w:rPr>
          <w:rFonts w:asciiTheme="minorHAnsi" w:hAnsiTheme="minorHAnsi"/>
          <w:lang w:val="en-US"/>
        </w:rPr>
        <w:t xml:space="preserve"> </w:t>
      </w:r>
      <w:proofErr w:type="gramStart"/>
      <w:r w:rsidRPr="00D95CE2">
        <w:rPr>
          <w:rFonts w:asciiTheme="minorHAnsi" w:hAnsiTheme="minorHAnsi"/>
          <w:lang w:val="en-US"/>
        </w:rPr>
        <w:t>CEDAW General Recommendation no. 24.</w:t>
      </w:r>
      <w:proofErr w:type="gramEnd"/>
      <w:r w:rsidRPr="00D95CE2">
        <w:rPr>
          <w:rFonts w:asciiTheme="minorHAnsi" w:hAnsiTheme="minorHAnsi"/>
          <w:lang w:val="en-US"/>
        </w:rPr>
        <w:t xml:space="preserve"> Accessed online 24 May 2018: </w:t>
      </w:r>
      <w:hyperlink r:id="rId1" w:history="1">
        <w:r w:rsidRPr="00D95CE2">
          <w:rPr>
            <w:rStyle w:val="a3"/>
            <w:rFonts w:asciiTheme="minorHAnsi" w:hAnsiTheme="minorHAnsi"/>
            <w:lang w:val="en-US"/>
          </w:rPr>
          <w:t>http://www.refworld.org/docid/453882a73.html</w:t>
        </w:r>
      </w:hyperlink>
      <w:r w:rsidRPr="00D95CE2">
        <w:rPr>
          <w:rFonts w:asciiTheme="minorHAnsi" w:hAnsiTheme="minorHAnsi"/>
          <w:lang w:val="en-US"/>
        </w:rPr>
        <w:t xml:space="preserve">; </w:t>
      </w:r>
    </w:p>
    <w:p w:rsidR="00771935" w:rsidRPr="00D95CE2" w:rsidRDefault="00771935" w:rsidP="00D95CE2">
      <w:pPr>
        <w:pStyle w:val="a4"/>
        <w:ind w:firstLine="0"/>
        <w:rPr>
          <w:rFonts w:asciiTheme="minorHAnsi" w:hAnsiTheme="minorHAnsi"/>
          <w:lang w:val="en-US"/>
        </w:rPr>
      </w:pPr>
      <w:proofErr w:type="gramStart"/>
      <w:r w:rsidRPr="00D95CE2">
        <w:rPr>
          <w:rFonts w:asciiTheme="minorHAnsi" w:eastAsia="Times New Roman" w:hAnsiTheme="minorHAnsi" w:cs="Times New Roman"/>
          <w:lang w:val="en-US" w:eastAsia="en-GB"/>
        </w:rPr>
        <w:t>CEDAW General Comment no. 35 (2017).</w:t>
      </w:r>
      <w:proofErr w:type="gramEnd"/>
      <w:r w:rsidRPr="00D95CE2">
        <w:rPr>
          <w:rFonts w:asciiTheme="minorHAnsi" w:eastAsia="Times New Roman" w:hAnsiTheme="minorHAnsi" w:cs="Times New Roman"/>
          <w:lang w:val="en-US" w:eastAsia="en-GB"/>
        </w:rPr>
        <w:t xml:space="preserve"> </w:t>
      </w:r>
      <w:r w:rsidRPr="00D95CE2">
        <w:rPr>
          <w:rFonts w:asciiTheme="minorHAnsi" w:hAnsiTheme="minorHAnsi"/>
          <w:lang w:val="en-US"/>
        </w:rPr>
        <w:t>Accessed online 23</w:t>
      </w:r>
      <w:r w:rsidRPr="00D95CE2">
        <w:rPr>
          <w:rFonts w:asciiTheme="minorHAnsi" w:hAnsiTheme="minorHAnsi"/>
          <w:vertAlign w:val="superscript"/>
          <w:lang w:val="en-US"/>
        </w:rPr>
        <w:t xml:space="preserve"> </w:t>
      </w:r>
      <w:r w:rsidRPr="00D95CE2">
        <w:rPr>
          <w:rFonts w:asciiTheme="minorHAnsi" w:hAnsiTheme="minorHAnsi"/>
          <w:lang w:val="en-US"/>
        </w:rPr>
        <w:t>May 2018</w:t>
      </w:r>
      <w:r w:rsidRPr="00D95CE2">
        <w:rPr>
          <w:rFonts w:asciiTheme="minorHAnsi" w:eastAsia="Times New Roman" w:hAnsiTheme="minorHAnsi" w:cs="Times New Roman"/>
          <w:lang w:val="en-US" w:eastAsia="en-GB"/>
        </w:rPr>
        <w:t xml:space="preserve">: </w:t>
      </w:r>
      <w:hyperlink r:id="rId2" w:history="1">
        <w:r w:rsidRPr="00D95CE2">
          <w:rPr>
            <w:rStyle w:val="a3"/>
            <w:rFonts w:asciiTheme="minorHAnsi" w:hAnsiTheme="minorHAnsi"/>
            <w:lang w:val="en-US"/>
          </w:rPr>
          <w:t>http://tbinternet.ohchr.org/Treaties/CEDAW/Shared%20Documents/1_Global/CEDAW_C_GC_35_8267_E.pdf</w:t>
        </w:r>
      </w:hyperlink>
      <w:r w:rsidRPr="00D95CE2">
        <w:rPr>
          <w:rFonts w:asciiTheme="minorHAnsi" w:eastAsia="Times New Roman" w:hAnsiTheme="minorHAnsi" w:cs="Times New Roman"/>
          <w:lang w:val="en-US" w:eastAsia="en-GB"/>
        </w:rPr>
        <w:t xml:space="preserve">; CESCR General Comment no. 14. Accessed online 23 May 2018: </w:t>
      </w:r>
      <w:hyperlink r:id="rId3" w:history="1">
        <w:r w:rsidRPr="00D95CE2">
          <w:rPr>
            <w:rStyle w:val="a3"/>
            <w:rFonts w:asciiTheme="minorHAnsi" w:hAnsiTheme="minorHAnsi"/>
            <w:lang w:val="en-US"/>
          </w:rPr>
          <w:t>http://www.refworld.org/pdfid/4538838d0.pdf</w:t>
        </w:r>
      </w:hyperlink>
      <w:r w:rsidRPr="00D95CE2">
        <w:rPr>
          <w:rFonts w:eastAsia="Times New Roman" w:cs="Times New Roman"/>
          <w:sz w:val="21"/>
          <w:szCs w:val="21"/>
          <w:lang w:val="en-US" w:eastAsia="en-GB"/>
        </w:rPr>
        <w:t xml:space="preserve">; </w:t>
      </w:r>
      <w:r w:rsidRPr="00D95CE2">
        <w:rPr>
          <w:rFonts w:asciiTheme="minorHAnsi" w:eastAsia="Times New Roman" w:hAnsiTheme="minorHAnsi" w:cs="Times New Roman"/>
          <w:lang w:val="en-US" w:eastAsia="en-GB"/>
        </w:rPr>
        <w:t xml:space="preserve">CESCR General Comment no. 20. Accessed 24 May 2018: </w:t>
      </w:r>
      <w:hyperlink r:id="rId4" w:history="1">
        <w:r w:rsidRPr="00D95CE2">
          <w:rPr>
            <w:rStyle w:val="a3"/>
            <w:rFonts w:asciiTheme="minorHAnsi" w:hAnsiTheme="minorHAnsi"/>
            <w:lang w:val="en-US"/>
          </w:rPr>
          <w:t>http://www.refworld.org/docid/4a60961f2.html</w:t>
        </w:r>
      </w:hyperlink>
      <w:r w:rsidRPr="00D95CE2">
        <w:rPr>
          <w:rFonts w:asciiTheme="minorHAnsi" w:eastAsia="Times New Roman" w:hAnsiTheme="minorHAnsi" w:cs="Times New Roman"/>
          <w:lang w:val="en-US" w:eastAsia="en-GB"/>
        </w:rPr>
        <w:t xml:space="preserve">; </w:t>
      </w:r>
      <w:hyperlink r:id="rId5" w:anchor="_ftn44" w:tgtFrame="_blank" w:history="1">
        <w:r w:rsidRPr="00D95CE2">
          <w:rPr>
            <w:rFonts w:asciiTheme="minorHAnsi" w:hAnsiTheme="minorHAnsi"/>
            <w:lang w:val="en-US"/>
          </w:rPr>
          <w:t>C</w:t>
        </w:r>
      </w:hyperlink>
      <w:r w:rsidRPr="00D95CE2">
        <w:rPr>
          <w:rFonts w:asciiTheme="minorHAnsi" w:eastAsia="Times New Roman" w:hAnsiTheme="minorHAnsi" w:cs="Times New Roman"/>
          <w:lang w:val="en-US" w:eastAsia="en-GB"/>
        </w:rPr>
        <w:t xml:space="preserve">ESCR General Comment no. 22. </w:t>
      </w:r>
      <w:r w:rsidRPr="00D95CE2">
        <w:rPr>
          <w:rFonts w:asciiTheme="minorHAnsi" w:hAnsiTheme="minorHAnsi"/>
          <w:lang w:val="en-US"/>
        </w:rPr>
        <w:t>Accessed online 23</w:t>
      </w:r>
      <w:r w:rsidRPr="00D95CE2">
        <w:rPr>
          <w:rFonts w:asciiTheme="minorHAnsi" w:hAnsiTheme="minorHAnsi"/>
          <w:vertAlign w:val="superscript"/>
          <w:lang w:val="en-US"/>
        </w:rPr>
        <w:t xml:space="preserve"> </w:t>
      </w:r>
      <w:r w:rsidRPr="00D95CE2">
        <w:rPr>
          <w:rFonts w:asciiTheme="minorHAnsi" w:hAnsiTheme="minorHAnsi"/>
          <w:lang w:val="en-US"/>
        </w:rPr>
        <w:t>May 2018</w:t>
      </w:r>
      <w:r w:rsidRPr="00D95CE2">
        <w:rPr>
          <w:rFonts w:asciiTheme="minorHAnsi" w:eastAsia="Times New Roman" w:hAnsiTheme="minorHAnsi" w:cs="Times New Roman"/>
          <w:lang w:val="en-US" w:eastAsia="en-GB"/>
        </w:rPr>
        <w:t xml:space="preserve">: </w:t>
      </w:r>
      <w:hyperlink r:id="rId6" w:history="1">
        <w:r w:rsidRPr="00D95CE2">
          <w:rPr>
            <w:rStyle w:val="a3"/>
            <w:rFonts w:asciiTheme="minorHAnsi" w:hAnsiTheme="minorHAnsi"/>
            <w:lang w:val="en-US"/>
          </w:rPr>
          <w:t>https://www.escr-net.org/resources/general-comment-no-22-2016-right-sexual-and-reproductive-health</w:t>
        </w:r>
      </w:hyperlink>
      <w:r w:rsidRPr="00D95CE2">
        <w:rPr>
          <w:rFonts w:asciiTheme="minorHAnsi" w:eastAsia="Times New Roman" w:hAnsiTheme="minorHAnsi" w:cs="Times New Roman"/>
          <w:lang w:val="en-US" w:eastAsia="en-GB"/>
        </w:rPr>
        <w:t xml:space="preserve">; CRC General Comment No. 15. Accessed 24 May 2018: </w:t>
      </w:r>
      <w:hyperlink r:id="rId7" w:history="1">
        <w:r w:rsidRPr="00D95CE2">
          <w:rPr>
            <w:rStyle w:val="a3"/>
            <w:rFonts w:asciiTheme="minorHAnsi" w:hAnsiTheme="minorHAnsi"/>
            <w:lang w:val="en-US"/>
          </w:rPr>
          <w:t>http://www.refworld.org/docid/51ef9e134.html</w:t>
        </w:r>
      </w:hyperlink>
      <w:r w:rsidRPr="00D95CE2">
        <w:rPr>
          <w:rFonts w:asciiTheme="minorHAnsi" w:eastAsia="Times New Roman" w:hAnsiTheme="minorHAnsi" w:cs="Times New Roman"/>
          <w:lang w:val="en-US" w:eastAsia="en-GB"/>
        </w:rPr>
        <w:t xml:space="preserve">; CRPD Articles 23 and 25. Accessed online 24 May 2018: </w:t>
      </w:r>
      <w:hyperlink r:id="rId8" w:history="1">
        <w:r w:rsidRPr="00D95CE2">
          <w:rPr>
            <w:rStyle w:val="a3"/>
            <w:rFonts w:asciiTheme="minorHAnsi" w:hAnsiTheme="minorHAnsi"/>
            <w:lang w:val="en-US"/>
          </w:rPr>
          <w:t>https://www.un.org/development/desa/disabilities/convention-on-the-rights-of-persons-with-disabilities/convention-on-the-rights-of-persons-with-disabilities-2.html</w:t>
        </w:r>
      </w:hyperlink>
      <w:r w:rsidRPr="00D95CE2">
        <w:rPr>
          <w:rFonts w:asciiTheme="minorHAnsi" w:eastAsia="Times New Roman" w:hAnsiTheme="minorHAnsi" w:cs="Times New Roman"/>
          <w:lang w:val="en-US" w:eastAsia="en-GB"/>
        </w:rPr>
        <w:t xml:space="preserve">. </w:t>
      </w:r>
      <w:r w:rsidRPr="00D95CE2">
        <w:rPr>
          <w:rFonts w:asciiTheme="minorHAnsi" w:hAnsiTheme="minorHAnsi"/>
          <w:lang w:val="en-US"/>
        </w:rPr>
        <w:t xml:space="preserve"> </w:t>
      </w:r>
    </w:p>
  </w:footnote>
  <w:footnote w:id="4">
    <w:p w:rsidR="00771935" w:rsidRDefault="00771935">
      <w:pPr>
        <w:pStyle w:val="a4"/>
      </w:pPr>
      <w:r>
        <w:rPr>
          <w:rStyle w:val="a6"/>
        </w:rPr>
        <w:footnoteRef/>
      </w:r>
      <w:r>
        <w:t xml:space="preserve"> </w:t>
      </w:r>
      <w:r w:rsidRPr="00686B24">
        <w:t>Правовые барьеры не считаются применимыми для двух операционных компонентов: C2: товары, спасающие жизнь, и C9: учебная программа CSE.</w:t>
      </w:r>
    </w:p>
  </w:footnote>
  <w:footnote w:id="5">
    <w:p w:rsidR="00771935" w:rsidRDefault="00771935">
      <w:pPr>
        <w:pStyle w:val="a4"/>
      </w:pPr>
      <w:r>
        <w:rPr>
          <w:rStyle w:val="a6"/>
        </w:rPr>
        <w:footnoteRef/>
      </w:r>
      <w:r>
        <w:t xml:space="preserve"> </w:t>
      </w:r>
      <w:hyperlink r:id="rId9" w:history="1">
        <w:r w:rsidRPr="00607C3A">
          <w:rPr>
            <w:rStyle w:val="a3"/>
          </w:rPr>
          <w:t>https://drive.google.com/file/d/15aUNkLrzuEmXS9K7rEPEn87lC3ENyEro/view</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6847"/>
    <w:multiLevelType w:val="hybridMultilevel"/>
    <w:tmpl w:val="54EC355A"/>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92E94"/>
    <w:multiLevelType w:val="hybridMultilevel"/>
    <w:tmpl w:val="9900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38"/>
    <w:rsid w:val="000E1BB8"/>
    <w:rsid w:val="00161871"/>
    <w:rsid w:val="00230E90"/>
    <w:rsid w:val="002B6526"/>
    <w:rsid w:val="00356191"/>
    <w:rsid w:val="0035706F"/>
    <w:rsid w:val="00461446"/>
    <w:rsid w:val="004E2504"/>
    <w:rsid w:val="0062188E"/>
    <w:rsid w:val="00686B24"/>
    <w:rsid w:val="006B4436"/>
    <w:rsid w:val="006E52C6"/>
    <w:rsid w:val="00771935"/>
    <w:rsid w:val="00786D7B"/>
    <w:rsid w:val="00836FCB"/>
    <w:rsid w:val="009D7338"/>
    <w:rsid w:val="00B23DD9"/>
    <w:rsid w:val="00B6114C"/>
    <w:rsid w:val="00CB57BD"/>
    <w:rsid w:val="00D95CE2"/>
    <w:rsid w:val="00F9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before="240"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52C6"/>
    <w:rPr>
      <w:color w:val="0000FF" w:themeColor="hyperlink"/>
      <w:u w:val="single"/>
    </w:rPr>
  </w:style>
  <w:style w:type="paragraph" w:styleId="a4">
    <w:name w:val="footnote text"/>
    <w:basedOn w:val="a"/>
    <w:link w:val="a5"/>
    <w:uiPriority w:val="99"/>
    <w:semiHidden/>
    <w:unhideWhenUsed/>
    <w:rsid w:val="00230E90"/>
    <w:pPr>
      <w:spacing w:before="0"/>
    </w:pPr>
    <w:rPr>
      <w:sz w:val="20"/>
      <w:szCs w:val="20"/>
    </w:rPr>
  </w:style>
  <w:style w:type="character" w:customStyle="1" w:styleId="a5">
    <w:name w:val="Текст сноски Знак"/>
    <w:basedOn w:val="a0"/>
    <w:link w:val="a4"/>
    <w:uiPriority w:val="99"/>
    <w:semiHidden/>
    <w:rsid w:val="00230E90"/>
    <w:rPr>
      <w:sz w:val="20"/>
      <w:szCs w:val="20"/>
    </w:rPr>
  </w:style>
  <w:style w:type="character" w:styleId="a6">
    <w:name w:val="footnote reference"/>
    <w:basedOn w:val="a0"/>
    <w:uiPriority w:val="99"/>
    <w:semiHidden/>
    <w:unhideWhenUsed/>
    <w:rsid w:val="00230E90"/>
    <w:rPr>
      <w:vertAlign w:val="superscript"/>
    </w:rPr>
  </w:style>
  <w:style w:type="table" w:styleId="a7">
    <w:name w:val="Table Grid"/>
    <w:basedOn w:val="a1"/>
    <w:uiPriority w:val="39"/>
    <w:rsid w:val="00D95CE2"/>
    <w:pPr>
      <w:pBdr>
        <w:top w:val="nil"/>
        <w:left w:val="nil"/>
        <w:bottom w:val="nil"/>
        <w:right w:val="nil"/>
        <w:between w:val="nil"/>
      </w:pBdr>
      <w:spacing w:before="0" w:after="0" w:line="240" w:lineRule="auto"/>
      <w:ind w:firstLine="0"/>
      <w:jc w:val="left"/>
    </w:pPr>
    <w:rPr>
      <w:rFonts w:ascii="Calibri" w:eastAsia="Calibri" w:hAnsi="Calibri" w:cs="Calibri"/>
      <w:color w:val="000000"/>
      <w:sz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before="240"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52C6"/>
    <w:rPr>
      <w:color w:val="0000FF" w:themeColor="hyperlink"/>
      <w:u w:val="single"/>
    </w:rPr>
  </w:style>
  <w:style w:type="paragraph" w:styleId="a4">
    <w:name w:val="footnote text"/>
    <w:basedOn w:val="a"/>
    <w:link w:val="a5"/>
    <w:uiPriority w:val="99"/>
    <w:semiHidden/>
    <w:unhideWhenUsed/>
    <w:rsid w:val="00230E90"/>
    <w:pPr>
      <w:spacing w:before="0"/>
    </w:pPr>
    <w:rPr>
      <w:sz w:val="20"/>
      <w:szCs w:val="20"/>
    </w:rPr>
  </w:style>
  <w:style w:type="character" w:customStyle="1" w:styleId="a5">
    <w:name w:val="Текст сноски Знак"/>
    <w:basedOn w:val="a0"/>
    <w:link w:val="a4"/>
    <w:uiPriority w:val="99"/>
    <w:semiHidden/>
    <w:rsid w:val="00230E90"/>
    <w:rPr>
      <w:sz w:val="20"/>
      <w:szCs w:val="20"/>
    </w:rPr>
  </w:style>
  <w:style w:type="character" w:styleId="a6">
    <w:name w:val="footnote reference"/>
    <w:basedOn w:val="a0"/>
    <w:uiPriority w:val="99"/>
    <w:semiHidden/>
    <w:unhideWhenUsed/>
    <w:rsid w:val="00230E90"/>
    <w:rPr>
      <w:vertAlign w:val="superscript"/>
    </w:rPr>
  </w:style>
  <w:style w:type="table" w:styleId="a7">
    <w:name w:val="Table Grid"/>
    <w:basedOn w:val="a1"/>
    <w:uiPriority w:val="39"/>
    <w:rsid w:val="00D95CE2"/>
    <w:pPr>
      <w:pBdr>
        <w:top w:val="nil"/>
        <w:left w:val="nil"/>
        <w:bottom w:val="nil"/>
        <w:right w:val="nil"/>
        <w:between w:val="nil"/>
      </w:pBdr>
      <w:spacing w:before="0" w:after="0" w:line="240" w:lineRule="auto"/>
      <w:ind w:firstLine="0"/>
      <w:jc w:val="left"/>
    </w:pPr>
    <w:rPr>
      <w:rFonts w:ascii="Calibri" w:eastAsia="Calibri" w:hAnsi="Calibri" w:cs="Calibri"/>
      <w:color w:val="000000"/>
      <w:sz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68301">
      <w:bodyDiv w:val="1"/>
      <w:marLeft w:val="0"/>
      <w:marRight w:val="0"/>
      <w:marTop w:val="0"/>
      <w:marBottom w:val="0"/>
      <w:divBdr>
        <w:top w:val="none" w:sz="0" w:space="0" w:color="auto"/>
        <w:left w:val="none" w:sz="0" w:space="0" w:color="auto"/>
        <w:bottom w:val="none" w:sz="0" w:space="0" w:color="auto"/>
        <w:right w:val="none" w:sz="0" w:space="0" w:color="auto"/>
      </w:divBdr>
    </w:div>
    <w:div w:id="737285073">
      <w:bodyDiv w:val="1"/>
      <w:marLeft w:val="0"/>
      <w:marRight w:val="0"/>
      <w:marTop w:val="0"/>
      <w:marBottom w:val="0"/>
      <w:divBdr>
        <w:top w:val="none" w:sz="0" w:space="0" w:color="auto"/>
        <w:left w:val="none" w:sz="0" w:space="0" w:color="auto"/>
        <w:bottom w:val="none" w:sz="0" w:space="0" w:color="auto"/>
        <w:right w:val="none" w:sz="0" w:space="0" w:color="auto"/>
      </w:divBdr>
    </w:div>
    <w:div w:id="19791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rive.google.com/file/d/18ckC6IGJ92G-xY1yfnggQuZi3KAVQoRI/vie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convention-on-the-rights-of-persons-with-disabilities-2.html" TargetMode="External"/><Relationship Id="rId3" Type="http://schemas.openxmlformats.org/officeDocument/2006/relationships/hyperlink" Target="http://www.refworld.org/pdfid/4538838d0.pdf" TargetMode="External"/><Relationship Id="rId7" Type="http://schemas.openxmlformats.org/officeDocument/2006/relationships/hyperlink" Target="http://www.refworld.org/docid/51ef9e134.html" TargetMode="External"/><Relationship Id="rId2" Type="http://schemas.openxmlformats.org/officeDocument/2006/relationships/hyperlink" Target="http://tbinternet.ohchr.org/Treaties/CEDAW/Shared%20Documents/1_Global/CEDAW_C_GC_35_8267_E.pdf" TargetMode="External"/><Relationship Id="rId1" Type="http://schemas.openxmlformats.org/officeDocument/2006/relationships/hyperlink" Target="http://www.refworld.org/docid/453882a73.html" TargetMode="External"/><Relationship Id="rId6" Type="http://schemas.openxmlformats.org/officeDocument/2006/relationships/hyperlink" Target="https://www.escr-net.org/resources/general-comment-no-22-2016-right-sexual-and-reproductive-health" TargetMode="External"/><Relationship Id="rId5" Type="http://schemas.openxmlformats.org/officeDocument/2006/relationships/hyperlink" Target="https://www.escr-net.org/resources/general-comment-no-22-2016-right-sexual-and-reproductive-health" TargetMode="External"/><Relationship Id="rId4" Type="http://schemas.openxmlformats.org/officeDocument/2006/relationships/hyperlink" Target="http://www.refworld.org/docid/4a60961f2.html" TargetMode="External"/><Relationship Id="rId9" Type="http://schemas.openxmlformats.org/officeDocument/2006/relationships/hyperlink" Target="https://drive.google.com/file/d/15aUNkLrzuEmXS9K7rEPEn87lC3ENyEro/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6215-20F0-4E49-AA93-A35D0566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2123</Words>
  <Characters>12103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Игнатова Наталья Владимировна</dc:creator>
  <cp:keywords/>
  <dc:description/>
  <cp:lastModifiedBy>Павлова Ксения Сергеевна</cp:lastModifiedBy>
  <cp:revision>4</cp:revision>
  <dcterms:created xsi:type="dcterms:W3CDTF">2018-07-24T10:59:00Z</dcterms:created>
  <dcterms:modified xsi:type="dcterms:W3CDTF">2018-10-30T09:20:00Z</dcterms:modified>
</cp:coreProperties>
</file>