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30" w:rsidRP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>Цель 5. Обеспечение гендерного равенства и расширение прав и возможностей всех женщин и девочек</w:t>
      </w:r>
    </w:p>
    <w:p w:rsidR="001C4F30" w:rsidRP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>5.1 Повсеместно ликвидировать все формы дискриминации в отношении всех женщин и девочек</w:t>
      </w:r>
    </w:p>
    <w:p w:rsidR="001C4F30" w:rsidRDefault="001C4F30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30">
        <w:rPr>
          <w:rFonts w:ascii="Times New Roman" w:hAnsi="Times New Roman" w:cs="Times New Roman"/>
          <w:b/>
          <w:sz w:val="24"/>
          <w:szCs w:val="24"/>
        </w:rPr>
        <w:t>5.1.1 Наличие нормативно-правовой базы для поощрения и обеспечения равенства и недискриминации по признаку пола и наблюдения за положением в этой области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Институциональная информация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Организация(и):</w:t>
      </w:r>
    </w:p>
    <w:p w:rsidR="001C4F30" w:rsidRDefault="001C4F30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</w:t>
      </w:r>
      <w:r w:rsidRPr="001C4F30">
        <w:rPr>
          <w:rFonts w:ascii="Times New Roman" w:hAnsi="Times New Roman" w:cs="Times New Roman"/>
          <w:sz w:val="24"/>
          <w:szCs w:val="24"/>
        </w:rPr>
        <w:t>Женщины, Группа Всемирного банка, Центр развития ОЭСР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Концепции и определения</w:t>
      </w:r>
    </w:p>
    <w:p w:rsidR="001C4F30" w:rsidRPr="00EF1B66" w:rsidRDefault="001C4F30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Определение:</w:t>
      </w:r>
    </w:p>
    <w:p w:rsidR="001C4F30" w:rsidRDefault="001C4F30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1C4F30">
        <w:rPr>
          <w:rFonts w:ascii="Times New Roman" w:hAnsi="Times New Roman" w:cs="Times New Roman"/>
          <w:sz w:val="24"/>
          <w:szCs w:val="24"/>
        </w:rPr>
        <w:t>Показатель 5.1.1 измеряет усилия правительства по созданию правовых рамок, которые способствуют, обеспечивают соблюдение и контроль за гендерным равенством.</w:t>
      </w:r>
    </w:p>
    <w:p w:rsidR="001C4F30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Показатель основывается на оценке правовых рамок, которые способствуют, обеспечивают соблюдение и контроль за гендерным равенством. Оценка проводится национальными коллегами, в том числе Национальными с</w:t>
      </w:r>
      <w:r w:rsidR="005B581B">
        <w:rPr>
          <w:rFonts w:ascii="Times New Roman" w:hAnsi="Times New Roman" w:cs="Times New Roman"/>
          <w:sz w:val="24"/>
          <w:szCs w:val="24"/>
        </w:rPr>
        <w:t>татистическими управлениями (НСУ</w:t>
      </w:r>
      <w:r w:rsidRPr="007D1A65">
        <w:rPr>
          <w:rFonts w:ascii="Times New Roman" w:hAnsi="Times New Roman" w:cs="Times New Roman"/>
          <w:sz w:val="24"/>
          <w:szCs w:val="24"/>
        </w:rPr>
        <w:t xml:space="preserve">) и/или </w:t>
      </w:r>
      <w:r w:rsidR="005B581B">
        <w:rPr>
          <w:rFonts w:ascii="Times New Roman" w:hAnsi="Times New Roman" w:cs="Times New Roman"/>
          <w:sz w:val="24"/>
          <w:szCs w:val="24"/>
        </w:rPr>
        <w:t>Н</w:t>
      </w:r>
      <w:r w:rsidR="005B581B" w:rsidRPr="005B581B">
        <w:rPr>
          <w:rFonts w:ascii="Times New Roman" w:hAnsi="Times New Roman" w:cs="Times New Roman"/>
          <w:sz w:val="24"/>
          <w:szCs w:val="24"/>
        </w:rPr>
        <w:t>ациональн</w:t>
      </w:r>
      <w:r w:rsidR="005B581B">
        <w:rPr>
          <w:rFonts w:ascii="Times New Roman" w:hAnsi="Times New Roman" w:cs="Times New Roman"/>
          <w:sz w:val="24"/>
          <w:szCs w:val="24"/>
        </w:rPr>
        <w:t>ым</w:t>
      </w:r>
      <w:r w:rsidR="005B581B" w:rsidRPr="005B581B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5B581B">
        <w:rPr>
          <w:rFonts w:ascii="Times New Roman" w:hAnsi="Times New Roman" w:cs="Times New Roman"/>
          <w:sz w:val="24"/>
          <w:szCs w:val="24"/>
        </w:rPr>
        <w:t>ом</w:t>
      </w:r>
      <w:r w:rsidR="005B581B" w:rsidRPr="005B581B">
        <w:rPr>
          <w:rFonts w:ascii="Times New Roman" w:hAnsi="Times New Roman" w:cs="Times New Roman"/>
          <w:sz w:val="24"/>
          <w:szCs w:val="24"/>
        </w:rPr>
        <w:t xml:space="preserve"> по делам женщин </w:t>
      </w:r>
      <w:r w:rsidRPr="007D1A65">
        <w:rPr>
          <w:rFonts w:ascii="Times New Roman" w:hAnsi="Times New Roman" w:cs="Times New Roman"/>
          <w:sz w:val="24"/>
          <w:szCs w:val="24"/>
        </w:rPr>
        <w:t>(</w:t>
      </w:r>
      <w:r w:rsidR="005B581B">
        <w:rPr>
          <w:rFonts w:ascii="Times New Roman" w:hAnsi="Times New Roman" w:cs="Times New Roman"/>
          <w:sz w:val="24"/>
          <w:szCs w:val="24"/>
        </w:rPr>
        <w:t>НМЖ</w:t>
      </w:r>
      <w:r w:rsidRPr="007D1A65">
        <w:rPr>
          <w:rFonts w:ascii="Times New Roman" w:hAnsi="Times New Roman" w:cs="Times New Roman"/>
          <w:sz w:val="24"/>
          <w:szCs w:val="24"/>
        </w:rPr>
        <w:t>), и юристами-практиками/исследователями по вопросам гендерного равенства, с использованием вопросника, включающего 45 вопросов «да/нет» по четырем областям права: (i) всеобъемлющие правовые рамки и общественная жизнь; (ii) насилие в отношении женщин; (iii) занятость и экономические выгоды; и (iv) брак и семья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D1A65">
        <w:rPr>
          <w:rFonts w:ascii="Times New Roman" w:hAnsi="Times New Roman" w:cs="Times New Roman"/>
          <w:sz w:val="24"/>
          <w:szCs w:val="24"/>
        </w:rPr>
        <w:t xml:space="preserve">.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и Пекинская платформа действий. В связи с этим не требуется никаких новых международно согласованных стандартов в отношении равенства и недискриминации по признаку пола. Основными источниками информации, имеющими отношение к </w:t>
      </w:r>
      <w:r>
        <w:rPr>
          <w:rFonts w:ascii="Times New Roman" w:hAnsi="Times New Roman" w:cs="Times New Roman"/>
          <w:sz w:val="24"/>
          <w:szCs w:val="24"/>
        </w:rPr>
        <w:t>показателю</w:t>
      </w:r>
      <w:r w:rsidRPr="007D1A65">
        <w:rPr>
          <w:rFonts w:ascii="Times New Roman" w:hAnsi="Times New Roman" w:cs="Times New Roman"/>
          <w:sz w:val="24"/>
          <w:szCs w:val="24"/>
        </w:rPr>
        <w:t xml:space="preserve"> 5.1.1, являются </w:t>
      </w:r>
      <w:r w:rsidR="00035B03" w:rsidRPr="00035B03">
        <w:rPr>
          <w:rFonts w:ascii="Times New Roman" w:hAnsi="Times New Roman" w:cs="Times New Roman"/>
          <w:sz w:val="24"/>
          <w:szCs w:val="24"/>
        </w:rPr>
        <w:t>законодательство и политика</w:t>
      </w:r>
      <w:r w:rsidRPr="007D1A65">
        <w:rPr>
          <w:rFonts w:ascii="Times New Roman" w:hAnsi="Times New Roman" w:cs="Times New Roman"/>
          <w:sz w:val="24"/>
          <w:szCs w:val="24"/>
        </w:rPr>
        <w:t>/планы действий.</w:t>
      </w:r>
    </w:p>
    <w:p w:rsidR="007D1A65" w:rsidRDefault="00194DCF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1A65">
        <w:rPr>
          <w:rFonts w:ascii="Times New Roman" w:hAnsi="Times New Roman" w:cs="Times New Roman"/>
          <w:sz w:val="24"/>
          <w:szCs w:val="24"/>
        </w:rPr>
        <w:t xml:space="preserve"> вопроснике </w:t>
      </w:r>
      <w:r w:rsidR="007D1A65" w:rsidRPr="007D1A65">
        <w:rPr>
          <w:rFonts w:ascii="Times New Roman" w:hAnsi="Times New Roman" w:cs="Times New Roman"/>
          <w:sz w:val="24"/>
          <w:szCs w:val="24"/>
        </w:rPr>
        <w:t>45 вопросов: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 xml:space="preserve">Область 1: </w:t>
      </w:r>
      <w:r w:rsidR="005B581B">
        <w:rPr>
          <w:rFonts w:ascii="Times New Roman" w:hAnsi="Times New Roman" w:cs="Times New Roman"/>
          <w:b/>
          <w:sz w:val="24"/>
          <w:szCs w:val="24"/>
        </w:rPr>
        <w:t>В</w:t>
      </w:r>
      <w:r w:rsidR="005B581B" w:rsidRPr="005B581B">
        <w:rPr>
          <w:rFonts w:ascii="Times New Roman" w:hAnsi="Times New Roman" w:cs="Times New Roman"/>
          <w:b/>
          <w:sz w:val="24"/>
          <w:szCs w:val="24"/>
        </w:rPr>
        <w:t>сеобъемлющие правовые рамки и общественная жизнь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1. Если обычное право является законным источником права в соответствии с конституцией, является ли оно недействительным, если оно нарушает конституционные положения о равенстве или недискриминации?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>2. Если личное право является действующим источником права в соответствии с конституцией, является ли оно недействительным, если оно нарушает конституционные положения о равенстве или недискриминации?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3. Существует ли дискриминационный закон, запрещающий прямую и косвенную дискриминацию женщин?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4. Имеют ли женщины и мужчины равные права и доступ к государственному и политическому управлению (законодательная, исполнительная, судебная)?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5. Существуют ли квоты для женщин (зарезервированные места) в национальном парламенте?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6. Существуют ли квоты для женщин в списках кандидатов для национального парламента?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7. Имеют ли женщины и мужчины равные права предоставлять гражданство своим супругам и их детям?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8. Устан</w:t>
      </w:r>
      <w:r w:rsidR="00035B03">
        <w:rPr>
          <w:rFonts w:ascii="Times New Roman" w:hAnsi="Times New Roman" w:cs="Times New Roman"/>
          <w:sz w:val="24"/>
          <w:szCs w:val="24"/>
        </w:rPr>
        <w:t>а</w:t>
      </w:r>
      <w:r w:rsidRPr="007D1A65">
        <w:rPr>
          <w:rFonts w:ascii="Times New Roman" w:hAnsi="Times New Roman" w:cs="Times New Roman"/>
          <w:sz w:val="24"/>
          <w:szCs w:val="24"/>
        </w:rPr>
        <w:t>вл</w:t>
      </w:r>
      <w:r w:rsidR="00035B03">
        <w:rPr>
          <w:rFonts w:ascii="Times New Roman" w:hAnsi="Times New Roman" w:cs="Times New Roman"/>
          <w:sz w:val="24"/>
          <w:szCs w:val="24"/>
        </w:rPr>
        <w:t>ива</w:t>
      </w:r>
      <w:r w:rsidRPr="007D1A65">
        <w:rPr>
          <w:rFonts w:ascii="Times New Roman" w:hAnsi="Times New Roman" w:cs="Times New Roman"/>
          <w:sz w:val="24"/>
          <w:szCs w:val="24"/>
        </w:rPr>
        <w:t>ет ли закон специализированный независимый орган, которому поручено получать жалобы на дискриминацию по признаку пола (например, национальное правозащитное учреждение, женская комиссия, омбудсмен)?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9. Предусмотрена ли юридическая помощь по уголовным делам?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10. Предусмотрена ли юридическая помощь по гражданским/семейным вопросам?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11. Имеет ли показания женщины такой же доказательственный вес в суде, как и у </w:t>
      </w:r>
      <w:r w:rsidR="00035B03">
        <w:rPr>
          <w:rFonts w:ascii="Times New Roman" w:hAnsi="Times New Roman" w:cs="Times New Roman"/>
          <w:sz w:val="24"/>
          <w:szCs w:val="24"/>
        </w:rPr>
        <w:t>мужчины</w:t>
      </w:r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12. Существуют ли законы, которые явно требуют производства и/или распространения гендерной статистики?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13. Существуют ли санкции за несоблюдение установленных квот для женщин или стимулы для включения женщин в списки кандидатов для проведения национальных парламентских выборов?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2: Насилие в отношении женщин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14. Существует ли законодательство о домашнем насилии, которое включает в себя физическое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15. Существует ли законодательство о домашнем насилии, которое включает сексуальное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16. Существует ли законодательство о домашнем насилии, которое включает психол</w:t>
      </w:r>
      <w:r w:rsidR="00035B03">
        <w:rPr>
          <w:rFonts w:ascii="Times New Roman" w:hAnsi="Times New Roman" w:cs="Times New Roman"/>
          <w:sz w:val="24"/>
          <w:szCs w:val="24"/>
        </w:rPr>
        <w:t>огическое</w:t>
      </w:r>
      <w:r w:rsidRPr="007D1A65">
        <w:rPr>
          <w:rFonts w:ascii="Times New Roman" w:hAnsi="Times New Roman" w:cs="Times New Roman"/>
          <w:sz w:val="24"/>
          <w:szCs w:val="24"/>
        </w:rPr>
        <w:t>/эмоциональное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17. Существует ли законодательство о бытовом насилии, которое включает финансовое/экономическое насилие?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lastRenderedPageBreak/>
        <w:t>18. Имеют ли положения, освобождающие исполнителей от обвинения в изнасиловании, если преступник женится на жертве после того, как преступление было снято или никогда не существовало в законодательстве?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19. Были ли устранены или не существовали в законодательстве положения о сокращении наказаний в случаях</w:t>
      </w:r>
      <w:r w:rsidR="00035B03">
        <w:rPr>
          <w:rFonts w:ascii="Times New Roman" w:hAnsi="Times New Roman" w:cs="Times New Roman"/>
          <w:sz w:val="24"/>
          <w:szCs w:val="24"/>
        </w:rPr>
        <w:t>,</w:t>
      </w:r>
      <w:r w:rsidRPr="007D1A65">
        <w:rPr>
          <w:rFonts w:ascii="Times New Roman" w:hAnsi="Times New Roman" w:cs="Times New Roman"/>
          <w:sz w:val="24"/>
          <w:szCs w:val="24"/>
        </w:rPr>
        <w:t xml:space="preserve"> так называемых</w:t>
      </w:r>
      <w:r w:rsidR="00035B03">
        <w:rPr>
          <w:rFonts w:ascii="Times New Roman" w:hAnsi="Times New Roman" w:cs="Times New Roman"/>
          <w:sz w:val="24"/>
          <w:szCs w:val="24"/>
        </w:rPr>
        <w:t>,</w:t>
      </w:r>
      <w:r w:rsidRPr="007D1A65">
        <w:rPr>
          <w:rFonts w:ascii="Times New Roman" w:hAnsi="Times New Roman" w:cs="Times New Roman"/>
          <w:sz w:val="24"/>
          <w:szCs w:val="24"/>
        </w:rPr>
        <w:t xml:space="preserve"> преступлений чести?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20. Являются ли законы об изнасиловании основан</w:t>
      </w:r>
      <w:r w:rsidR="00035B03">
        <w:rPr>
          <w:rFonts w:ascii="Times New Roman" w:hAnsi="Times New Roman" w:cs="Times New Roman"/>
          <w:sz w:val="24"/>
          <w:szCs w:val="24"/>
        </w:rPr>
        <w:t>н</w:t>
      </w:r>
      <w:r w:rsidRPr="007D1A65">
        <w:rPr>
          <w:rFonts w:ascii="Times New Roman" w:hAnsi="Times New Roman" w:cs="Times New Roman"/>
          <w:sz w:val="24"/>
          <w:szCs w:val="24"/>
        </w:rPr>
        <w:t>ы</w:t>
      </w:r>
      <w:r w:rsidR="00035B03">
        <w:rPr>
          <w:rFonts w:ascii="Times New Roman" w:hAnsi="Times New Roman" w:cs="Times New Roman"/>
          <w:sz w:val="24"/>
          <w:szCs w:val="24"/>
        </w:rPr>
        <w:t>ми</w:t>
      </w:r>
      <w:r w:rsidRPr="007D1A65">
        <w:rPr>
          <w:rFonts w:ascii="Times New Roman" w:hAnsi="Times New Roman" w:cs="Times New Roman"/>
          <w:sz w:val="24"/>
          <w:szCs w:val="24"/>
        </w:rPr>
        <w:t xml:space="preserve"> на отсутствии согласия, не требуя доказательства физической силы или проникновения?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21. Является ли законодательство в явной форме квалифицированным уголовным преступлением изнасилование в браке</w:t>
      </w:r>
      <w:r w:rsidR="00035B03">
        <w:rPr>
          <w:rFonts w:ascii="Times New Roman" w:hAnsi="Times New Roman" w:cs="Times New Roman"/>
          <w:sz w:val="24"/>
          <w:szCs w:val="24"/>
        </w:rPr>
        <w:t>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22. Существует ли законодательство, конкретно касающееся сексуальных домогательств?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23. Предусматриваются ли бюджетные обязательства, предусмотренные государственными органами для осуществления законодательства, направленного на борьбу с насилием в отношении женщин, создавая обязательство правительства предоставлять бюджет или распределение средств для осуществления соответствующих программ или мероприятий?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24. Предусматриваются ли бюджетные обязательства, предусмотренные государственными органами для осуществления законодательства, касающегося насилия в отношении женщин, путем выделения конкре</w:t>
      </w:r>
      <w:r w:rsidR="00035B03">
        <w:rPr>
          <w:rFonts w:ascii="Times New Roman" w:hAnsi="Times New Roman" w:cs="Times New Roman"/>
          <w:sz w:val="24"/>
          <w:szCs w:val="24"/>
        </w:rPr>
        <w:t>тного бюджета, финансирования и</w:t>
      </w:r>
      <w:r w:rsidRPr="007D1A65">
        <w:rPr>
          <w:rFonts w:ascii="Times New Roman" w:hAnsi="Times New Roman" w:cs="Times New Roman"/>
          <w:sz w:val="24"/>
          <w:szCs w:val="24"/>
        </w:rPr>
        <w:t>/или стимулов для поддержки неправительственных организаций в деятельности по борьбе с насилием в отношении женщин?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25. Существует ли национальный план действий или политика в отношении борьбы с насилием в отношении женщин, который контролируется национальным механизмом с мандатом на мониторинг и обзор осуществления?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26. Существует ли национальный план действий или политика по борьбе с насилием в отношении женщин, который включает конкретные цели и контрольные показатели?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3: Занятость и экономические выгоды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27. </w:t>
      </w:r>
      <w:r w:rsidR="00035B03" w:rsidRPr="00035B03">
        <w:rPr>
          <w:rFonts w:ascii="Times New Roman" w:hAnsi="Times New Roman" w:cs="Times New Roman"/>
          <w:sz w:val="24"/>
          <w:szCs w:val="24"/>
        </w:rPr>
        <w:t>Обеспечивает ли закон недискриминацию по признаку пола в сфере занятости?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28. Обеспечивает ли закон равное вознаграждение за труд равной ценности?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29. Разрешает ли закон женщинам выполнять ту же работу, что и мужчины?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30. Позволяет ли закон женщинам работать в те же</w:t>
      </w:r>
      <w:r w:rsidR="00497BBB">
        <w:rPr>
          <w:rFonts w:ascii="Times New Roman" w:hAnsi="Times New Roman" w:cs="Times New Roman"/>
          <w:sz w:val="24"/>
          <w:szCs w:val="24"/>
        </w:rPr>
        <w:t xml:space="preserve"> ночные</w:t>
      </w:r>
      <w:r w:rsidRPr="007D1A65">
        <w:rPr>
          <w:rFonts w:ascii="Times New Roman" w:hAnsi="Times New Roman" w:cs="Times New Roman"/>
          <w:sz w:val="24"/>
          <w:szCs w:val="24"/>
        </w:rPr>
        <w:t>часы, что и мужчины?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31. Предоставляет ли закон материнство или отпуск по уходу за ребенком для матерей в соответствии со стандартами МОТ?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32. Предоставляет ли закон оплачиваемое отцовство или отпуск по уходу за ребенком отцов или партнеров?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lastRenderedPageBreak/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33. Существует ли государственное учреждение, которое может получать жалобы на дискриминацию по признаку пола в сфере занятости?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34. Предоставляется ли субсидия для детей по уходу за детьми?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Область 4: Брак и семья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1A6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собствовать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35. Является ли 18 </w:t>
      </w:r>
      <w:r w:rsidR="00497BBB">
        <w:rPr>
          <w:rFonts w:ascii="Times New Roman" w:hAnsi="Times New Roman" w:cs="Times New Roman"/>
          <w:sz w:val="24"/>
          <w:szCs w:val="24"/>
        </w:rPr>
        <w:t xml:space="preserve">лет </w:t>
      </w:r>
      <w:r w:rsidRPr="007D1A65">
        <w:rPr>
          <w:rFonts w:ascii="Times New Roman" w:hAnsi="Times New Roman" w:cs="Times New Roman"/>
          <w:sz w:val="24"/>
          <w:szCs w:val="24"/>
        </w:rPr>
        <w:t xml:space="preserve">минимальным брачным </w:t>
      </w:r>
      <w:r w:rsidR="00497BBB">
        <w:rPr>
          <w:rFonts w:ascii="Times New Roman" w:hAnsi="Times New Roman" w:cs="Times New Roman"/>
          <w:sz w:val="24"/>
          <w:szCs w:val="24"/>
        </w:rPr>
        <w:t>возрастом</w:t>
      </w:r>
      <w:r w:rsidRPr="007D1A65">
        <w:rPr>
          <w:rFonts w:ascii="Times New Roman" w:hAnsi="Times New Roman" w:cs="Times New Roman"/>
          <w:sz w:val="24"/>
          <w:szCs w:val="24"/>
        </w:rPr>
        <w:t>, без юридических исключений, как для женщин, так и для мужчин?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36. Имеют ли женщины и мужчины равные</w:t>
      </w:r>
      <w:r w:rsidR="00497BBB">
        <w:rPr>
          <w:rFonts w:ascii="Times New Roman" w:hAnsi="Times New Roman" w:cs="Times New Roman"/>
          <w:sz w:val="24"/>
          <w:szCs w:val="24"/>
        </w:rPr>
        <w:t xml:space="preserve"> права на вступление в брак (т.е</w:t>
      </w:r>
      <w:r w:rsidRPr="007D1A65">
        <w:rPr>
          <w:rFonts w:ascii="Times New Roman" w:hAnsi="Times New Roman" w:cs="Times New Roman"/>
          <w:sz w:val="24"/>
          <w:szCs w:val="24"/>
        </w:rPr>
        <w:t xml:space="preserve">. </w:t>
      </w:r>
      <w:r w:rsidR="00497BBB">
        <w:rPr>
          <w:rFonts w:ascii="Times New Roman" w:hAnsi="Times New Roman" w:cs="Times New Roman"/>
          <w:sz w:val="24"/>
          <w:szCs w:val="24"/>
        </w:rPr>
        <w:t>с</w:t>
      </w:r>
      <w:r w:rsidRPr="007D1A65">
        <w:rPr>
          <w:rFonts w:ascii="Times New Roman" w:hAnsi="Times New Roman" w:cs="Times New Roman"/>
          <w:sz w:val="24"/>
          <w:szCs w:val="24"/>
        </w:rPr>
        <w:t xml:space="preserve">огласие) и </w:t>
      </w:r>
      <w:r w:rsidR="00497BBB">
        <w:rPr>
          <w:rFonts w:ascii="Times New Roman" w:hAnsi="Times New Roman" w:cs="Times New Roman"/>
          <w:sz w:val="24"/>
          <w:szCs w:val="24"/>
        </w:rPr>
        <w:t>подачу на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развод?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37. Имеют ли женщины и мужчины равные права быть законными опекунами своих детей во время и после брака?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38.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для того, чтобы быть признанными главой</w:t>
      </w:r>
      <w:r w:rsidR="00497BBB">
        <w:rPr>
          <w:rFonts w:ascii="Times New Roman" w:hAnsi="Times New Roman" w:cs="Times New Roman"/>
          <w:sz w:val="24"/>
          <w:szCs w:val="24"/>
        </w:rPr>
        <w:t xml:space="preserve"> домохозяйства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или главой семьи?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39.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выбирать, где жить?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40. Имеют ли женщины и мужчины равные права на правоспособность, в том числе выбирать профессию?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41.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для получения удостоверения личности?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42. Имеют ли женщины и мужчины равные права на </w:t>
      </w:r>
      <w:r w:rsidR="00497BBB" w:rsidRPr="00497BBB">
        <w:rPr>
          <w:rFonts w:ascii="Times New Roman" w:hAnsi="Times New Roman" w:cs="Times New Roman"/>
          <w:sz w:val="24"/>
          <w:szCs w:val="24"/>
        </w:rPr>
        <w:t>правоспособность</w:t>
      </w:r>
      <w:r w:rsidRPr="007D1A65">
        <w:rPr>
          <w:rFonts w:ascii="Times New Roman" w:hAnsi="Times New Roman" w:cs="Times New Roman"/>
          <w:sz w:val="24"/>
          <w:szCs w:val="24"/>
        </w:rPr>
        <w:t>, в том числе подать заявление на получение паспортов?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43. Имеют ли женщины и мужчины равные права на владение, доступ и контроль над имуществом супругов, в том числе при разводе?</w:t>
      </w:r>
    </w:p>
    <w:p w:rsidR="007D1A65" w:rsidRDefault="007D1A6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5">
        <w:rPr>
          <w:rFonts w:ascii="Times New Roman" w:hAnsi="Times New Roman" w:cs="Times New Roman"/>
          <w:b/>
          <w:sz w:val="24"/>
          <w:szCs w:val="24"/>
        </w:rPr>
        <w:t>Обеспечить и контролировать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44. Является ли брак </w:t>
      </w:r>
      <w:r w:rsidR="00497BBB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D1A65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497BBB">
        <w:rPr>
          <w:rFonts w:ascii="Times New Roman" w:hAnsi="Times New Roman" w:cs="Times New Roman"/>
          <w:sz w:val="24"/>
          <w:szCs w:val="24"/>
        </w:rPr>
        <w:t>и</w:t>
      </w:r>
      <w:r w:rsidRPr="007D1A6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7BBB">
        <w:rPr>
          <w:rFonts w:ascii="Times New Roman" w:hAnsi="Times New Roman" w:cs="Times New Roman"/>
          <w:sz w:val="24"/>
          <w:szCs w:val="24"/>
        </w:rPr>
        <w:t>ным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BBB">
        <w:rPr>
          <w:rFonts w:ascii="Times New Roman" w:hAnsi="Times New Roman" w:cs="Times New Roman"/>
          <w:sz w:val="24"/>
          <w:szCs w:val="24"/>
        </w:rPr>
        <w:t>недействительным</w:t>
      </w:r>
      <w:r w:rsidRPr="007D1A65">
        <w:rPr>
          <w:rFonts w:ascii="Times New Roman" w:hAnsi="Times New Roman" w:cs="Times New Roman"/>
          <w:sz w:val="24"/>
          <w:szCs w:val="24"/>
        </w:rPr>
        <w:t>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45. Существуют ли </w:t>
      </w:r>
      <w:r w:rsidR="00497BBB">
        <w:rPr>
          <w:rFonts w:ascii="Times New Roman" w:hAnsi="Times New Roman" w:cs="Times New Roman"/>
          <w:sz w:val="24"/>
          <w:szCs w:val="24"/>
        </w:rPr>
        <w:t>предназначенные для решения подобного рода вопросов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специализированные семейные суды?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>Равенство и недискриминация по признаку пола являются основными принципами в рамках международной правовой и политической основы, включая Конвенцию о ликвидации всех форм дискриминации в отношении женщин (КЛДЖ), в которой участвуют 189 государств-участников,</w:t>
      </w:r>
      <w:r w:rsidR="00497BBB">
        <w:rPr>
          <w:rFonts w:ascii="Times New Roman" w:hAnsi="Times New Roman" w:cs="Times New Roman"/>
          <w:sz w:val="24"/>
          <w:szCs w:val="24"/>
        </w:rPr>
        <w:t xml:space="preserve"> а Пекинская платформа действий.</w:t>
      </w:r>
      <w:r w:rsidRPr="007D1A65">
        <w:rPr>
          <w:rFonts w:ascii="Times New Roman" w:hAnsi="Times New Roman" w:cs="Times New Roman"/>
          <w:sz w:val="24"/>
          <w:szCs w:val="24"/>
        </w:rPr>
        <w:t xml:space="preserve"> В этой структуре излагаются обязательства </w:t>
      </w:r>
      <w:r w:rsidRPr="007D1A65">
        <w:rPr>
          <w:rFonts w:ascii="Times New Roman" w:hAnsi="Times New Roman" w:cs="Times New Roman"/>
          <w:sz w:val="24"/>
          <w:szCs w:val="24"/>
        </w:rPr>
        <w:lastRenderedPageBreak/>
        <w:t>государств по ликвидации дискриминации в отношении женщин и поощрению гендерного равенства, в том числе в области правовых рамок.</w:t>
      </w:r>
    </w:p>
    <w:p w:rsidR="007D1A65" w:rsidRP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В Пекинской платформе действий государства обязались отозвать любые оставшиеся законы, которые дискриминируют по признаку пола. Пятилетний обзор и оценка Пекинской платформы действий (Пекин + 5) установили 2005 год в качестве целевого показателя для отмены законов, дискриминирующих женщин. Этот крайний срок </w:t>
      </w:r>
      <w:r w:rsidR="005542AB">
        <w:rPr>
          <w:rFonts w:ascii="Times New Roman" w:hAnsi="Times New Roman" w:cs="Times New Roman"/>
          <w:sz w:val="24"/>
          <w:szCs w:val="24"/>
        </w:rPr>
        <w:t>наступил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</w:t>
      </w:r>
      <w:r w:rsidR="005542AB">
        <w:rPr>
          <w:rFonts w:ascii="Times New Roman" w:hAnsi="Times New Roman" w:cs="Times New Roman"/>
          <w:sz w:val="24"/>
          <w:szCs w:val="24"/>
        </w:rPr>
        <w:t>закрыт</w:t>
      </w:r>
      <w:r w:rsidRPr="007D1A65">
        <w:rPr>
          <w:rFonts w:ascii="Times New Roman" w:hAnsi="Times New Roman" w:cs="Times New Roman"/>
          <w:sz w:val="24"/>
          <w:szCs w:val="24"/>
        </w:rPr>
        <w:t>. Несмотря на прогресс в реформировании законодательства в целях содействия гендерному равенству, во многих странах продолжается дискриминация женщин в законодательстве. Даже в тех случаях, когда проводились юридические реформы, сохраняются пробелы в реализации.</w:t>
      </w:r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5">
        <w:rPr>
          <w:rFonts w:ascii="Times New Roman" w:hAnsi="Times New Roman" w:cs="Times New Roman"/>
          <w:sz w:val="24"/>
          <w:szCs w:val="24"/>
        </w:rPr>
        <w:t xml:space="preserve">Удаление дискриминационных законов и создание правовых рамок, которые способствуют гендерному равенству, являются предпосылками прекращения дискриминации в отношении женщин и достижения гендерного равенства (цель 5, </w:t>
      </w:r>
      <w:r w:rsidR="00E87192">
        <w:rPr>
          <w:rFonts w:ascii="Times New Roman" w:hAnsi="Times New Roman" w:cs="Times New Roman"/>
          <w:sz w:val="24"/>
          <w:szCs w:val="24"/>
        </w:rPr>
        <w:t>задача</w:t>
      </w:r>
      <w:r w:rsidRPr="007D1A65">
        <w:rPr>
          <w:rFonts w:ascii="Times New Roman" w:hAnsi="Times New Roman" w:cs="Times New Roman"/>
          <w:sz w:val="24"/>
          <w:szCs w:val="24"/>
        </w:rPr>
        <w:t xml:space="preserve"> 5.1). Показатель 5.1.1 будет иметь решающее значение для ускорения прогресса в осуществлении </w:t>
      </w:r>
      <w:r w:rsidR="005542AB">
        <w:rPr>
          <w:rFonts w:ascii="Times New Roman" w:hAnsi="Times New Roman" w:cs="Times New Roman"/>
          <w:sz w:val="24"/>
          <w:szCs w:val="24"/>
        </w:rPr>
        <w:t>цели 5 ЦУР</w:t>
      </w:r>
      <w:r w:rsidRPr="007D1A65">
        <w:rPr>
          <w:rFonts w:ascii="Times New Roman" w:hAnsi="Times New Roman" w:cs="Times New Roman"/>
          <w:sz w:val="24"/>
          <w:szCs w:val="24"/>
        </w:rPr>
        <w:t xml:space="preserve"> и всех других обязательств по гендерным вопросам в Повестке дня для устойчивого развития 2030 года.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В статье 1 КЛДЖ содержится всеобъемлющее определение дискриминации в отношении женщин, охватывающее прямую и косвенную дискриминацию, а в статье 2 изложены общие обязательства государств, в частности в отношении требуемых правовых рамок, для ликвидации дискриминации в отношении женщин. В статье 1 КЛДЖ говорится: </w:t>
      </w:r>
      <w:r w:rsidR="00D26005" w:rsidRPr="00D26005">
        <w:rPr>
          <w:rFonts w:ascii="Times New Roman" w:hAnsi="Times New Roman" w:cs="Times New Roman"/>
          <w:sz w:val="24"/>
          <w:szCs w:val="24"/>
        </w:rPr>
        <w:t>“</w:t>
      </w:r>
      <w:r w:rsidRPr="005373B5">
        <w:rPr>
          <w:rFonts w:ascii="Times New Roman" w:hAnsi="Times New Roman" w:cs="Times New Roman"/>
          <w:sz w:val="24"/>
          <w:szCs w:val="24"/>
        </w:rPr>
        <w:t xml:space="preserve">... термин«дискриминация в отношении женщин»означает любое различие, исключение или ограничение, сделанное по признаку пола, </w:t>
      </w:r>
      <w:r w:rsidR="00D26005" w:rsidRPr="00D26005">
        <w:rPr>
          <w:rFonts w:ascii="Times New Roman" w:hAnsi="Times New Roman" w:cs="Times New Roman"/>
          <w:sz w:val="24"/>
          <w:szCs w:val="24"/>
        </w:rPr>
        <w:t>которое имеет следствием или целью ослабление или сводит на нет признание</w:t>
      </w:r>
      <w:r w:rsidRPr="005373B5">
        <w:rPr>
          <w:rFonts w:ascii="Times New Roman" w:hAnsi="Times New Roman" w:cs="Times New Roman"/>
          <w:sz w:val="24"/>
          <w:szCs w:val="24"/>
        </w:rPr>
        <w:t>, пользование или осуществление женщинами, независимо от их семейного положения на основе равенства мужчин и женщин, прав человека и основных свобод в политической, экономической, социальной, культурной, гражд</w:t>
      </w:r>
      <w:r w:rsidR="00D26005">
        <w:rPr>
          <w:rFonts w:ascii="Times New Roman" w:hAnsi="Times New Roman" w:cs="Times New Roman"/>
          <w:sz w:val="24"/>
          <w:szCs w:val="24"/>
        </w:rPr>
        <w:t>анской или любой другой области</w:t>
      </w:r>
      <w:r w:rsidR="00D26005" w:rsidRPr="00D26005">
        <w:rPr>
          <w:rFonts w:ascii="Times New Roman" w:hAnsi="Times New Roman" w:cs="Times New Roman"/>
          <w:sz w:val="24"/>
          <w:szCs w:val="24"/>
        </w:rPr>
        <w:t>”</w:t>
      </w:r>
      <w:r w:rsidRPr="005373B5">
        <w:rPr>
          <w:rFonts w:ascii="Times New Roman" w:hAnsi="Times New Roman" w:cs="Times New Roman"/>
          <w:sz w:val="24"/>
          <w:szCs w:val="24"/>
        </w:rPr>
        <w:t>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Термин «правовые рамки» определяется в широком смысле, чтобы охватывать законы, механизмы и политику/планы по «поощрению, обеспечению соблюдения и мониторингу» гендерного равенства.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Правовые рамки, которые «способствуют», - это те, которые устанавливают равные права женщин с мужчинами и закрепляют недискриминацию по признаку пола. Правовые рамки, которые «обеспечивают соблюдение и контроль», направлены на реализацию равенства и недискриминации и осуществление законов, таких как политика/планы, создание механизмов обеспечения соблюдения и контроля и распределение финансовых ресурсов.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Во избежание дублирования показатель не охватывает области права, которые рассматриваются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5373B5">
        <w:rPr>
          <w:rFonts w:ascii="Times New Roman" w:hAnsi="Times New Roman" w:cs="Times New Roman"/>
          <w:sz w:val="24"/>
          <w:szCs w:val="24"/>
        </w:rPr>
        <w:t xml:space="preserve"> 5.a.2 «</w:t>
      </w:r>
      <w:r w:rsidR="00D26005" w:rsidRPr="00D26005">
        <w:rPr>
          <w:rFonts w:ascii="Times New Roman" w:hAnsi="Times New Roman" w:cs="Times New Roman"/>
          <w:sz w:val="24"/>
          <w:szCs w:val="24"/>
        </w:rPr>
        <w:t>Доля стран, в которых правовая база (в том числе обычное право) гарантирует женщинам равные права на владение и/или распоряжение землей</w:t>
      </w:r>
      <w:r w:rsidRPr="005373B5">
        <w:rPr>
          <w:rFonts w:ascii="Times New Roman" w:hAnsi="Times New Roman" w:cs="Times New Roman"/>
          <w:sz w:val="24"/>
          <w:szCs w:val="24"/>
        </w:rPr>
        <w:t>», и показатель 5.6.2 «</w:t>
      </w:r>
      <w:r w:rsidR="00D26005" w:rsidRPr="00D26005">
        <w:rPr>
          <w:rFonts w:ascii="Times New Roman" w:hAnsi="Times New Roman" w:cs="Times New Roman"/>
          <w:sz w:val="24"/>
          <w:szCs w:val="24"/>
        </w:rPr>
        <w:t xml:space="preserve">Число стран, где действуют законы и нормативные акты, гарантирующие женщинам и мужчинам в возрасте от 15 лет полный и равный доступ к услугам по охране </w:t>
      </w:r>
      <w:r w:rsidR="00D26005" w:rsidRPr="00D26005">
        <w:rPr>
          <w:rFonts w:ascii="Times New Roman" w:hAnsi="Times New Roman" w:cs="Times New Roman"/>
          <w:sz w:val="24"/>
          <w:szCs w:val="24"/>
        </w:rPr>
        <w:lastRenderedPageBreak/>
        <w:t>сексуального и репродуктивного здоровья и информации и просвещению в этой сфере</w:t>
      </w:r>
      <w:r w:rsidRPr="005373B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5373B5">
        <w:rPr>
          <w:rFonts w:ascii="Times New Roman" w:hAnsi="Times New Roman" w:cs="Times New Roman"/>
          <w:sz w:val="24"/>
          <w:szCs w:val="24"/>
        </w:rPr>
        <w:t xml:space="preserve"> 5.1.1 дополняет эти показатели.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B5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Показатель основывается на оценке правовых рамок, которые способствуют, обеспечивают соблюдение и контроль за гендерным равенством с использованием вопросника, включающего 45 вопросов Да/Нет в четырех областях права, взятых из международно-правовых и политических рамок гендерного равенства, в частности КЛДЖ и Пекина Платформа действий.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Ответы на вопросы кодируются с помощью </w:t>
      </w:r>
      <w:r w:rsidRPr="00D26005">
        <w:rPr>
          <w:rFonts w:ascii="Times New Roman" w:hAnsi="Times New Roman" w:cs="Times New Roman"/>
          <w:sz w:val="24"/>
          <w:szCs w:val="24"/>
          <w:u w:val="single"/>
        </w:rPr>
        <w:t>простых ответов «Да / Нет»</w:t>
      </w:r>
      <w:r w:rsidRPr="005373B5">
        <w:rPr>
          <w:rFonts w:ascii="Times New Roman" w:hAnsi="Times New Roman" w:cs="Times New Roman"/>
          <w:sz w:val="24"/>
          <w:szCs w:val="24"/>
        </w:rPr>
        <w:t xml:space="preserve"> с «1» для «Да» и «0» для «Нет». Только </w:t>
      </w:r>
      <w:r w:rsidR="00D26005">
        <w:rPr>
          <w:rFonts w:ascii="Times New Roman" w:hAnsi="Times New Roman" w:cs="Times New Roman"/>
          <w:sz w:val="24"/>
          <w:szCs w:val="24"/>
        </w:rPr>
        <w:t>вопросы 1 и 2 могут быть отмечены «Н</w:t>
      </w:r>
      <w:r w:rsidRPr="005373B5">
        <w:rPr>
          <w:rFonts w:ascii="Times New Roman" w:hAnsi="Times New Roman" w:cs="Times New Roman"/>
          <w:sz w:val="24"/>
          <w:szCs w:val="24"/>
        </w:rPr>
        <w:t>/Д», и в этом случае они не включены в общий расчет баллов для этой области.</w:t>
      </w:r>
      <w:r w:rsidR="00645B5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Методология подсчета является невзвешенным средним значением по каждой области права, рассчитанной по: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Ai=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⋯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qmi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mi</m:t>
              </m:r>
            </m:den>
          </m:f>
        </m:oMath>
      </m:oMathPara>
    </w:p>
    <w:p w:rsidR="007D1A65" w:rsidRDefault="007D1A65" w:rsidP="00F6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00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Где Ai обозначает область права i; </w:t>
      </w:r>
    </w:p>
    <w:p w:rsidR="00D2600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mi относится к общему числу вопросов в области права i;</w:t>
      </w:r>
      <w:r w:rsidR="00645B5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q1 + ... + qmi относится к сумме закодированных вопросов в области права и где qi = «1», если ответ «Да» и qi = "0", если ответ «Нет».</w:t>
      </w:r>
    </w:p>
    <w:p w:rsidR="005373B5" w:rsidRP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>Результаты четырех областей представлены как процентные данные в виде панели: &lt;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="00033C3D">
        <w:rPr>
          <w:rFonts w:ascii="Times New Roman" w:hAnsi="Times New Roman" w:cs="Times New Roman"/>
          <w:sz w:val="24"/>
          <w:szCs w:val="24"/>
        </w:rPr>
        <w:t>1,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 xml:space="preserve">2, 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 xml:space="preserve">3, </w:t>
      </w:r>
      <w:r w:rsidRPr="005373B5">
        <w:rPr>
          <w:rFonts w:ascii="Cambria Math" w:hAnsi="Cambria Math" w:cs="Cambria Math"/>
          <w:sz w:val="24"/>
          <w:szCs w:val="24"/>
        </w:rPr>
        <w:t>𝐴</w:t>
      </w:r>
      <w:r w:rsidRPr="005373B5">
        <w:rPr>
          <w:rFonts w:ascii="Times New Roman" w:hAnsi="Times New Roman" w:cs="Times New Roman"/>
          <w:sz w:val="24"/>
          <w:szCs w:val="24"/>
        </w:rPr>
        <w:t>4&gt;. Таким образом, оценка для каждой области (число от 0 до 100) представляет собой процент достижения этой страны в этой области, причем 100 из них наилучшим образом соответствуют всем вопросам в этом районе.</w:t>
      </w:r>
    </w:p>
    <w:p w:rsidR="007D1A6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t xml:space="preserve">Выбор представления всех </w:t>
      </w:r>
      <w:r w:rsidR="00033C3D" w:rsidRPr="005373B5">
        <w:rPr>
          <w:rFonts w:ascii="Times New Roman" w:hAnsi="Times New Roman" w:cs="Times New Roman"/>
          <w:sz w:val="24"/>
          <w:szCs w:val="24"/>
        </w:rPr>
        <w:t xml:space="preserve">оценок </w:t>
      </w:r>
      <w:r w:rsidRPr="005373B5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033C3D">
        <w:rPr>
          <w:rFonts w:ascii="Times New Roman" w:hAnsi="Times New Roman" w:cs="Times New Roman"/>
          <w:sz w:val="24"/>
          <w:szCs w:val="24"/>
        </w:rPr>
        <w:t>областей</w:t>
      </w:r>
      <w:r w:rsidRPr="005373B5">
        <w:rPr>
          <w:rFonts w:ascii="Times New Roman" w:hAnsi="Times New Roman" w:cs="Times New Roman"/>
          <w:sz w:val="24"/>
          <w:szCs w:val="24"/>
        </w:rPr>
        <w:t xml:space="preserve"> без дальнейшей агрегации является результатом принятия положения о том, что высокие значения в одной области в данной стране не должны каким-либо образом компенсировать страну, имеющую низкие значения в какой-либо другой области, и что всестороннее рассмотрение ценность этих четырех номеров для каждой страны потенциально более информативна, чем попытка суммировать все четыре числа в единый индекс.</w:t>
      </w:r>
    </w:p>
    <w:p w:rsidR="005373B5" w:rsidRPr="00EF1B66" w:rsidRDefault="005373B5" w:rsidP="00F61632">
      <w:pPr>
        <w:jc w:val="both"/>
        <w:rPr>
          <w:rFonts w:ascii="Times New Roman" w:hAnsi="Times New Roman" w:cs="Times New Roman"/>
          <w:b/>
        </w:rPr>
      </w:pPr>
      <w:r w:rsidRPr="00CC7D38">
        <w:rPr>
          <w:rFonts w:ascii="Times New Roman" w:hAnsi="Times New Roman" w:cs="Times New Roman"/>
          <w:b/>
        </w:rPr>
        <w:t>Дезагрегация</w:t>
      </w:r>
      <w:r w:rsidRPr="00EF1B66">
        <w:rPr>
          <w:rFonts w:ascii="Times New Roman" w:hAnsi="Times New Roman" w:cs="Times New Roman"/>
          <w:b/>
        </w:rPr>
        <w:t>:</w:t>
      </w:r>
    </w:p>
    <w:p w:rsidR="005373B5" w:rsidRDefault="005373B5" w:rsidP="00F61632">
      <w:pPr>
        <w:jc w:val="both"/>
        <w:rPr>
          <w:rFonts w:ascii="Times New Roman" w:hAnsi="Times New Roman" w:cs="Times New Roman"/>
          <w:sz w:val="24"/>
          <w:szCs w:val="24"/>
        </w:rPr>
      </w:pPr>
      <w:r w:rsidRPr="005373B5">
        <w:rPr>
          <w:rFonts w:ascii="Times New Roman" w:hAnsi="Times New Roman" w:cs="Times New Roman"/>
          <w:sz w:val="24"/>
          <w:szCs w:val="24"/>
        </w:rPr>
        <w:lastRenderedPageBreak/>
        <w:t>Четыре области права: (i) всеобъемлющие правовые рамки и общественная жизнь; (ii) насилие в отношении женщин; (iii) занятость и экономические выгоды; и (iv) брак и семья.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Обработка отсутствующих значений:</w:t>
      </w:r>
    </w:p>
    <w:p w:rsidR="00645B57" w:rsidRPr="00645B57" w:rsidRDefault="00645B57" w:rsidP="00F616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  <w:i/>
        </w:rPr>
        <w:t>На уровне страны</w:t>
      </w:r>
    </w:p>
    <w:p w:rsidR="00645B57" w:rsidRPr="00645B57" w:rsidRDefault="00645B57" w:rsidP="00F61632">
      <w:p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</w:rPr>
        <w:t>Не вменяется.</w:t>
      </w:r>
    </w:p>
    <w:p w:rsidR="00645B57" w:rsidRDefault="00645B57" w:rsidP="00F616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45B57">
        <w:rPr>
          <w:rFonts w:ascii="Times New Roman" w:hAnsi="Times New Roman" w:cs="Times New Roman"/>
          <w:i/>
        </w:rPr>
        <w:t>На региональном и глобальном уровнях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Не вменяется.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Региональные показатели: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Региональные и глобальные совокупные расчеты будут представлять собой невзвешенное среднее количество баллов по каждой стране в этом регионе (или в глобальном масштабе) по областям права.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расхождения:</w:t>
      </w:r>
    </w:p>
    <w:p w:rsidR="00645B57" w:rsidRDefault="00645B57" w:rsidP="00F61632">
      <w:pPr>
        <w:jc w:val="both"/>
        <w:rPr>
          <w:rFonts w:ascii="Times New Roman" w:hAnsi="Times New Roman" w:cs="Times New Roman"/>
        </w:rPr>
      </w:pPr>
      <w:r w:rsidRPr="00645B57">
        <w:rPr>
          <w:rFonts w:ascii="Times New Roman" w:hAnsi="Times New Roman" w:cs="Times New Roman"/>
        </w:rPr>
        <w:t>Не должно быть никаких расхождений. Данные собираются с помощью проверочных опросов.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Методы и рекомендации, доступные странам для составления данных на национальном уровне:</w:t>
      </w:r>
    </w:p>
    <w:p w:rsidR="00F61632" w:rsidRPr="00F61632" w:rsidRDefault="00F61632" w:rsidP="00F61632">
      <w:pPr>
        <w:ind w:left="708"/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- Методология, используемая странами для составления данных на национальном уровне: вопросники, предоставляемые странам, включают руководство, определения и инструкции.</w:t>
      </w:r>
    </w:p>
    <w:p w:rsidR="00F61632" w:rsidRDefault="00F61632" w:rsidP="00F61632">
      <w:pPr>
        <w:ind w:left="708"/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 xml:space="preserve">- Международные рекомендации и руководящие принципы: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(http://www.ohchr.org/EN/HRBodies/CEDAW/Pages/CEDAWIndex.aspx) и Пекинскую платформу действий </w:t>
      </w:r>
      <w:r w:rsidR="00033C3D" w:rsidRPr="00033C3D">
        <w:rPr>
          <w:rFonts w:ascii="Times New Roman" w:hAnsi="Times New Roman" w:cs="Times New Roman"/>
        </w:rPr>
        <w:t>(http://www.unwomen.org/en/how-we-work/intergovernmental-support/world-conferences-on-women)</w:t>
      </w:r>
      <w:r w:rsidR="00033C3D">
        <w:rPr>
          <w:rFonts w:ascii="Times New Roman" w:hAnsi="Times New Roman" w:cs="Times New Roman"/>
        </w:rPr>
        <w:t>.</w:t>
      </w:r>
      <w:r w:rsidRPr="00F61632">
        <w:rPr>
          <w:rFonts w:ascii="Times New Roman" w:hAnsi="Times New Roman" w:cs="Times New Roman"/>
        </w:rPr>
        <w:t xml:space="preserve">В прилагаемой Методологической записке излагаются международные стандарты, поддерживающие области права и вопросы, а также прилагается справочный документ для рабочего совещания экспертов, в котором содержится полезное резюме международной правовой и политической основы для обеспечения равенства и недискриминации на основе пола и актуальность для </w:t>
      </w:r>
      <w:r w:rsidR="00033C3D">
        <w:rPr>
          <w:rFonts w:ascii="Times New Roman" w:hAnsi="Times New Roman" w:cs="Times New Roman"/>
        </w:rPr>
        <w:t>показателя ЦУР</w:t>
      </w:r>
      <w:r w:rsidRPr="00F61632">
        <w:rPr>
          <w:rFonts w:ascii="Times New Roman" w:hAnsi="Times New Roman" w:cs="Times New Roman"/>
        </w:rPr>
        <w:t xml:space="preserve"> 5.1.1.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качества:</w:t>
      </w:r>
    </w:p>
    <w:p w:rsidR="00F61632" w:rsidRPr="00EF1B66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 xml:space="preserve">Первоначально оценка законов осуществляется национальными коллегами, а также юристами-практиками и исследователями по вопросам гендерного равенства. Данные проверяются и проверяются Группой Всемирного банка, Центром развития ОЭСР и </w:t>
      </w:r>
      <w:r>
        <w:rPr>
          <w:rFonts w:ascii="Times New Roman" w:hAnsi="Times New Roman" w:cs="Times New Roman"/>
        </w:rPr>
        <w:t>ООН-Женщины</w:t>
      </w:r>
      <w:r w:rsidRPr="00F61632">
        <w:rPr>
          <w:rFonts w:ascii="Times New Roman" w:hAnsi="Times New Roman" w:cs="Times New Roman"/>
        </w:rPr>
        <w:t>. Затем данные направляются в назначенные координаторы/страны-партнеры для проверки и проверки. Дополнительную информацию см. В следующем разделе «Источники данных».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Источники данных</w:t>
      </w:r>
    </w:p>
    <w:p w:rsidR="00645B57" w:rsidRPr="00EF1B66" w:rsidRDefault="00645B57" w:rsidP="00F61632">
      <w:pPr>
        <w:jc w:val="both"/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Описание:</w:t>
      </w:r>
    </w:p>
    <w:p w:rsidR="00645B57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Данные для показателя взяты из оценки правовых рамок с исполь</w:t>
      </w:r>
      <w:r>
        <w:rPr>
          <w:rFonts w:ascii="Times New Roman" w:hAnsi="Times New Roman" w:cs="Times New Roman"/>
        </w:rPr>
        <w:t>зованием первичных источников /</w:t>
      </w:r>
      <w:r w:rsidRPr="00F61632">
        <w:rPr>
          <w:rFonts w:ascii="Times New Roman" w:hAnsi="Times New Roman" w:cs="Times New Roman"/>
        </w:rPr>
        <w:t>официальных правительственных документов, в частности законов, политик/планов действий. Оценка проводится национальными коллегами, в том числе Национальными с</w:t>
      </w:r>
      <w:r>
        <w:rPr>
          <w:rFonts w:ascii="Times New Roman" w:hAnsi="Times New Roman" w:cs="Times New Roman"/>
        </w:rPr>
        <w:t>татистическими управлениями (НСУ</w:t>
      </w:r>
      <w:r w:rsidRPr="00F61632">
        <w:rPr>
          <w:rFonts w:ascii="Times New Roman" w:hAnsi="Times New Roman" w:cs="Times New Roman"/>
        </w:rPr>
        <w:t xml:space="preserve">) и/или </w:t>
      </w:r>
      <w:r w:rsidR="00033C3D" w:rsidRPr="00033C3D">
        <w:rPr>
          <w:rFonts w:ascii="Times New Roman" w:hAnsi="Times New Roman" w:cs="Times New Roman"/>
        </w:rPr>
        <w:t>Национальным механизмом по делам женщин (НМЖ)</w:t>
      </w:r>
      <w:r>
        <w:rPr>
          <w:rFonts w:ascii="Times New Roman" w:hAnsi="Times New Roman" w:cs="Times New Roman"/>
        </w:rPr>
        <w:t>, и юристами-практиками</w:t>
      </w:r>
      <w:r w:rsidRPr="00F61632">
        <w:rPr>
          <w:rFonts w:ascii="Times New Roman" w:hAnsi="Times New Roman" w:cs="Times New Roman"/>
        </w:rPr>
        <w:t xml:space="preserve">/исследователями по вопросам гендерного равенства, с использованием вопросника, </w:t>
      </w:r>
      <w:r w:rsidRPr="00F61632">
        <w:rPr>
          <w:rFonts w:ascii="Times New Roman" w:hAnsi="Times New Roman" w:cs="Times New Roman"/>
        </w:rPr>
        <w:lastRenderedPageBreak/>
        <w:t>включающего 45 вопросов «да/нет» по четырем областям права: (i) всеобъемлющие правовые рамки и общественная жизнь; (ii) насилие в отношении женщин; (iii) занятость и экономические выгоды; и (iv) брак и семья. Области права и вопросы взяты из международно-правовой и политической основы гендерного равенства, в частности Конвенции о ликвидации всех форм дискриминации в отношении женщин (КЛДЖ), в которой участвуют 189 государств-участников и Пекинская платформа действий.</w:t>
      </w:r>
    </w:p>
    <w:p w:rsidR="00F61632" w:rsidRDefault="00F61632" w:rsidP="00F6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сбора:</w:t>
      </w:r>
    </w:p>
    <w:p w:rsidR="00F61632" w:rsidRPr="00645B57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 xml:space="preserve">Странам предлагается назначить координационный центр для координации на страновом уровне, необходимого для сбора и проверки данных. На сегодняшний день национальные координаторы назначили 38 стран, и национальными партнерами были заполнены 27 вопросников. Большинство назначенных координационных центров находятся в пределах </w:t>
      </w:r>
      <w:r w:rsidR="00033C3D" w:rsidRPr="00033C3D">
        <w:rPr>
          <w:rFonts w:ascii="Times New Roman" w:hAnsi="Times New Roman" w:cs="Times New Roman"/>
        </w:rPr>
        <w:t>НМЖ</w:t>
      </w:r>
      <w:r w:rsidRPr="00F61632">
        <w:rPr>
          <w:rFonts w:ascii="Times New Roman" w:hAnsi="Times New Roman" w:cs="Times New Roman"/>
        </w:rPr>
        <w:t xml:space="preserve">, некоторые из них находятся в рамках НСУ, а некоторые из них находятся в пределах как </w:t>
      </w:r>
      <w:r w:rsidR="00033C3D" w:rsidRPr="00033C3D">
        <w:rPr>
          <w:rFonts w:ascii="Times New Roman" w:hAnsi="Times New Roman" w:cs="Times New Roman"/>
        </w:rPr>
        <w:t>НМЖ</w:t>
      </w:r>
      <w:r w:rsidRPr="00F61632">
        <w:rPr>
          <w:rFonts w:ascii="Times New Roman" w:hAnsi="Times New Roman" w:cs="Times New Roman"/>
        </w:rPr>
        <w:t>, так и НСУ. После проверки</w:t>
      </w:r>
      <w:r>
        <w:rPr>
          <w:rStyle w:val="a5"/>
          <w:rFonts w:ascii="Times New Roman" w:hAnsi="Times New Roman" w:cs="Times New Roman"/>
        </w:rPr>
        <w:footnoteReference w:id="5"/>
      </w:r>
      <w:r w:rsidRPr="00F61632">
        <w:rPr>
          <w:rFonts w:ascii="Times New Roman" w:hAnsi="Times New Roman" w:cs="Times New Roman"/>
        </w:rPr>
        <w:t xml:space="preserve"> данные с соответствующими законами, политиками и другими источниками включены, направля</w:t>
      </w:r>
      <w:r w:rsidR="00033C3D">
        <w:rPr>
          <w:rFonts w:ascii="Times New Roman" w:hAnsi="Times New Roman" w:cs="Times New Roman"/>
        </w:rPr>
        <w:t>ются в назначенные координаторы</w:t>
      </w:r>
      <w:r w:rsidRPr="00F61632">
        <w:rPr>
          <w:rFonts w:ascii="Times New Roman" w:hAnsi="Times New Roman" w:cs="Times New Roman"/>
        </w:rPr>
        <w:t>/страны-партнеры для проверки и проверки. Окончательные ответы приводятся после процесса проверки со странами-партнерами.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Доступность данных</w:t>
      </w:r>
    </w:p>
    <w:p w:rsidR="00645B57" w:rsidRPr="00645B57" w:rsidRDefault="00F61632" w:rsidP="00F61632">
      <w:pPr>
        <w:jc w:val="both"/>
        <w:rPr>
          <w:rFonts w:ascii="Times New Roman" w:hAnsi="Times New Roman" w:cs="Times New Roman"/>
        </w:rPr>
      </w:pPr>
      <w:r w:rsidRPr="00F61632">
        <w:rPr>
          <w:rFonts w:ascii="Times New Roman" w:hAnsi="Times New Roman" w:cs="Times New Roman"/>
        </w:rPr>
        <w:t>Сбор и проверка пилотных данных проводились для 14 стран.</w:t>
      </w:r>
      <w:r>
        <w:rPr>
          <w:rStyle w:val="a5"/>
          <w:rFonts w:ascii="Times New Roman" w:hAnsi="Times New Roman" w:cs="Times New Roman"/>
        </w:rPr>
        <w:footnoteReference w:id="6"/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Календарь</w:t>
      </w:r>
    </w:p>
    <w:p w:rsidR="00F61632" w:rsidRDefault="00194DCF" w:rsidP="00F61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данных:</w:t>
      </w:r>
    </w:p>
    <w:p w:rsidR="00194DCF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>Данные будут составляться каждые два года, начиная с 2018 года.</w:t>
      </w:r>
    </w:p>
    <w:p w:rsidR="00194DCF" w:rsidRDefault="00194DCF" w:rsidP="00F61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данных:</w:t>
      </w:r>
    </w:p>
    <w:p w:rsidR="00194DCF" w:rsidRPr="00EF1B66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>Первый квартал 2019 года.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Поставщики данных</w:t>
      </w:r>
    </w:p>
    <w:p w:rsidR="00F61632" w:rsidRPr="00EF1B66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>Национальные коллеги, включая Национальные статистические управления и Национальные женские механизмы.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Составители данных</w:t>
      </w:r>
    </w:p>
    <w:p w:rsidR="00194DCF" w:rsidRDefault="00194DCF" w:rsidP="00F61632">
      <w:pPr>
        <w:rPr>
          <w:rFonts w:ascii="Times New Roman" w:hAnsi="Times New Roman" w:cs="Times New Roman"/>
        </w:rPr>
      </w:pPr>
      <w:r w:rsidRPr="00194DCF">
        <w:rPr>
          <w:rFonts w:ascii="Times New Roman" w:hAnsi="Times New Roman" w:cs="Times New Roman"/>
        </w:rPr>
        <w:t xml:space="preserve">Группа Всемирного банка, Центр развития ОЭСР, ООН </w:t>
      </w:r>
      <w:r>
        <w:rPr>
          <w:rFonts w:ascii="Times New Roman" w:hAnsi="Times New Roman" w:cs="Times New Roman"/>
        </w:rPr>
        <w:t>-</w:t>
      </w:r>
      <w:r w:rsidRPr="00194DCF">
        <w:rPr>
          <w:rFonts w:ascii="Times New Roman" w:hAnsi="Times New Roman" w:cs="Times New Roman"/>
        </w:rPr>
        <w:t>Женщины.</w:t>
      </w:r>
    </w:p>
    <w:p w:rsidR="00F61632" w:rsidRPr="00EF1B66" w:rsidRDefault="00F61632" w:rsidP="00F61632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Ссылки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Группа Всемирного банка: http://wbl.worldbank.org/.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Центр развития ОЭСР: http://www.genderindex.org/.</w:t>
      </w:r>
    </w:p>
    <w:p w:rsidR="005373B5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Женщины ООН: data.unwomen.org.</w:t>
      </w:r>
    </w:p>
    <w:p w:rsidR="007D1A65" w:rsidRDefault="00194DCF" w:rsidP="00F6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CF">
        <w:rPr>
          <w:rFonts w:ascii="Times New Roman" w:hAnsi="Times New Roman" w:cs="Times New Roman"/>
          <w:b/>
          <w:sz w:val="24"/>
          <w:szCs w:val="24"/>
        </w:rPr>
        <w:lastRenderedPageBreak/>
        <w:t>Связанные индикаторы: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Существуют и другие законодательные индикаторы ГРП:</w:t>
      </w:r>
    </w:p>
    <w:p w:rsidR="00194DCF" w:rsidRPr="00194DCF" w:rsidRDefault="00194DCF" w:rsidP="00194D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- Показатель 5.a.2 «</w:t>
      </w:r>
      <w:r w:rsidR="00D621E1" w:rsidRPr="00D621E1">
        <w:rPr>
          <w:rFonts w:ascii="Times New Roman" w:hAnsi="Times New Roman" w:cs="Times New Roman"/>
          <w:sz w:val="24"/>
          <w:szCs w:val="24"/>
        </w:rPr>
        <w:t>Доля стран, в которых правовая база (в том числе обычное право) гарантирует женщинам равные права на владение и/или распоряжение землей</w:t>
      </w:r>
      <w:r w:rsidRPr="00194DCF">
        <w:rPr>
          <w:rFonts w:ascii="Times New Roman" w:hAnsi="Times New Roman" w:cs="Times New Roman"/>
          <w:sz w:val="24"/>
          <w:szCs w:val="24"/>
        </w:rPr>
        <w:t>»; а также</w:t>
      </w:r>
    </w:p>
    <w:p w:rsidR="00194DCF" w:rsidRPr="00194DCF" w:rsidRDefault="00194DCF" w:rsidP="00194D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>- Показатель 5.6.2 «</w:t>
      </w:r>
      <w:r w:rsidR="00D621E1" w:rsidRPr="00D621E1">
        <w:rPr>
          <w:rFonts w:ascii="Times New Roman" w:hAnsi="Times New Roman" w:cs="Times New Roman"/>
          <w:sz w:val="24"/>
          <w:szCs w:val="24"/>
        </w:rPr>
        <w:t>Число стран, где действуют законы и нормативные акты,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</w:r>
      <w:r w:rsidRPr="00194DCF">
        <w:rPr>
          <w:rFonts w:ascii="Times New Roman" w:hAnsi="Times New Roman" w:cs="Times New Roman"/>
          <w:sz w:val="24"/>
          <w:szCs w:val="24"/>
        </w:rPr>
        <w:t>».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 xml:space="preserve">Во избежание дублирования показатель 5.1.1 не охватывает области права, которые рассматриваются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показателями</w:t>
      </w:r>
      <w:r w:rsidRPr="00194DCF">
        <w:rPr>
          <w:rFonts w:ascii="Times New Roman" w:hAnsi="Times New Roman" w:cs="Times New Roman"/>
          <w:sz w:val="24"/>
          <w:szCs w:val="24"/>
        </w:rPr>
        <w:t xml:space="preserve"> 5.a.2 и 5.6.2.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194DCF">
        <w:rPr>
          <w:rFonts w:ascii="Times New Roman" w:hAnsi="Times New Roman" w:cs="Times New Roman"/>
          <w:sz w:val="24"/>
          <w:szCs w:val="24"/>
        </w:rPr>
        <w:t xml:space="preserve"> 5.1.1 дополняет эти </w:t>
      </w:r>
      <w:bookmarkStart w:id="0" w:name="_GoBack"/>
      <w:bookmarkEnd w:id="0"/>
      <w:r w:rsidRPr="00194DCF">
        <w:rPr>
          <w:rFonts w:ascii="Times New Roman" w:hAnsi="Times New Roman" w:cs="Times New Roman"/>
          <w:sz w:val="24"/>
          <w:szCs w:val="24"/>
        </w:rPr>
        <w:t>показатели.</w:t>
      </w:r>
    </w:p>
    <w:p w:rsidR="00194DCF" w:rsidRPr="00194DCF" w:rsidRDefault="00194DCF" w:rsidP="001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94DCF">
        <w:rPr>
          <w:rFonts w:ascii="Times New Roman" w:hAnsi="Times New Roman" w:cs="Times New Roman"/>
          <w:sz w:val="24"/>
          <w:szCs w:val="24"/>
        </w:rPr>
        <w:t xml:space="preserve">Правовые рамки, способствующие гендерному равенству, в целом относятся ко всей цели 5, а также к другим целям, поскольку гендерное равенство играет центральную роль в достижении всех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194DCF">
        <w:rPr>
          <w:rFonts w:ascii="Times New Roman" w:hAnsi="Times New Roman" w:cs="Times New Roman"/>
          <w:sz w:val="24"/>
          <w:szCs w:val="24"/>
        </w:rPr>
        <w:t>.</w:t>
      </w:r>
    </w:p>
    <w:sectPr w:rsidR="00194DCF" w:rsidRPr="00194DCF" w:rsidSect="003F08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C8" w:rsidRDefault="00595FC8" w:rsidP="007D1A65">
      <w:pPr>
        <w:spacing w:after="0" w:line="240" w:lineRule="auto"/>
      </w:pPr>
      <w:r>
        <w:separator/>
      </w:r>
    </w:p>
  </w:endnote>
  <w:endnote w:type="continuationSeparator" w:id="1">
    <w:p w:rsidR="00595FC8" w:rsidRDefault="00595FC8" w:rsidP="007D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C8" w:rsidRDefault="00595FC8" w:rsidP="007D1A65">
      <w:pPr>
        <w:spacing w:after="0" w:line="240" w:lineRule="auto"/>
      </w:pPr>
      <w:r>
        <w:separator/>
      </w:r>
    </w:p>
  </w:footnote>
  <w:footnote w:type="continuationSeparator" w:id="1">
    <w:p w:rsidR="00595FC8" w:rsidRDefault="00595FC8" w:rsidP="007D1A65">
      <w:pPr>
        <w:spacing w:after="0" w:line="240" w:lineRule="auto"/>
      </w:pPr>
      <w:r>
        <w:continuationSeparator/>
      </w:r>
    </w:p>
  </w:footnote>
  <w:footnote w:id="2">
    <w:p w:rsidR="00033C3D" w:rsidRPr="007D1A65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7D1A65">
        <w:rPr>
          <w:rStyle w:val="a5"/>
          <w:rFonts w:ascii="Times New Roman" w:hAnsi="Times New Roman" w:cs="Times New Roman"/>
        </w:rPr>
        <w:footnoteRef/>
      </w:r>
      <w:r w:rsidRPr="007D1A65">
        <w:rPr>
          <w:rFonts w:ascii="Times New Roman" w:hAnsi="Times New Roman" w:cs="Times New Roman"/>
        </w:rPr>
        <w:t xml:space="preserve"> Области права были согласованы на семинаре экспертов, состоявшемся 14 и 15 июня 2016 года, для обсуждения методологической разработки показателя 5.1.1 ЦУР.</w:t>
      </w:r>
    </w:p>
  </w:footnote>
  <w:footnote w:id="3">
    <w:p w:rsidR="00033C3D" w:rsidRPr="00645B57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645B57">
        <w:rPr>
          <w:rStyle w:val="a5"/>
          <w:rFonts w:ascii="Times New Roman" w:hAnsi="Times New Roman" w:cs="Times New Roman"/>
        </w:rPr>
        <w:footnoteRef/>
      </w:r>
      <w:r w:rsidRPr="00645B57">
        <w:rPr>
          <w:rFonts w:ascii="Times New Roman" w:hAnsi="Times New Roman" w:cs="Times New Roman"/>
        </w:rPr>
        <w:t xml:space="preserve"> Для вопросов 1 и 2 методология не приписывает оценку (положительную или отрицательную) к существованию обычного или личного права, но оценивает, подчиняются ли они конституционным принципам равенства или недискриминации. Поэтому в странах, где обычное или личное право не применяется, эти вопросы оцениваются как «Н/Д» и не включаются как часть общего расчета баллов для всеобъемлющих правовых рамок и общественной жизни региона.</w:t>
      </w:r>
    </w:p>
  </w:footnote>
  <w:footnote w:id="4">
    <w:p w:rsidR="00033C3D" w:rsidRDefault="00033C3D" w:rsidP="00F61632">
      <w:pPr>
        <w:pStyle w:val="a3"/>
        <w:jc w:val="both"/>
      </w:pPr>
      <w:r w:rsidRPr="00645B57">
        <w:rPr>
          <w:rStyle w:val="a5"/>
          <w:rFonts w:ascii="Times New Roman" w:hAnsi="Times New Roman" w:cs="Times New Roman"/>
        </w:rPr>
        <w:footnoteRef/>
      </w:r>
      <w:r w:rsidRPr="00645B57">
        <w:rPr>
          <w:rFonts w:ascii="Times New Roman" w:hAnsi="Times New Roman" w:cs="Times New Roman"/>
        </w:rPr>
        <w:t xml:space="preserve"> Если вопрос кодируется как «Н/Д», он не будет учитываться в общем количестве вопросов в области права.</w:t>
      </w:r>
    </w:p>
  </w:footnote>
  <w:footnote w:id="5">
    <w:p w:rsidR="00033C3D" w:rsidRPr="00F61632" w:rsidRDefault="00033C3D" w:rsidP="00F61632">
      <w:pPr>
        <w:pStyle w:val="a3"/>
        <w:jc w:val="both"/>
        <w:rPr>
          <w:rFonts w:ascii="Times New Roman" w:hAnsi="Times New Roman" w:cs="Times New Roman"/>
        </w:rPr>
      </w:pPr>
      <w:r w:rsidRPr="00F61632">
        <w:rPr>
          <w:rStyle w:val="a5"/>
          <w:rFonts w:ascii="Times New Roman" w:hAnsi="Times New Roman" w:cs="Times New Roman"/>
        </w:rPr>
        <w:footnoteRef/>
      </w:r>
      <w:r w:rsidRPr="00F61632">
        <w:rPr>
          <w:rFonts w:ascii="Times New Roman" w:hAnsi="Times New Roman" w:cs="Times New Roman"/>
        </w:rPr>
        <w:t xml:space="preserve"> Верификация включает информацию (например, источники национального права), составленную в соответствии с процедурами Центра Всемирного банка и Центра развития ОЭСР юристами-практиками / исследователями по вопросам гендерного равенства. Женщины, бизнес и право Группы Всемирного банка, а также Социальные институты и гендерный индекс Центра развития ОЭСР - это две общеизвестные глобальные базы данных по национальным правовым рамкам, которые способствуют гендерному равенству, которые собирают данные в этой области на 10 и 9 лет, соответственно.</w:t>
      </w:r>
    </w:p>
  </w:footnote>
  <w:footnote w:id="6">
    <w:p w:rsidR="00033C3D" w:rsidRPr="00F61632" w:rsidRDefault="00033C3D" w:rsidP="00F61632">
      <w:pPr>
        <w:pStyle w:val="a3"/>
        <w:jc w:val="both"/>
      </w:pPr>
      <w:r w:rsidRPr="00F61632">
        <w:rPr>
          <w:rStyle w:val="a5"/>
          <w:rFonts w:ascii="Times New Roman" w:hAnsi="Times New Roman" w:cs="Times New Roman"/>
        </w:rPr>
        <w:footnoteRef/>
      </w:r>
      <w:r w:rsidRPr="00F61632">
        <w:rPr>
          <w:rFonts w:ascii="Times New Roman" w:hAnsi="Times New Roman" w:cs="Times New Roman"/>
        </w:rPr>
        <w:t xml:space="preserve"> Процессы валидации ведутся в 12 странах, где были собраны данные. Если М</w:t>
      </w:r>
      <w:r>
        <w:rPr>
          <w:rFonts w:ascii="Times New Roman" w:hAnsi="Times New Roman" w:cs="Times New Roman"/>
        </w:rPr>
        <w:t>У</w:t>
      </w:r>
      <w:r w:rsidRPr="00F6163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Э</w:t>
      </w:r>
      <w:r w:rsidRPr="00F616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ЦУР</w:t>
      </w:r>
      <w:r w:rsidRPr="00F61632">
        <w:rPr>
          <w:rFonts w:ascii="Times New Roman" w:hAnsi="Times New Roman" w:cs="Times New Roman"/>
        </w:rPr>
        <w:t xml:space="preserve"> примет решение о реклассификации показателя 5.1.1 на уровень </w:t>
      </w:r>
      <w:r w:rsidRPr="00F61632">
        <w:rPr>
          <w:rFonts w:ascii="Times New Roman" w:hAnsi="Times New Roman" w:cs="Times New Roman"/>
          <w:lang w:val="en-US"/>
        </w:rPr>
        <w:t>II</w:t>
      </w:r>
      <w:r w:rsidRPr="00F61632">
        <w:rPr>
          <w:rFonts w:ascii="Times New Roman" w:hAnsi="Times New Roman" w:cs="Times New Roman"/>
        </w:rPr>
        <w:t>, процессы проверки будут проводиться для других 74 стран, где были собраны данные.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443"/>
    <w:multiLevelType w:val="hybridMultilevel"/>
    <w:tmpl w:val="235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A33"/>
    <w:rsid w:val="00033C3D"/>
    <w:rsid w:val="00035B03"/>
    <w:rsid w:val="00194DCF"/>
    <w:rsid w:val="001C4F30"/>
    <w:rsid w:val="003F08FA"/>
    <w:rsid w:val="00497BBB"/>
    <w:rsid w:val="0053040D"/>
    <w:rsid w:val="005373B5"/>
    <w:rsid w:val="005542AB"/>
    <w:rsid w:val="00595FC8"/>
    <w:rsid w:val="005B581B"/>
    <w:rsid w:val="005E16C1"/>
    <w:rsid w:val="00645B57"/>
    <w:rsid w:val="007D1A65"/>
    <w:rsid w:val="00A34C85"/>
    <w:rsid w:val="00D26005"/>
    <w:rsid w:val="00D621E1"/>
    <w:rsid w:val="00E87192"/>
    <w:rsid w:val="00F61632"/>
    <w:rsid w:val="00FC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1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1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1A65"/>
    <w:rPr>
      <w:vertAlign w:val="superscript"/>
    </w:rPr>
  </w:style>
  <w:style w:type="character" w:styleId="a6">
    <w:name w:val="Placeholder Text"/>
    <w:basedOn w:val="a0"/>
    <w:uiPriority w:val="99"/>
    <w:semiHidden/>
    <w:rsid w:val="005373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3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1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1A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1A65"/>
    <w:rPr>
      <w:vertAlign w:val="superscript"/>
    </w:rPr>
  </w:style>
  <w:style w:type="character" w:styleId="a6">
    <w:name w:val="Placeholder Text"/>
    <w:basedOn w:val="a0"/>
    <w:uiPriority w:val="99"/>
    <w:semiHidden/>
    <w:rsid w:val="005373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3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C94C-7C58-4D49-80BF-0F8C053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sh.iskakova</cp:lastModifiedBy>
  <cp:revision>3</cp:revision>
  <cp:lastPrinted>2018-10-12T10:06:00Z</cp:lastPrinted>
  <dcterms:created xsi:type="dcterms:W3CDTF">2018-05-07T09:59:00Z</dcterms:created>
  <dcterms:modified xsi:type="dcterms:W3CDTF">2018-10-12T10:08:00Z</dcterms:modified>
</cp:coreProperties>
</file>