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82E" w:rsidRPr="007537FC" w:rsidRDefault="00DC382E" w:rsidP="00DC382E">
      <w:pPr>
        <w:spacing w:after="0"/>
        <w:jc w:val="both"/>
        <w:rPr>
          <w:rFonts w:ascii="Times New Roman" w:eastAsia="Times New Roman" w:hAnsi="Times New Roman" w:cs="Times New Roman"/>
          <w:b/>
          <w:color w:val="000000"/>
          <w:sz w:val="24"/>
          <w:szCs w:val="24"/>
          <w:lang w:eastAsia="ru-RU"/>
        </w:rPr>
      </w:pPr>
      <w:r w:rsidRPr="007537FC">
        <w:rPr>
          <w:rFonts w:ascii="Times New Roman" w:eastAsia="Times New Roman" w:hAnsi="Times New Roman" w:cs="Times New Roman"/>
          <w:b/>
          <w:color w:val="000000"/>
          <w:sz w:val="24"/>
          <w:szCs w:val="24"/>
          <w:lang w:eastAsia="ru-RU"/>
        </w:rPr>
        <w:t>Цель 12 Обеспечение перехода к рациональным моделям потребления и производства</w:t>
      </w:r>
    </w:p>
    <w:p w:rsidR="00DC382E" w:rsidRPr="007537FC" w:rsidRDefault="00DC382E" w:rsidP="00DC382E">
      <w:pPr>
        <w:spacing w:after="0"/>
        <w:jc w:val="both"/>
        <w:rPr>
          <w:rFonts w:ascii="Times New Roman" w:eastAsia="Times New Roman" w:hAnsi="Times New Roman" w:cs="Times New Roman"/>
          <w:b/>
          <w:color w:val="000000"/>
          <w:sz w:val="24"/>
          <w:szCs w:val="24"/>
          <w:lang w:eastAsia="ru-RU"/>
        </w:rPr>
      </w:pPr>
    </w:p>
    <w:p w:rsidR="00DC382E" w:rsidRPr="007537FC" w:rsidRDefault="00DC382E" w:rsidP="00DC382E">
      <w:pPr>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12.c</w:t>
      </w:r>
      <w:proofErr w:type="gramStart"/>
      <w:r>
        <w:rPr>
          <w:rFonts w:ascii="Times New Roman" w:eastAsia="Times New Roman" w:hAnsi="Times New Roman" w:cs="Times New Roman"/>
          <w:b/>
          <w:color w:val="000000"/>
          <w:sz w:val="24"/>
          <w:szCs w:val="24"/>
          <w:lang w:eastAsia="ru-RU"/>
        </w:rPr>
        <w:t xml:space="preserve"> </w:t>
      </w:r>
      <w:r w:rsidRPr="007537FC">
        <w:rPr>
          <w:rFonts w:ascii="Times New Roman" w:eastAsia="Times New Roman" w:hAnsi="Times New Roman" w:cs="Times New Roman"/>
          <w:b/>
          <w:color w:val="000000"/>
          <w:sz w:val="24"/>
          <w:szCs w:val="24"/>
          <w:lang w:eastAsia="ru-RU"/>
        </w:rPr>
        <w:t>Р</w:t>
      </w:r>
      <w:proofErr w:type="gramEnd"/>
      <w:r w:rsidRPr="007537FC">
        <w:rPr>
          <w:rFonts w:ascii="Times New Roman" w:eastAsia="Times New Roman" w:hAnsi="Times New Roman" w:cs="Times New Roman"/>
          <w:b/>
          <w:color w:val="000000"/>
          <w:sz w:val="24"/>
          <w:szCs w:val="24"/>
          <w:lang w:eastAsia="ru-RU"/>
        </w:rPr>
        <w:t>ационализировать отличающееся неэффективностью субсидирование использования ископаемого топлива, ведущее к его расточительному потреблению, посредством устранения рыночных диспропорций с учетом национальных условий, в том числе путем реорганизации налогообложения и постепенного отказа от вредных субсидий там, где они существуют, для учета их экологических последствий, в полной мере принимая во внимание особые потребности и условия развивающихся стран и сводя к минимуму возможные негативные последствия для их развития таким образом, чтобы защитить интересы нуждающихся и уязвимых групп населения</w:t>
      </w:r>
    </w:p>
    <w:p w:rsidR="00DC382E" w:rsidRPr="007537FC" w:rsidRDefault="00DC382E" w:rsidP="00DC382E">
      <w:pPr>
        <w:spacing w:after="0"/>
        <w:jc w:val="both"/>
        <w:rPr>
          <w:rFonts w:ascii="Times New Roman" w:eastAsia="Times New Roman" w:hAnsi="Times New Roman" w:cs="Times New Roman"/>
          <w:b/>
          <w:color w:val="000000"/>
          <w:sz w:val="24"/>
          <w:szCs w:val="24"/>
          <w:lang w:eastAsia="ru-RU"/>
        </w:rPr>
      </w:pPr>
    </w:p>
    <w:p w:rsidR="00DC382E" w:rsidRPr="007537FC" w:rsidRDefault="00DC382E" w:rsidP="00DC382E">
      <w:pPr>
        <w:spacing w:after="0"/>
        <w:jc w:val="both"/>
        <w:rPr>
          <w:rFonts w:ascii="Times New Roman" w:eastAsia="Times New Roman" w:hAnsi="Times New Roman" w:cs="Times New Roman"/>
          <w:b/>
          <w:color w:val="000000"/>
          <w:sz w:val="24"/>
          <w:szCs w:val="24"/>
          <w:lang w:eastAsia="ru-RU"/>
        </w:rPr>
      </w:pPr>
      <w:r w:rsidRPr="007537FC">
        <w:rPr>
          <w:rFonts w:ascii="Times New Roman" w:eastAsia="Times New Roman" w:hAnsi="Times New Roman" w:cs="Times New Roman"/>
          <w:b/>
          <w:color w:val="000000"/>
          <w:sz w:val="24"/>
          <w:szCs w:val="24"/>
          <w:lang w:eastAsia="ru-RU"/>
        </w:rPr>
        <w:t>12.c.1 Сумма субсидий на ископаемое топливо на единицу ВВП (производство и потребление) и их доля в совокупных национальных расходах на ископаемое топливо</w:t>
      </w:r>
    </w:p>
    <w:p w:rsidR="00DC382E" w:rsidRPr="007537FC" w:rsidRDefault="00DC382E" w:rsidP="00DC382E">
      <w:pPr>
        <w:rPr>
          <w:rFonts w:ascii="Times New Roman" w:hAnsi="Times New Roman" w:cs="Times New Roman"/>
          <w:b/>
          <w:sz w:val="24"/>
        </w:rPr>
      </w:pPr>
    </w:p>
    <w:p w:rsidR="00DC382E" w:rsidRDefault="00DC382E" w:rsidP="00DC382E">
      <w:pPr>
        <w:rPr>
          <w:rFonts w:ascii="Times New Roman" w:hAnsi="Times New Roman" w:cs="Times New Roman"/>
          <w:b/>
          <w:sz w:val="24"/>
        </w:rPr>
      </w:pPr>
      <w:r w:rsidRPr="007537FC">
        <w:rPr>
          <w:rFonts w:ascii="Times New Roman" w:hAnsi="Times New Roman" w:cs="Times New Roman"/>
          <w:b/>
          <w:sz w:val="24"/>
        </w:rPr>
        <w:t>Институциональная информация</w:t>
      </w:r>
    </w:p>
    <w:p w:rsidR="00DC382E" w:rsidRDefault="00DC382E" w:rsidP="00DC382E">
      <w:pPr>
        <w:rPr>
          <w:rFonts w:ascii="Times New Roman" w:hAnsi="Times New Roman" w:cs="Times New Roman"/>
          <w:sz w:val="24"/>
        </w:rPr>
      </w:pPr>
      <w:r w:rsidRPr="007537FC">
        <w:rPr>
          <w:rFonts w:ascii="Times New Roman" w:hAnsi="Times New Roman" w:cs="Times New Roman"/>
          <w:sz w:val="24"/>
        </w:rPr>
        <w:t>Организаци</w:t>
      </w:r>
      <w:proofErr w:type="gramStart"/>
      <w:r w:rsidRPr="007537FC">
        <w:rPr>
          <w:rFonts w:ascii="Times New Roman" w:hAnsi="Times New Roman" w:cs="Times New Roman"/>
          <w:sz w:val="24"/>
        </w:rPr>
        <w:t>я(</w:t>
      </w:r>
      <w:proofErr w:type="gramEnd"/>
      <w:r w:rsidRPr="007537FC">
        <w:rPr>
          <w:rFonts w:ascii="Times New Roman" w:hAnsi="Times New Roman" w:cs="Times New Roman"/>
          <w:sz w:val="24"/>
        </w:rPr>
        <w:t>и):</w:t>
      </w:r>
    </w:p>
    <w:p w:rsidR="00DC382E" w:rsidRDefault="00DC382E" w:rsidP="00DC382E">
      <w:pPr>
        <w:jc w:val="both"/>
        <w:rPr>
          <w:rFonts w:ascii="Times New Roman" w:hAnsi="Times New Roman" w:cs="Times New Roman"/>
          <w:sz w:val="24"/>
        </w:rPr>
      </w:pPr>
      <w:r w:rsidRPr="007537FC">
        <w:rPr>
          <w:rFonts w:ascii="Times New Roman" w:hAnsi="Times New Roman" w:cs="Times New Roman"/>
          <w:sz w:val="24"/>
        </w:rPr>
        <w:t>ООН по окружающей среде (программа Организации Объединенных Наций по окружающей среде)</w:t>
      </w:r>
    </w:p>
    <w:p w:rsidR="00DC382E" w:rsidRDefault="00DC382E" w:rsidP="00DC382E">
      <w:pPr>
        <w:jc w:val="both"/>
        <w:rPr>
          <w:rFonts w:ascii="Times New Roman" w:hAnsi="Times New Roman" w:cs="Times New Roman"/>
          <w:b/>
          <w:sz w:val="24"/>
        </w:rPr>
      </w:pPr>
      <w:r w:rsidRPr="007537FC">
        <w:rPr>
          <w:rFonts w:ascii="Times New Roman" w:hAnsi="Times New Roman" w:cs="Times New Roman"/>
          <w:b/>
          <w:sz w:val="24"/>
        </w:rPr>
        <w:t>Концепции и определения</w:t>
      </w:r>
    </w:p>
    <w:p w:rsidR="00DC382E" w:rsidRDefault="00DC382E" w:rsidP="00DC382E">
      <w:pPr>
        <w:jc w:val="both"/>
        <w:rPr>
          <w:rFonts w:ascii="Times New Roman" w:hAnsi="Times New Roman" w:cs="Times New Roman"/>
          <w:sz w:val="24"/>
        </w:rPr>
      </w:pPr>
      <w:r w:rsidRPr="007537FC">
        <w:rPr>
          <w:rFonts w:ascii="Times New Roman" w:hAnsi="Times New Roman" w:cs="Times New Roman"/>
          <w:sz w:val="24"/>
        </w:rPr>
        <w:t>Определение:</w:t>
      </w:r>
    </w:p>
    <w:p w:rsidR="00DC382E" w:rsidRDefault="00DC382E" w:rsidP="00DC382E">
      <w:pPr>
        <w:jc w:val="both"/>
        <w:rPr>
          <w:rFonts w:ascii="Times New Roman" w:hAnsi="Times New Roman" w:cs="Times New Roman"/>
          <w:sz w:val="24"/>
        </w:rPr>
      </w:pPr>
      <w:proofErr w:type="gramStart"/>
      <w:r w:rsidRPr="007537FC">
        <w:rPr>
          <w:rFonts w:ascii="Times New Roman" w:hAnsi="Times New Roman" w:cs="Times New Roman"/>
          <w:sz w:val="24"/>
        </w:rPr>
        <w:t xml:space="preserve">Для измерения субсидий на ископаемые виды топлива на национальном, региональном и глобальном уровнях рекомендуется использовать три </w:t>
      </w:r>
      <w:proofErr w:type="spellStart"/>
      <w:r w:rsidRPr="007537FC">
        <w:rPr>
          <w:rFonts w:ascii="Times New Roman" w:hAnsi="Times New Roman" w:cs="Times New Roman"/>
          <w:sz w:val="24"/>
        </w:rPr>
        <w:t>суб</w:t>
      </w:r>
      <w:proofErr w:type="spellEnd"/>
      <w:r>
        <w:rPr>
          <w:rFonts w:ascii="Times New Roman" w:hAnsi="Times New Roman" w:cs="Times New Roman"/>
          <w:sz w:val="24"/>
        </w:rPr>
        <w:t>-показателя</w:t>
      </w:r>
      <w:r w:rsidRPr="007537FC">
        <w:rPr>
          <w:rFonts w:ascii="Times New Roman" w:hAnsi="Times New Roman" w:cs="Times New Roman"/>
          <w:sz w:val="24"/>
        </w:rPr>
        <w:t xml:space="preserve"> для представления отчетности по этому показателю: 1) прямой перевод государственных средств; 2) индуцированные переводы (поддержка цен); и в качестве </w:t>
      </w:r>
      <w:r>
        <w:rPr>
          <w:rFonts w:ascii="Times New Roman" w:hAnsi="Times New Roman" w:cs="Times New Roman"/>
          <w:sz w:val="24"/>
        </w:rPr>
        <w:t>необязательного</w:t>
      </w:r>
      <w:r w:rsidRPr="007537FC">
        <w:rPr>
          <w:rFonts w:ascii="Times New Roman" w:hAnsi="Times New Roman" w:cs="Times New Roman"/>
          <w:sz w:val="24"/>
        </w:rPr>
        <w:t xml:space="preserve"> </w:t>
      </w:r>
      <w:proofErr w:type="spellStart"/>
      <w:r w:rsidRPr="007537FC">
        <w:rPr>
          <w:rFonts w:ascii="Times New Roman" w:hAnsi="Times New Roman" w:cs="Times New Roman"/>
          <w:sz w:val="24"/>
        </w:rPr>
        <w:t>суб</w:t>
      </w:r>
      <w:proofErr w:type="spellEnd"/>
      <w:r>
        <w:rPr>
          <w:rFonts w:ascii="Times New Roman" w:hAnsi="Times New Roman" w:cs="Times New Roman"/>
          <w:sz w:val="24"/>
        </w:rPr>
        <w:t>-показателя</w:t>
      </w:r>
      <w:r w:rsidRPr="007537FC">
        <w:rPr>
          <w:rFonts w:ascii="Times New Roman" w:hAnsi="Times New Roman" w:cs="Times New Roman"/>
          <w:sz w:val="24"/>
        </w:rPr>
        <w:t xml:space="preserve"> 3) налоговые расходы, другие упущенные доходы и занижение цен на товары и услуги.</w:t>
      </w:r>
      <w:proofErr w:type="gramEnd"/>
      <w:r w:rsidRPr="007537FC">
        <w:t xml:space="preserve"> </w:t>
      </w:r>
      <w:r w:rsidRPr="007537FC">
        <w:rPr>
          <w:rFonts w:ascii="Times New Roman" w:hAnsi="Times New Roman" w:cs="Times New Roman"/>
          <w:sz w:val="24"/>
        </w:rPr>
        <w:t>Для определения субсидий на ископаемые виды топлива используются определения, содержащиеся в статистическом руководстве М</w:t>
      </w:r>
      <w:r>
        <w:rPr>
          <w:rFonts w:ascii="Times New Roman" w:hAnsi="Times New Roman" w:cs="Times New Roman"/>
          <w:sz w:val="24"/>
        </w:rPr>
        <w:t>еждународного энергетического агентства</w:t>
      </w:r>
      <w:r w:rsidRPr="007537FC">
        <w:rPr>
          <w:rFonts w:ascii="Times New Roman" w:hAnsi="Times New Roman" w:cs="Times New Roman"/>
          <w:sz w:val="24"/>
        </w:rPr>
        <w:t xml:space="preserve"> (МЭА, 2005 год) и соглашении о субсидиях и компенсационных мерах (ASCM) Всемирной торговой организации (ВТО) (ВТО, 1994 год). Для классификации отдельных энергетических продуктов следует использовать стандартизированные описания из классификации основных продуктов статистического управления Организации Объединенных Наций. Предлагается исключить формулировку "в виде доли от общих национальных расходов на ископаемые виды топлива", и таким образом этот показатель фактически представляет собой</w:t>
      </w:r>
      <w:r>
        <w:rPr>
          <w:rFonts w:ascii="Times New Roman" w:hAnsi="Times New Roman" w:cs="Times New Roman"/>
          <w:sz w:val="24"/>
        </w:rPr>
        <w:t xml:space="preserve"> </w:t>
      </w:r>
      <w:r w:rsidRPr="007537FC">
        <w:rPr>
          <w:rFonts w:ascii="Times New Roman" w:hAnsi="Times New Roman" w:cs="Times New Roman"/>
          <w:sz w:val="24"/>
        </w:rPr>
        <w:t>"объем субсидий на ископаемые виды топлива на единицу ВВП (производство и потребление)".</w:t>
      </w:r>
    </w:p>
    <w:p w:rsidR="00DC382E" w:rsidRDefault="00DC382E" w:rsidP="00DC382E">
      <w:pPr>
        <w:jc w:val="both"/>
        <w:rPr>
          <w:rFonts w:ascii="Times New Roman" w:hAnsi="Times New Roman" w:cs="Times New Roman"/>
          <w:sz w:val="24"/>
        </w:rPr>
      </w:pPr>
      <w:r w:rsidRPr="007537FC">
        <w:rPr>
          <w:rFonts w:ascii="Times New Roman" w:hAnsi="Times New Roman" w:cs="Times New Roman"/>
          <w:sz w:val="24"/>
        </w:rPr>
        <w:t>Обоснование:</w:t>
      </w:r>
    </w:p>
    <w:p w:rsidR="00DC382E" w:rsidRDefault="00DC382E" w:rsidP="00DC382E">
      <w:pPr>
        <w:jc w:val="both"/>
        <w:rPr>
          <w:rFonts w:ascii="Times New Roman" w:hAnsi="Times New Roman" w:cs="Times New Roman"/>
          <w:sz w:val="24"/>
        </w:rPr>
      </w:pPr>
      <w:r w:rsidRPr="007537FC">
        <w:rPr>
          <w:rFonts w:ascii="Times New Roman" w:hAnsi="Times New Roman" w:cs="Times New Roman"/>
          <w:sz w:val="24"/>
        </w:rPr>
        <w:t xml:space="preserve">Масштабы и воздействие субсидий на ископаемые виды топлива создают как проблемы, так и возможности для достижения целей повестки дня в области устойчивого развития на период до 2030 года. Во-первых, использование ископаемых видов топлива и их </w:t>
      </w:r>
      <w:r w:rsidRPr="007537FC">
        <w:rPr>
          <w:rFonts w:ascii="Times New Roman" w:hAnsi="Times New Roman" w:cs="Times New Roman"/>
          <w:sz w:val="24"/>
        </w:rPr>
        <w:lastRenderedPageBreak/>
        <w:t>пропаганда в рамках систем субсидий отрицательно сказывается на способности правительств достичь ключевых целей, таких, как сокращение масштабов нищеты, улучшение здравоохранения, достижение гендерного равенства, обеспечение доступа к энергии и решение проблемы изменения климата. В то же время необходимо обеспечить, чтобы бедные домашние хозяйства, которые особенно уязвимы перед ростом цен, получали или сохраняли доступ к энергии.</w:t>
      </w:r>
      <w:r w:rsidRPr="007537FC">
        <w:t xml:space="preserve"> </w:t>
      </w:r>
      <w:r w:rsidRPr="007537FC">
        <w:rPr>
          <w:rFonts w:ascii="Times New Roman" w:hAnsi="Times New Roman" w:cs="Times New Roman"/>
          <w:sz w:val="24"/>
        </w:rPr>
        <w:t>Энергетически зависимые сектора экономики могут пострадать, в частности, от резких изменений цен. Поэтому любая успешная реформа требует тщательного анализа и принятия мер по смягчению последствий. С другой стороны, перераспределение субсидий на ископаемое топливо в секторах, имеющих отношение к развитию, могло бы придать импульс достижению Ц</w:t>
      </w:r>
      <w:r>
        <w:rPr>
          <w:rFonts w:ascii="Times New Roman" w:hAnsi="Times New Roman" w:cs="Times New Roman"/>
          <w:sz w:val="24"/>
        </w:rPr>
        <w:t>УР</w:t>
      </w:r>
      <w:r w:rsidRPr="007537FC">
        <w:rPr>
          <w:rFonts w:ascii="Times New Roman" w:hAnsi="Times New Roman" w:cs="Times New Roman"/>
          <w:sz w:val="24"/>
        </w:rPr>
        <w:t>.</w:t>
      </w:r>
    </w:p>
    <w:p w:rsidR="00DC382E" w:rsidRDefault="00DC382E" w:rsidP="00DC382E">
      <w:pPr>
        <w:jc w:val="both"/>
        <w:rPr>
          <w:rFonts w:ascii="Times New Roman" w:hAnsi="Times New Roman" w:cs="Times New Roman"/>
          <w:sz w:val="24"/>
        </w:rPr>
      </w:pPr>
      <w:r w:rsidRPr="007537FC">
        <w:rPr>
          <w:rFonts w:ascii="Times New Roman" w:hAnsi="Times New Roman" w:cs="Times New Roman"/>
          <w:sz w:val="24"/>
        </w:rPr>
        <w:t>Для повышения прозрачности и информирования о принятии решений</w:t>
      </w:r>
      <w:r>
        <w:rPr>
          <w:rFonts w:ascii="Times New Roman" w:hAnsi="Times New Roman" w:cs="Times New Roman"/>
          <w:sz w:val="24"/>
        </w:rPr>
        <w:t>,</w:t>
      </w:r>
      <w:r w:rsidRPr="007537FC">
        <w:rPr>
          <w:rFonts w:ascii="Times New Roman" w:hAnsi="Times New Roman" w:cs="Times New Roman"/>
          <w:sz w:val="24"/>
        </w:rPr>
        <w:t xml:space="preserve"> необходимо осознать и понять существующие субсидии на основе достоверных данных. Отчетность </w:t>
      </w:r>
      <w:r>
        <w:rPr>
          <w:rFonts w:ascii="Times New Roman" w:hAnsi="Times New Roman" w:cs="Times New Roman"/>
          <w:sz w:val="24"/>
        </w:rPr>
        <w:t>по</w:t>
      </w:r>
      <w:r w:rsidRPr="007537FC">
        <w:rPr>
          <w:rFonts w:ascii="Times New Roman" w:hAnsi="Times New Roman" w:cs="Times New Roman"/>
          <w:sz w:val="24"/>
        </w:rPr>
        <w:t xml:space="preserve"> глобально</w:t>
      </w:r>
      <w:r>
        <w:rPr>
          <w:rFonts w:ascii="Times New Roman" w:hAnsi="Times New Roman" w:cs="Times New Roman"/>
          <w:sz w:val="24"/>
        </w:rPr>
        <w:t>му</w:t>
      </w:r>
      <w:r w:rsidRPr="007537FC">
        <w:rPr>
          <w:rFonts w:ascii="Times New Roman" w:hAnsi="Times New Roman" w:cs="Times New Roman"/>
          <w:sz w:val="24"/>
        </w:rPr>
        <w:t xml:space="preserve"> показател</w:t>
      </w:r>
      <w:r>
        <w:rPr>
          <w:rFonts w:ascii="Times New Roman" w:hAnsi="Times New Roman" w:cs="Times New Roman"/>
          <w:sz w:val="24"/>
        </w:rPr>
        <w:t>ю</w:t>
      </w:r>
      <w:r w:rsidRPr="007537FC">
        <w:rPr>
          <w:rFonts w:ascii="Times New Roman" w:hAnsi="Times New Roman" w:cs="Times New Roman"/>
          <w:sz w:val="24"/>
        </w:rPr>
        <w:t>, измеряющего субсидии на потребительские и производственные ископаемые виды топлива, представляет собой глобальную картину, которая охватывает как субсидии потребителей, так и производителей. Это позволяет отслеживать национальные и глобальные тенденции и служит важным руководством для разработки политики.</w:t>
      </w:r>
    </w:p>
    <w:p w:rsidR="00DC382E" w:rsidRDefault="00DC382E" w:rsidP="00DC382E">
      <w:pPr>
        <w:jc w:val="both"/>
        <w:rPr>
          <w:rFonts w:ascii="Times New Roman" w:hAnsi="Times New Roman" w:cs="Times New Roman"/>
          <w:sz w:val="24"/>
        </w:rPr>
      </w:pPr>
      <w:r w:rsidRPr="00F052D6">
        <w:rPr>
          <w:rFonts w:ascii="Times New Roman" w:hAnsi="Times New Roman" w:cs="Times New Roman"/>
          <w:sz w:val="24"/>
        </w:rPr>
        <w:t>Основные понятия:</w:t>
      </w:r>
    </w:p>
    <w:p w:rsidR="00DC382E" w:rsidRDefault="00DC382E" w:rsidP="00DC382E">
      <w:pPr>
        <w:jc w:val="both"/>
        <w:rPr>
          <w:rFonts w:ascii="Times New Roman" w:hAnsi="Times New Roman" w:cs="Times New Roman"/>
          <w:sz w:val="24"/>
        </w:rPr>
      </w:pPr>
      <w:r w:rsidRPr="00F052D6">
        <w:rPr>
          <w:rFonts w:ascii="Times New Roman" w:hAnsi="Times New Roman" w:cs="Times New Roman"/>
          <w:sz w:val="24"/>
        </w:rPr>
        <w:t>Концепции и определения, используемые в методологии, основаны на существующих международных рамках и глоссариях.</w:t>
      </w:r>
    </w:p>
    <w:p w:rsidR="00DC382E" w:rsidRPr="00F052D6" w:rsidRDefault="00DC382E" w:rsidP="00DC382E">
      <w:pPr>
        <w:pStyle w:val="a3"/>
        <w:numPr>
          <w:ilvl w:val="0"/>
          <w:numId w:val="3"/>
        </w:numPr>
        <w:jc w:val="both"/>
        <w:rPr>
          <w:rFonts w:ascii="Times New Roman" w:hAnsi="Times New Roman" w:cs="Times New Roman"/>
          <w:sz w:val="24"/>
        </w:rPr>
      </w:pPr>
      <w:r w:rsidRPr="00F052D6">
        <w:rPr>
          <w:rFonts w:ascii="Times New Roman" w:hAnsi="Times New Roman" w:cs="Times New Roman"/>
          <w:sz w:val="24"/>
        </w:rPr>
        <w:t>Используйте определение ископаемого топлива из Руководства по статистике МЭА: «Ископаемое топливо берется из природных ресурсов, которые были сформированы из биомассы в геологическом прошлом. Кроме того, термин «ископаемое» применяется также к любому вторичному топливу, полученному из ископаемого топлива».</w:t>
      </w:r>
    </w:p>
    <w:p w:rsidR="00DC382E" w:rsidRPr="00F052D6" w:rsidRDefault="00DC382E" w:rsidP="00DC382E">
      <w:pPr>
        <w:pStyle w:val="a3"/>
        <w:numPr>
          <w:ilvl w:val="0"/>
          <w:numId w:val="3"/>
        </w:numPr>
        <w:jc w:val="both"/>
        <w:rPr>
          <w:rFonts w:ascii="Times New Roman" w:hAnsi="Times New Roman" w:cs="Times New Roman"/>
          <w:sz w:val="24"/>
        </w:rPr>
      </w:pPr>
      <w:r w:rsidRPr="00F052D6">
        <w:rPr>
          <w:rFonts w:ascii="Times New Roman" w:hAnsi="Times New Roman" w:cs="Times New Roman"/>
          <w:sz w:val="24"/>
        </w:rPr>
        <w:t>Используйте термины, изложенные в Пересмотренном варианте 2.1 (КОП/CPC), для статистической классификации отдельных продуктов. Других общепринятых определений не выявлено.</w:t>
      </w:r>
    </w:p>
    <w:p w:rsidR="00DC382E" w:rsidRPr="00F052D6" w:rsidRDefault="00DC382E" w:rsidP="00DC382E">
      <w:pPr>
        <w:pStyle w:val="a3"/>
        <w:numPr>
          <w:ilvl w:val="0"/>
          <w:numId w:val="3"/>
        </w:numPr>
        <w:jc w:val="both"/>
        <w:rPr>
          <w:rFonts w:ascii="Times New Roman" w:hAnsi="Times New Roman" w:cs="Times New Roman"/>
          <w:sz w:val="24"/>
        </w:rPr>
      </w:pPr>
      <w:r w:rsidRPr="00F052D6">
        <w:rPr>
          <w:rFonts w:ascii="Times New Roman" w:hAnsi="Times New Roman" w:cs="Times New Roman"/>
          <w:sz w:val="24"/>
        </w:rPr>
        <w:t>Включая электроэнергию и тепло, вырабатываемое из ископаемых видов топлива в рамки ископаемого топлива.</w:t>
      </w:r>
    </w:p>
    <w:p w:rsidR="00DC382E" w:rsidRPr="00F052D6" w:rsidRDefault="00DC382E" w:rsidP="00DC382E">
      <w:pPr>
        <w:pStyle w:val="a3"/>
        <w:numPr>
          <w:ilvl w:val="0"/>
          <w:numId w:val="3"/>
        </w:numPr>
        <w:jc w:val="both"/>
        <w:rPr>
          <w:rFonts w:ascii="Times New Roman" w:hAnsi="Times New Roman" w:cs="Times New Roman"/>
          <w:sz w:val="24"/>
        </w:rPr>
      </w:pPr>
      <w:r w:rsidRPr="00F052D6">
        <w:rPr>
          <w:rFonts w:ascii="Times New Roman" w:hAnsi="Times New Roman" w:cs="Times New Roman"/>
          <w:sz w:val="24"/>
        </w:rPr>
        <w:t>Включая неэнергетическое использование с возможностью мониторинга для измерения этого показателя.</w:t>
      </w:r>
    </w:p>
    <w:p w:rsidR="00DC382E" w:rsidRDefault="00DC382E" w:rsidP="00DC382E">
      <w:pPr>
        <w:pStyle w:val="a3"/>
        <w:numPr>
          <w:ilvl w:val="0"/>
          <w:numId w:val="3"/>
        </w:numPr>
        <w:jc w:val="both"/>
        <w:rPr>
          <w:rFonts w:ascii="Times New Roman" w:hAnsi="Times New Roman" w:cs="Times New Roman"/>
          <w:sz w:val="24"/>
        </w:rPr>
      </w:pPr>
      <w:r w:rsidRPr="00F052D6">
        <w:rPr>
          <w:rFonts w:ascii="Times New Roman" w:hAnsi="Times New Roman" w:cs="Times New Roman"/>
          <w:sz w:val="24"/>
        </w:rPr>
        <w:t>Дополнительная информация содержится в методологическом документе, озаглавленном «Измерение субсидий на ископаемое топливо в контексте целей устойчивого развития».</w:t>
      </w:r>
    </w:p>
    <w:p w:rsidR="00DC382E" w:rsidRDefault="00DC382E" w:rsidP="00DC382E">
      <w:pPr>
        <w:jc w:val="both"/>
        <w:rPr>
          <w:rFonts w:ascii="Times New Roman" w:hAnsi="Times New Roman" w:cs="Times New Roman"/>
          <w:b/>
          <w:sz w:val="24"/>
        </w:rPr>
      </w:pPr>
      <w:r w:rsidRPr="00F052D6">
        <w:rPr>
          <w:rFonts w:ascii="Times New Roman" w:hAnsi="Times New Roman" w:cs="Times New Roman"/>
          <w:b/>
          <w:sz w:val="24"/>
        </w:rPr>
        <w:t>Комментарии и ограничения:</w:t>
      </w:r>
    </w:p>
    <w:p w:rsidR="00DC382E" w:rsidRDefault="00DC382E" w:rsidP="00DC382E">
      <w:pPr>
        <w:jc w:val="both"/>
        <w:rPr>
          <w:rFonts w:ascii="Times New Roman" w:hAnsi="Times New Roman" w:cs="Times New Roman"/>
          <w:sz w:val="24"/>
        </w:rPr>
      </w:pPr>
      <w:r w:rsidRPr="00F052D6">
        <w:rPr>
          <w:rFonts w:ascii="Times New Roman" w:hAnsi="Times New Roman" w:cs="Times New Roman"/>
          <w:sz w:val="24"/>
        </w:rPr>
        <w:t xml:space="preserve">Мониторинг и отчетность по </w:t>
      </w:r>
      <w:r>
        <w:rPr>
          <w:rFonts w:ascii="Times New Roman" w:hAnsi="Times New Roman" w:cs="Times New Roman"/>
          <w:sz w:val="24"/>
        </w:rPr>
        <w:t>показателю ЦУР 12.с.</w:t>
      </w:r>
      <w:r w:rsidRPr="00F052D6">
        <w:rPr>
          <w:rFonts w:ascii="Times New Roman" w:hAnsi="Times New Roman" w:cs="Times New Roman"/>
          <w:sz w:val="24"/>
        </w:rPr>
        <w:t>1 требует потенциал</w:t>
      </w:r>
      <w:r>
        <w:rPr>
          <w:rFonts w:ascii="Times New Roman" w:hAnsi="Times New Roman" w:cs="Times New Roman"/>
          <w:sz w:val="24"/>
        </w:rPr>
        <w:t>а</w:t>
      </w:r>
      <w:r w:rsidRPr="00F052D6">
        <w:rPr>
          <w:rFonts w:ascii="Times New Roman" w:hAnsi="Times New Roman" w:cs="Times New Roman"/>
          <w:sz w:val="24"/>
        </w:rPr>
        <w:t xml:space="preserve"> национальных статистических систем для оценки прямых и косвенных переводов государственных средств. Сбор </w:t>
      </w:r>
      <w:r w:rsidR="001C7F8F">
        <w:rPr>
          <w:rFonts w:ascii="Times New Roman" w:hAnsi="Times New Roman" w:cs="Times New Roman"/>
          <w:sz w:val="24"/>
        </w:rPr>
        <w:t>данных</w:t>
      </w:r>
      <w:r w:rsidRPr="00F052D6">
        <w:rPr>
          <w:rFonts w:ascii="Times New Roman" w:hAnsi="Times New Roman" w:cs="Times New Roman"/>
          <w:sz w:val="24"/>
        </w:rPr>
        <w:t xml:space="preserve"> статистически</w:t>
      </w:r>
      <w:r w:rsidR="001C7F8F">
        <w:rPr>
          <w:rFonts w:ascii="Times New Roman" w:hAnsi="Times New Roman" w:cs="Times New Roman"/>
          <w:sz w:val="24"/>
        </w:rPr>
        <w:t>ми</w:t>
      </w:r>
      <w:r w:rsidRPr="00F052D6">
        <w:rPr>
          <w:rFonts w:ascii="Times New Roman" w:hAnsi="Times New Roman" w:cs="Times New Roman"/>
          <w:sz w:val="24"/>
        </w:rPr>
        <w:t xml:space="preserve"> орган</w:t>
      </w:r>
      <w:r w:rsidR="001C7F8F">
        <w:rPr>
          <w:rFonts w:ascii="Times New Roman" w:hAnsi="Times New Roman" w:cs="Times New Roman"/>
          <w:sz w:val="24"/>
        </w:rPr>
        <w:t>ами</w:t>
      </w:r>
      <w:r w:rsidRPr="00F052D6">
        <w:rPr>
          <w:rFonts w:ascii="Times New Roman" w:hAnsi="Times New Roman" w:cs="Times New Roman"/>
          <w:sz w:val="24"/>
        </w:rPr>
        <w:t xml:space="preserve"> от отраслевых министерств и государственных предприятий, в том числе на субнациональном уровне, зависит от их </w:t>
      </w:r>
      <w:r>
        <w:rPr>
          <w:rFonts w:ascii="Times New Roman" w:hAnsi="Times New Roman" w:cs="Times New Roman"/>
          <w:sz w:val="24"/>
        </w:rPr>
        <w:t>возможностей</w:t>
      </w:r>
      <w:r w:rsidRPr="00F052D6">
        <w:rPr>
          <w:rFonts w:ascii="Times New Roman" w:hAnsi="Times New Roman" w:cs="Times New Roman"/>
          <w:sz w:val="24"/>
        </w:rPr>
        <w:t>. Существует необходимость в дополнительных учебных материалах и обмене опытом по данному показателю.</w:t>
      </w:r>
    </w:p>
    <w:p w:rsidR="00DC382E" w:rsidRDefault="00DC382E" w:rsidP="00DC382E">
      <w:pPr>
        <w:jc w:val="both"/>
        <w:rPr>
          <w:rFonts w:ascii="Times New Roman" w:hAnsi="Times New Roman" w:cs="Times New Roman"/>
          <w:sz w:val="24"/>
        </w:rPr>
      </w:pPr>
      <w:r w:rsidRPr="007811F5">
        <w:rPr>
          <w:rFonts w:ascii="Times New Roman" w:hAnsi="Times New Roman" w:cs="Times New Roman"/>
          <w:sz w:val="24"/>
        </w:rPr>
        <w:lastRenderedPageBreak/>
        <w:t xml:space="preserve">В методологии расчета показателей используется поэтапный мониторинг, позволяющий странам с различным потенциалом </w:t>
      </w:r>
      <w:r>
        <w:rPr>
          <w:rFonts w:ascii="Times New Roman" w:hAnsi="Times New Roman" w:cs="Times New Roman"/>
          <w:sz w:val="24"/>
        </w:rPr>
        <w:t>участвовать в мониторинге 12.с.</w:t>
      </w:r>
      <w:r w:rsidRPr="007811F5">
        <w:rPr>
          <w:rFonts w:ascii="Times New Roman" w:hAnsi="Times New Roman" w:cs="Times New Roman"/>
          <w:sz w:val="24"/>
        </w:rPr>
        <w:t xml:space="preserve">1. Эти два этапа включают глобальный мониторинг на основе оценок ценового разрыва плюс национальный мониторинг прямых и косвенных трансфертов с </w:t>
      </w:r>
      <w:r>
        <w:rPr>
          <w:rFonts w:ascii="Times New Roman" w:hAnsi="Times New Roman" w:cs="Times New Roman"/>
          <w:sz w:val="24"/>
        </w:rPr>
        <w:t>необязательным</w:t>
      </w:r>
      <w:r w:rsidRPr="007811F5">
        <w:rPr>
          <w:rFonts w:ascii="Times New Roman" w:hAnsi="Times New Roman" w:cs="Times New Roman"/>
          <w:sz w:val="24"/>
        </w:rPr>
        <w:t xml:space="preserve"> мониторингом упущенных налоговых расходов.</w:t>
      </w:r>
    </w:p>
    <w:p w:rsidR="00DC382E" w:rsidRDefault="00DC382E" w:rsidP="00DC382E">
      <w:pPr>
        <w:jc w:val="both"/>
        <w:rPr>
          <w:rFonts w:ascii="Times New Roman" w:hAnsi="Times New Roman" w:cs="Times New Roman"/>
          <w:b/>
          <w:sz w:val="24"/>
        </w:rPr>
      </w:pPr>
      <w:r w:rsidRPr="007811F5">
        <w:rPr>
          <w:rFonts w:ascii="Times New Roman" w:hAnsi="Times New Roman" w:cs="Times New Roman"/>
          <w:b/>
          <w:sz w:val="24"/>
        </w:rPr>
        <w:t>Методология</w:t>
      </w:r>
    </w:p>
    <w:p w:rsidR="00DC382E" w:rsidRDefault="00DC382E" w:rsidP="00DC382E">
      <w:pPr>
        <w:jc w:val="both"/>
        <w:rPr>
          <w:rFonts w:ascii="Times New Roman" w:hAnsi="Times New Roman" w:cs="Times New Roman"/>
          <w:sz w:val="24"/>
        </w:rPr>
      </w:pPr>
      <w:r w:rsidRPr="007811F5">
        <w:rPr>
          <w:rFonts w:ascii="Times New Roman" w:hAnsi="Times New Roman" w:cs="Times New Roman"/>
          <w:sz w:val="24"/>
        </w:rPr>
        <w:t>Метод расчета:</w:t>
      </w:r>
    </w:p>
    <w:p w:rsidR="00DC382E" w:rsidRDefault="00DC382E" w:rsidP="00DC382E">
      <w:pPr>
        <w:jc w:val="both"/>
        <w:rPr>
          <w:rFonts w:ascii="Times New Roman" w:hAnsi="Times New Roman" w:cs="Times New Roman"/>
          <w:sz w:val="24"/>
        </w:rPr>
      </w:pPr>
      <w:r>
        <w:rPr>
          <w:rFonts w:ascii="Times New Roman" w:hAnsi="Times New Roman" w:cs="Times New Roman"/>
          <w:sz w:val="24"/>
        </w:rPr>
        <w:t>П</w:t>
      </w:r>
      <w:r w:rsidRPr="007811F5">
        <w:rPr>
          <w:rFonts w:ascii="Times New Roman" w:hAnsi="Times New Roman" w:cs="Times New Roman"/>
          <w:sz w:val="24"/>
        </w:rPr>
        <w:t xml:space="preserve">редлагается, чтобы страны сообщали о категориях субсидий, перечисленных ниже, в качестве </w:t>
      </w:r>
      <w:proofErr w:type="spellStart"/>
      <w:r w:rsidRPr="007811F5">
        <w:rPr>
          <w:rFonts w:ascii="Times New Roman" w:hAnsi="Times New Roman" w:cs="Times New Roman"/>
          <w:sz w:val="24"/>
        </w:rPr>
        <w:t>суб</w:t>
      </w:r>
      <w:proofErr w:type="spellEnd"/>
      <w:r>
        <w:rPr>
          <w:rFonts w:ascii="Times New Roman" w:hAnsi="Times New Roman" w:cs="Times New Roman"/>
          <w:sz w:val="24"/>
        </w:rPr>
        <w:t>-показателей</w:t>
      </w:r>
      <w:r w:rsidRPr="007811F5">
        <w:rPr>
          <w:rFonts w:ascii="Times New Roman" w:hAnsi="Times New Roman" w:cs="Times New Roman"/>
          <w:sz w:val="24"/>
        </w:rPr>
        <w:t>.</w:t>
      </w:r>
    </w:p>
    <w:p w:rsidR="00DC382E" w:rsidRPr="007811F5" w:rsidRDefault="00DC382E" w:rsidP="00DC382E">
      <w:pPr>
        <w:pStyle w:val="a3"/>
        <w:numPr>
          <w:ilvl w:val="0"/>
          <w:numId w:val="4"/>
        </w:numPr>
        <w:jc w:val="both"/>
        <w:rPr>
          <w:rFonts w:ascii="Times New Roman" w:hAnsi="Times New Roman" w:cs="Times New Roman"/>
          <w:sz w:val="24"/>
        </w:rPr>
      </w:pPr>
      <w:r w:rsidRPr="007811F5">
        <w:rPr>
          <w:rFonts w:ascii="Times New Roman" w:hAnsi="Times New Roman" w:cs="Times New Roman"/>
          <w:sz w:val="24"/>
        </w:rPr>
        <w:t xml:space="preserve">Прямые </w:t>
      </w:r>
      <w:r>
        <w:rPr>
          <w:rFonts w:ascii="Times New Roman" w:hAnsi="Times New Roman" w:cs="Times New Roman"/>
          <w:sz w:val="24"/>
        </w:rPr>
        <w:t>трансферты</w:t>
      </w:r>
      <w:r w:rsidRPr="007811F5">
        <w:rPr>
          <w:rFonts w:ascii="Times New Roman" w:hAnsi="Times New Roman" w:cs="Times New Roman"/>
          <w:sz w:val="24"/>
        </w:rPr>
        <w:t>;</w:t>
      </w:r>
    </w:p>
    <w:p w:rsidR="00DC382E" w:rsidRPr="007811F5" w:rsidRDefault="00DC382E" w:rsidP="00DC382E">
      <w:pPr>
        <w:pStyle w:val="a3"/>
        <w:numPr>
          <w:ilvl w:val="0"/>
          <w:numId w:val="4"/>
        </w:numPr>
        <w:jc w:val="both"/>
        <w:rPr>
          <w:rFonts w:ascii="Times New Roman" w:hAnsi="Times New Roman" w:cs="Times New Roman"/>
          <w:sz w:val="24"/>
        </w:rPr>
      </w:pPr>
      <w:r w:rsidRPr="007811F5">
        <w:rPr>
          <w:rFonts w:ascii="Times New Roman" w:hAnsi="Times New Roman" w:cs="Times New Roman"/>
          <w:sz w:val="24"/>
        </w:rPr>
        <w:t xml:space="preserve">Индуцированные </w:t>
      </w:r>
      <w:r>
        <w:rPr>
          <w:rFonts w:ascii="Times New Roman" w:hAnsi="Times New Roman" w:cs="Times New Roman"/>
          <w:sz w:val="24"/>
        </w:rPr>
        <w:t>трансферты</w:t>
      </w:r>
      <w:r w:rsidRPr="007811F5">
        <w:rPr>
          <w:rFonts w:ascii="Times New Roman" w:hAnsi="Times New Roman" w:cs="Times New Roman"/>
          <w:sz w:val="24"/>
        </w:rPr>
        <w:t xml:space="preserve"> (отчетность по регулируемым ценам и расчет общей суммы);</w:t>
      </w:r>
    </w:p>
    <w:p w:rsidR="00DC382E" w:rsidRDefault="00DC382E" w:rsidP="00DC382E">
      <w:pPr>
        <w:pStyle w:val="a3"/>
        <w:numPr>
          <w:ilvl w:val="0"/>
          <w:numId w:val="4"/>
        </w:numPr>
        <w:jc w:val="both"/>
        <w:rPr>
          <w:rFonts w:ascii="Times New Roman" w:hAnsi="Times New Roman" w:cs="Times New Roman"/>
          <w:sz w:val="24"/>
        </w:rPr>
      </w:pPr>
      <w:r w:rsidRPr="007811F5">
        <w:rPr>
          <w:rFonts w:ascii="Times New Roman" w:hAnsi="Times New Roman" w:cs="Times New Roman"/>
          <w:sz w:val="24"/>
        </w:rPr>
        <w:t>Налоговые расходы, другие государственные доходы, которые были упущены и недооценки товаров и услуг, включая риск (необязательно).</w:t>
      </w:r>
    </w:p>
    <w:p w:rsidR="00DC382E" w:rsidRDefault="00DC382E" w:rsidP="00DC382E">
      <w:pPr>
        <w:jc w:val="both"/>
        <w:rPr>
          <w:rFonts w:ascii="Times New Roman" w:hAnsi="Times New Roman" w:cs="Times New Roman"/>
          <w:sz w:val="24"/>
        </w:rPr>
      </w:pPr>
      <w:r w:rsidRPr="007811F5">
        <w:rPr>
          <w:rFonts w:ascii="Times New Roman" w:hAnsi="Times New Roman" w:cs="Times New Roman"/>
          <w:sz w:val="24"/>
        </w:rPr>
        <w:t xml:space="preserve">Последняя категория должна быть включена в качестве дополнительного вспомогательного </w:t>
      </w:r>
      <w:r>
        <w:rPr>
          <w:rFonts w:ascii="Times New Roman" w:hAnsi="Times New Roman" w:cs="Times New Roman"/>
          <w:sz w:val="24"/>
        </w:rPr>
        <w:t>показателя</w:t>
      </w:r>
      <w:r w:rsidRPr="007811F5">
        <w:rPr>
          <w:rFonts w:ascii="Times New Roman" w:hAnsi="Times New Roman" w:cs="Times New Roman"/>
          <w:sz w:val="24"/>
        </w:rPr>
        <w:t xml:space="preserve">. Каждый </w:t>
      </w:r>
      <w:proofErr w:type="spellStart"/>
      <w:r w:rsidRPr="007811F5">
        <w:rPr>
          <w:rFonts w:ascii="Times New Roman" w:hAnsi="Times New Roman" w:cs="Times New Roman"/>
          <w:sz w:val="24"/>
        </w:rPr>
        <w:t>суб</w:t>
      </w:r>
      <w:proofErr w:type="spellEnd"/>
      <w:r>
        <w:rPr>
          <w:rFonts w:ascii="Times New Roman" w:hAnsi="Times New Roman" w:cs="Times New Roman"/>
          <w:sz w:val="24"/>
        </w:rPr>
        <w:t>-показатель</w:t>
      </w:r>
      <w:r w:rsidRPr="007811F5">
        <w:rPr>
          <w:rFonts w:ascii="Times New Roman" w:hAnsi="Times New Roman" w:cs="Times New Roman"/>
          <w:sz w:val="24"/>
        </w:rPr>
        <w:t xml:space="preserve"> должен быть выражен в национальной валюте или долларах США в текущих ценах. Окружающая среда ООН будет использовать рыночные обменные курсы для расчета между национальной валютой и долларом США.</w:t>
      </w:r>
    </w:p>
    <w:p w:rsidR="00DC382E" w:rsidRPr="007811F5" w:rsidRDefault="00DC382E" w:rsidP="00DC382E">
      <w:pPr>
        <w:jc w:val="both"/>
        <w:rPr>
          <w:rFonts w:ascii="Times New Roman" w:hAnsi="Times New Roman" w:cs="Times New Roman"/>
          <w:sz w:val="24"/>
        </w:rPr>
      </w:pPr>
      <w:r w:rsidRPr="007811F5">
        <w:rPr>
          <w:rFonts w:ascii="Times New Roman" w:hAnsi="Times New Roman" w:cs="Times New Roman"/>
          <w:sz w:val="24"/>
        </w:rPr>
        <w:t xml:space="preserve">Следует проявлять осторожность, если та или иная страна выбирает агрегирование по трем </w:t>
      </w:r>
      <w:proofErr w:type="spellStart"/>
      <w:r w:rsidRPr="007811F5">
        <w:rPr>
          <w:rFonts w:ascii="Times New Roman" w:hAnsi="Times New Roman" w:cs="Times New Roman"/>
          <w:sz w:val="24"/>
        </w:rPr>
        <w:t>суб</w:t>
      </w:r>
      <w:proofErr w:type="spellEnd"/>
      <w:r>
        <w:rPr>
          <w:rFonts w:ascii="Times New Roman" w:hAnsi="Times New Roman" w:cs="Times New Roman"/>
          <w:sz w:val="24"/>
        </w:rPr>
        <w:t>-показателям</w:t>
      </w:r>
      <w:r w:rsidRPr="007811F5">
        <w:rPr>
          <w:rFonts w:ascii="Times New Roman" w:hAnsi="Times New Roman" w:cs="Times New Roman"/>
          <w:sz w:val="24"/>
        </w:rPr>
        <w:t xml:space="preserve">, с тем чтобы избежать двойного учета, и все три </w:t>
      </w:r>
      <w:proofErr w:type="spellStart"/>
      <w:r w:rsidRPr="007811F5">
        <w:rPr>
          <w:rFonts w:ascii="Times New Roman" w:hAnsi="Times New Roman" w:cs="Times New Roman"/>
          <w:sz w:val="24"/>
        </w:rPr>
        <w:t>суб</w:t>
      </w:r>
      <w:proofErr w:type="spellEnd"/>
      <w:r>
        <w:rPr>
          <w:rFonts w:ascii="Times New Roman" w:hAnsi="Times New Roman" w:cs="Times New Roman"/>
          <w:sz w:val="24"/>
        </w:rPr>
        <w:t>-показателя</w:t>
      </w:r>
      <w:r w:rsidRPr="007811F5">
        <w:rPr>
          <w:rFonts w:ascii="Times New Roman" w:hAnsi="Times New Roman" w:cs="Times New Roman"/>
          <w:sz w:val="24"/>
        </w:rPr>
        <w:t xml:space="preserve"> должны быть общедоступными для</w:t>
      </w:r>
      <w:r>
        <w:rPr>
          <w:rFonts w:ascii="Times New Roman" w:hAnsi="Times New Roman" w:cs="Times New Roman"/>
          <w:sz w:val="24"/>
        </w:rPr>
        <w:t xml:space="preserve"> обеспечения </w:t>
      </w:r>
      <w:proofErr w:type="spellStart"/>
      <w:r>
        <w:rPr>
          <w:rFonts w:ascii="Times New Roman" w:hAnsi="Times New Roman" w:cs="Times New Roman"/>
          <w:sz w:val="24"/>
        </w:rPr>
        <w:t>транспарентности</w:t>
      </w:r>
      <w:proofErr w:type="spellEnd"/>
      <w:r>
        <w:rPr>
          <w:rFonts w:ascii="Times New Roman" w:hAnsi="Times New Roman" w:cs="Times New Roman"/>
          <w:sz w:val="24"/>
        </w:rPr>
        <w:t xml:space="preserve">. </w:t>
      </w:r>
      <w:r w:rsidRPr="007811F5">
        <w:rPr>
          <w:rFonts w:ascii="Times New Roman" w:hAnsi="Times New Roman" w:cs="Times New Roman"/>
          <w:sz w:val="24"/>
        </w:rPr>
        <w:t xml:space="preserve">Необходимо проявлять осторожность при агрегировании оценок индуцированных </w:t>
      </w:r>
      <w:r>
        <w:rPr>
          <w:rFonts w:ascii="Times New Roman" w:hAnsi="Times New Roman" w:cs="Times New Roman"/>
          <w:sz w:val="24"/>
        </w:rPr>
        <w:t>трансфертов</w:t>
      </w:r>
      <w:r w:rsidRPr="007811F5">
        <w:rPr>
          <w:rFonts w:ascii="Times New Roman" w:hAnsi="Times New Roman" w:cs="Times New Roman"/>
          <w:sz w:val="24"/>
        </w:rPr>
        <w:t xml:space="preserve"> с данными о прямых </w:t>
      </w:r>
      <w:r>
        <w:rPr>
          <w:rFonts w:ascii="Times New Roman" w:hAnsi="Times New Roman" w:cs="Times New Roman"/>
          <w:sz w:val="24"/>
        </w:rPr>
        <w:t>трансферт</w:t>
      </w:r>
      <w:r w:rsidRPr="007811F5">
        <w:rPr>
          <w:rFonts w:ascii="Times New Roman" w:hAnsi="Times New Roman" w:cs="Times New Roman"/>
          <w:sz w:val="24"/>
        </w:rPr>
        <w:t>ах и некоторых мерах по занижению цен на товары и услуги.</w:t>
      </w:r>
    </w:p>
    <w:p w:rsidR="001C7F8F" w:rsidRPr="00810DDD" w:rsidRDefault="00810DDD" w:rsidP="00810DDD">
      <w:pPr>
        <w:jc w:val="both"/>
        <w:rPr>
          <w:rFonts w:ascii="Times New Roman" w:hAnsi="Times New Roman" w:cs="Times New Roman"/>
        </w:rPr>
      </w:pPr>
      <w:r w:rsidRPr="00810DDD">
        <w:rPr>
          <w:rFonts w:ascii="Times New Roman" w:hAnsi="Times New Roman" w:cs="Times New Roman"/>
        </w:rPr>
        <w:t>Оценки субсидий потребителям, наблюдаемых через ценовой разрыв (т. е. поддержку потребительских цен), были рассчитаны несколькими международными организациями (МАБР, МЭА и МВФ), охватывающими различные географические регионы и периоды времени. Три организации, которые производят эти оценки, используют примерно одинаковый подход, который можно суммировать следующим уравнением:</w:t>
      </w:r>
    </w:p>
    <w:p w:rsidR="00810DDD" w:rsidRPr="00810DDD" w:rsidRDefault="00810DDD" w:rsidP="00810DDD">
      <w:pPr>
        <w:jc w:val="both"/>
        <w:rPr>
          <w:rFonts w:ascii="Times New Roman" w:hAnsi="Times New Roman" w:cs="Times New Roman"/>
        </w:rPr>
      </w:pPr>
      <w:r w:rsidRPr="00810DDD">
        <w:rPr>
          <w:rFonts w:ascii="Times New Roman" w:hAnsi="Times New Roman" w:cs="Times New Roman"/>
        </w:rPr>
        <w:t xml:space="preserve">Поддержка потребительских цен = (скорректированная </w:t>
      </w:r>
      <w:r w:rsidR="007D67CE">
        <w:rPr>
          <w:rFonts w:ascii="Times New Roman" w:hAnsi="Times New Roman" w:cs="Times New Roman"/>
        </w:rPr>
        <w:t>базовая</w:t>
      </w:r>
      <w:r w:rsidR="007D67CE" w:rsidRPr="007D67CE">
        <w:rPr>
          <w:rFonts w:ascii="Times New Roman" w:hAnsi="Times New Roman" w:cs="Times New Roman"/>
        </w:rPr>
        <w:t xml:space="preserve"> цена </w:t>
      </w:r>
      <w:r w:rsidR="007D67CE">
        <w:rPr>
          <w:rFonts w:ascii="Times New Roman" w:hAnsi="Times New Roman" w:cs="Times New Roman"/>
        </w:rPr>
        <w:t xml:space="preserve">за единицу </w:t>
      </w:r>
      <w:r w:rsidR="007D67CE" w:rsidRPr="007D67CE">
        <w:rPr>
          <w:rFonts w:ascii="Times New Roman" w:hAnsi="Times New Roman" w:cs="Times New Roman"/>
        </w:rPr>
        <w:t>за вычетом налогов</w:t>
      </w:r>
      <w:r w:rsidR="00A14873">
        <w:rPr>
          <w:rFonts w:ascii="Times New Roman" w:hAnsi="Times New Roman" w:cs="Times New Roman"/>
        </w:rPr>
        <w:t xml:space="preserve"> </w:t>
      </w:r>
      <w:r w:rsidR="007D67CE">
        <w:rPr>
          <w:rFonts w:ascii="Times New Roman" w:hAnsi="Times New Roman" w:cs="Times New Roman"/>
        </w:rPr>
        <w:t>–</w:t>
      </w:r>
      <w:r w:rsidR="007D67CE" w:rsidRPr="007D67CE">
        <w:t xml:space="preserve"> </w:t>
      </w:r>
      <w:r w:rsidR="007D67CE" w:rsidRPr="007D67CE">
        <w:rPr>
          <w:rFonts w:ascii="Times New Roman" w:hAnsi="Times New Roman" w:cs="Times New Roman"/>
        </w:rPr>
        <w:t xml:space="preserve">местная цена за единицу </w:t>
      </w:r>
      <w:r w:rsidR="007D67CE">
        <w:rPr>
          <w:rFonts w:ascii="Times New Roman" w:hAnsi="Times New Roman" w:cs="Times New Roman"/>
        </w:rPr>
        <w:t>за вычетом налогов</w:t>
      </w:r>
      <w:r w:rsidRPr="00810DDD">
        <w:rPr>
          <w:rFonts w:ascii="Times New Roman" w:hAnsi="Times New Roman" w:cs="Times New Roman"/>
        </w:rPr>
        <w:t xml:space="preserve">) </w:t>
      </w:r>
      <w:r w:rsidR="001C7F8F">
        <w:rPr>
          <w:rFonts w:ascii="Times New Roman" w:hAnsi="Times New Roman" w:cs="Times New Roman"/>
        </w:rPr>
        <w:t>*</w:t>
      </w:r>
      <w:r w:rsidRPr="00810DDD">
        <w:rPr>
          <w:rFonts w:ascii="Times New Roman" w:hAnsi="Times New Roman" w:cs="Times New Roman"/>
        </w:rPr>
        <w:t xml:space="preserve"> субсидируемые единицы</w:t>
      </w:r>
    </w:p>
    <w:p w:rsidR="00810DDD" w:rsidRPr="00810DDD" w:rsidRDefault="00810DDD" w:rsidP="00810DDD">
      <w:pPr>
        <w:jc w:val="both"/>
        <w:rPr>
          <w:rFonts w:ascii="Times New Roman" w:hAnsi="Times New Roman" w:cs="Times New Roman"/>
        </w:rPr>
      </w:pPr>
      <w:r w:rsidRPr="00810DDD">
        <w:rPr>
          <w:rFonts w:ascii="Times New Roman" w:hAnsi="Times New Roman" w:cs="Times New Roman"/>
        </w:rPr>
        <w:t xml:space="preserve">Оценки основаны на </w:t>
      </w:r>
      <w:r w:rsidR="00374412" w:rsidRPr="00374412">
        <w:rPr>
          <w:rFonts w:ascii="Times New Roman" w:hAnsi="Times New Roman" w:cs="Times New Roman"/>
        </w:rPr>
        <w:t>справочных</w:t>
      </w:r>
      <w:r w:rsidRPr="00810DDD">
        <w:rPr>
          <w:rFonts w:ascii="Times New Roman" w:hAnsi="Times New Roman" w:cs="Times New Roman"/>
        </w:rPr>
        <w:t xml:space="preserve"> цен</w:t>
      </w:r>
      <w:r w:rsidR="00374412">
        <w:rPr>
          <w:rFonts w:ascii="Times New Roman" w:hAnsi="Times New Roman" w:cs="Times New Roman"/>
        </w:rPr>
        <w:t>ах</w:t>
      </w:r>
      <w:r w:rsidRPr="00810DDD">
        <w:rPr>
          <w:rFonts w:ascii="Times New Roman" w:hAnsi="Times New Roman" w:cs="Times New Roman"/>
        </w:rPr>
        <w:t xml:space="preserve"> </w:t>
      </w:r>
      <w:r w:rsidR="00374412">
        <w:rPr>
          <w:rFonts w:ascii="Times New Roman" w:hAnsi="Times New Roman" w:cs="Times New Roman"/>
        </w:rPr>
        <w:t>о</w:t>
      </w:r>
      <w:r w:rsidR="00374412" w:rsidRPr="00374412">
        <w:rPr>
          <w:rFonts w:ascii="Times New Roman" w:hAnsi="Times New Roman" w:cs="Times New Roman"/>
        </w:rPr>
        <w:t xml:space="preserve"> цен</w:t>
      </w:r>
      <w:r w:rsidR="00374412">
        <w:rPr>
          <w:rFonts w:ascii="Times New Roman" w:hAnsi="Times New Roman" w:cs="Times New Roman"/>
        </w:rPr>
        <w:t>ах</w:t>
      </w:r>
      <w:r w:rsidR="00374412" w:rsidRPr="00374412">
        <w:rPr>
          <w:rFonts w:ascii="Times New Roman" w:hAnsi="Times New Roman" w:cs="Times New Roman"/>
        </w:rPr>
        <w:t xml:space="preserve"> паритета импорта (или экспорта) с использованием цены продукта в ближайшем международном</w:t>
      </w:r>
      <w:r w:rsidR="00374412" w:rsidRPr="00810DDD">
        <w:rPr>
          <w:rFonts w:ascii="Times New Roman" w:hAnsi="Times New Roman" w:cs="Times New Roman"/>
        </w:rPr>
        <w:t xml:space="preserve"> </w:t>
      </w:r>
      <w:r w:rsidRPr="00810DDD">
        <w:rPr>
          <w:rFonts w:ascii="Times New Roman" w:hAnsi="Times New Roman" w:cs="Times New Roman"/>
        </w:rPr>
        <w:t>центр</w:t>
      </w:r>
      <w:r w:rsidR="00374412">
        <w:rPr>
          <w:rFonts w:ascii="Times New Roman" w:hAnsi="Times New Roman" w:cs="Times New Roman"/>
        </w:rPr>
        <w:t>е</w:t>
      </w:r>
      <w:r w:rsidRPr="00810DDD">
        <w:rPr>
          <w:rFonts w:ascii="Times New Roman" w:hAnsi="Times New Roman" w:cs="Times New Roman"/>
        </w:rPr>
        <w:t xml:space="preserve">, с поправкой на различия в качестве при необходимости, плюс (или минус) стоимость фрахта и страхования </w:t>
      </w:r>
      <w:r w:rsidR="00374412" w:rsidRPr="00374412">
        <w:rPr>
          <w:rFonts w:ascii="Times New Roman" w:hAnsi="Times New Roman" w:cs="Times New Roman"/>
        </w:rPr>
        <w:t>для чистого импортера (или обратно к чистым экспортерам)</w:t>
      </w:r>
      <w:r w:rsidRPr="00810DDD">
        <w:rPr>
          <w:rFonts w:ascii="Times New Roman" w:hAnsi="Times New Roman" w:cs="Times New Roman"/>
        </w:rPr>
        <w:t>, плюс стоимость внутреннего распределения и маркетинга, и любой налог на добавленную стоимость (НДС). Для товаров (в основно</w:t>
      </w:r>
      <w:r w:rsidR="007D67CE">
        <w:rPr>
          <w:rFonts w:ascii="Times New Roman" w:hAnsi="Times New Roman" w:cs="Times New Roman"/>
        </w:rPr>
        <w:t>м уголь, нефть и нефтепродукты)</w:t>
      </w:r>
      <w:r w:rsidRPr="00810DDD">
        <w:rPr>
          <w:rFonts w:ascii="Times New Roman" w:hAnsi="Times New Roman" w:cs="Times New Roman"/>
        </w:rPr>
        <w:t xml:space="preserve"> </w:t>
      </w:r>
      <w:proofErr w:type="spellStart"/>
      <w:r w:rsidR="00374412">
        <w:rPr>
          <w:rFonts w:ascii="Times New Roman" w:hAnsi="Times New Roman" w:cs="Times New Roman"/>
        </w:rPr>
        <w:t>ориентировачны</w:t>
      </w:r>
      <w:r w:rsidR="007D67CE">
        <w:rPr>
          <w:rFonts w:ascii="Times New Roman" w:hAnsi="Times New Roman" w:cs="Times New Roman"/>
        </w:rPr>
        <w:t>е</w:t>
      </w:r>
      <w:proofErr w:type="spellEnd"/>
      <w:r w:rsidRPr="00810DDD">
        <w:rPr>
          <w:rFonts w:ascii="Times New Roman" w:hAnsi="Times New Roman" w:cs="Times New Roman"/>
        </w:rPr>
        <w:t xml:space="preserve"> цены основаны на </w:t>
      </w:r>
      <w:proofErr w:type="spellStart"/>
      <w:r w:rsidRPr="00810DDD">
        <w:rPr>
          <w:rFonts w:ascii="Times New Roman" w:hAnsi="Times New Roman" w:cs="Times New Roman"/>
        </w:rPr>
        <w:t>спотовой</w:t>
      </w:r>
      <w:proofErr w:type="spellEnd"/>
      <w:r w:rsidRPr="00810DDD">
        <w:rPr>
          <w:rFonts w:ascii="Times New Roman" w:hAnsi="Times New Roman" w:cs="Times New Roman"/>
        </w:rPr>
        <w:t xml:space="preserve"> цене </w:t>
      </w:r>
      <w:r w:rsidR="00374412">
        <w:rPr>
          <w:rFonts w:ascii="Times New Roman" w:hAnsi="Times New Roman" w:cs="Times New Roman"/>
        </w:rPr>
        <w:t>в</w:t>
      </w:r>
      <w:r w:rsidRPr="00810DDD">
        <w:rPr>
          <w:rFonts w:ascii="Times New Roman" w:hAnsi="Times New Roman" w:cs="Times New Roman"/>
        </w:rPr>
        <w:t xml:space="preserve"> ближайшем международном </w:t>
      </w:r>
      <w:r w:rsidR="00374412">
        <w:rPr>
          <w:rFonts w:ascii="Times New Roman" w:hAnsi="Times New Roman" w:cs="Times New Roman"/>
        </w:rPr>
        <w:t>центре</w:t>
      </w:r>
      <w:r w:rsidRPr="00810DDD">
        <w:rPr>
          <w:rFonts w:ascii="Times New Roman" w:hAnsi="Times New Roman" w:cs="Times New Roman"/>
        </w:rPr>
        <w:t>, например, в США, Северной Европе или Сингапуре.</w:t>
      </w:r>
    </w:p>
    <w:p w:rsidR="00810DDD" w:rsidRPr="00810DDD" w:rsidRDefault="00810DDD" w:rsidP="00810DDD">
      <w:pPr>
        <w:jc w:val="both"/>
        <w:rPr>
          <w:rFonts w:ascii="Times New Roman" w:hAnsi="Times New Roman" w:cs="Times New Roman"/>
          <w:b/>
        </w:rPr>
      </w:pPr>
      <w:proofErr w:type="spellStart"/>
      <w:r w:rsidRPr="00810DDD">
        <w:rPr>
          <w:rFonts w:ascii="Times New Roman" w:hAnsi="Times New Roman" w:cs="Times New Roman"/>
          <w:b/>
        </w:rPr>
        <w:t>Дезагрегация</w:t>
      </w:r>
      <w:proofErr w:type="spellEnd"/>
      <w:r w:rsidRPr="00810DDD">
        <w:rPr>
          <w:rFonts w:ascii="Times New Roman" w:hAnsi="Times New Roman" w:cs="Times New Roman"/>
          <w:b/>
        </w:rPr>
        <w:t>:</w:t>
      </w:r>
    </w:p>
    <w:p w:rsidR="00810DDD" w:rsidRPr="00810DDD" w:rsidRDefault="00810DDD" w:rsidP="00810DDD">
      <w:pPr>
        <w:jc w:val="both"/>
        <w:rPr>
          <w:rFonts w:ascii="Times New Roman" w:hAnsi="Times New Roman" w:cs="Times New Roman"/>
        </w:rPr>
      </w:pPr>
      <w:r w:rsidRPr="00810DDD">
        <w:rPr>
          <w:rFonts w:ascii="Times New Roman" w:hAnsi="Times New Roman" w:cs="Times New Roman"/>
        </w:rPr>
        <w:t xml:space="preserve">В связи с опасностью двойного учета в наборе данных должна содержаться дезагрегированная информация об отдельных мерах субсидирования, которая будет отражаться в качестве </w:t>
      </w:r>
      <w:proofErr w:type="spellStart"/>
      <w:r w:rsidRPr="00810DDD">
        <w:rPr>
          <w:rFonts w:ascii="Times New Roman" w:hAnsi="Times New Roman" w:cs="Times New Roman"/>
        </w:rPr>
        <w:t>суб</w:t>
      </w:r>
      <w:proofErr w:type="spellEnd"/>
      <w:r w:rsidR="00374412">
        <w:rPr>
          <w:rFonts w:ascii="Times New Roman" w:hAnsi="Times New Roman" w:cs="Times New Roman"/>
        </w:rPr>
        <w:t>-показателей</w:t>
      </w:r>
      <w:r w:rsidRPr="00810DDD">
        <w:rPr>
          <w:rFonts w:ascii="Times New Roman" w:hAnsi="Times New Roman" w:cs="Times New Roman"/>
        </w:rPr>
        <w:t xml:space="preserve"> по категориям субсидий.</w:t>
      </w:r>
    </w:p>
    <w:p w:rsidR="00810DDD" w:rsidRDefault="00810DDD" w:rsidP="00810DDD">
      <w:pPr>
        <w:jc w:val="both"/>
        <w:rPr>
          <w:rFonts w:ascii="Times New Roman" w:hAnsi="Times New Roman" w:cs="Times New Roman"/>
          <w:b/>
        </w:rPr>
      </w:pPr>
      <w:r w:rsidRPr="00810DDD">
        <w:rPr>
          <w:rFonts w:ascii="Times New Roman" w:hAnsi="Times New Roman" w:cs="Times New Roman"/>
          <w:b/>
        </w:rPr>
        <w:lastRenderedPageBreak/>
        <w:t>Обработка отсутствующих значений:</w:t>
      </w:r>
    </w:p>
    <w:p w:rsidR="00EE7461" w:rsidRPr="00EE7461" w:rsidRDefault="00EE7461" w:rsidP="00EE7461">
      <w:pPr>
        <w:pStyle w:val="a3"/>
        <w:numPr>
          <w:ilvl w:val="0"/>
          <w:numId w:val="1"/>
        </w:numPr>
        <w:jc w:val="both"/>
        <w:rPr>
          <w:rFonts w:ascii="Times New Roman" w:hAnsi="Times New Roman" w:cs="Times New Roman"/>
          <w:i/>
        </w:rPr>
      </w:pPr>
      <w:r w:rsidRPr="00EE7461">
        <w:rPr>
          <w:rFonts w:ascii="Times New Roman" w:hAnsi="Times New Roman" w:cs="Times New Roman"/>
          <w:i/>
        </w:rPr>
        <w:t xml:space="preserve">На </w:t>
      </w:r>
      <w:proofErr w:type="spellStart"/>
      <w:r w:rsidRPr="00EE7461">
        <w:rPr>
          <w:rFonts w:ascii="Times New Roman" w:hAnsi="Times New Roman" w:cs="Times New Roman"/>
          <w:i/>
        </w:rPr>
        <w:t>страновом</w:t>
      </w:r>
      <w:proofErr w:type="spellEnd"/>
      <w:r w:rsidRPr="00EE7461">
        <w:rPr>
          <w:rFonts w:ascii="Times New Roman" w:hAnsi="Times New Roman" w:cs="Times New Roman"/>
          <w:i/>
        </w:rPr>
        <w:t xml:space="preserve"> уровне</w:t>
      </w:r>
    </w:p>
    <w:p w:rsidR="00EE7461" w:rsidRDefault="00EE7461" w:rsidP="00EE7461">
      <w:pPr>
        <w:jc w:val="both"/>
        <w:rPr>
          <w:rFonts w:ascii="Times New Roman" w:hAnsi="Times New Roman" w:cs="Times New Roman"/>
        </w:rPr>
      </w:pPr>
      <w:r w:rsidRPr="00EE7461">
        <w:rPr>
          <w:rFonts w:ascii="Times New Roman" w:hAnsi="Times New Roman" w:cs="Times New Roman"/>
        </w:rPr>
        <w:t>Отсутствующие значения не вменяются</w:t>
      </w:r>
      <w:r>
        <w:rPr>
          <w:rFonts w:ascii="Times New Roman" w:hAnsi="Times New Roman" w:cs="Times New Roman"/>
        </w:rPr>
        <w:t>.</w:t>
      </w:r>
    </w:p>
    <w:p w:rsidR="00EE7461" w:rsidRDefault="00EE7461" w:rsidP="00EE7461">
      <w:pPr>
        <w:pStyle w:val="a3"/>
        <w:numPr>
          <w:ilvl w:val="0"/>
          <w:numId w:val="1"/>
        </w:numPr>
        <w:jc w:val="both"/>
        <w:rPr>
          <w:rFonts w:ascii="Times New Roman" w:hAnsi="Times New Roman" w:cs="Times New Roman"/>
          <w:i/>
        </w:rPr>
      </w:pPr>
      <w:r w:rsidRPr="00EE7461">
        <w:rPr>
          <w:rFonts w:ascii="Times New Roman" w:hAnsi="Times New Roman" w:cs="Times New Roman"/>
          <w:i/>
        </w:rPr>
        <w:t>На региональном и глобальном уровнях</w:t>
      </w:r>
    </w:p>
    <w:p w:rsidR="00EE7461" w:rsidRDefault="00EE7461" w:rsidP="00EE7461">
      <w:pPr>
        <w:jc w:val="both"/>
        <w:rPr>
          <w:rFonts w:ascii="Times New Roman" w:hAnsi="Times New Roman" w:cs="Times New Roman"/>
        </w:rPr>
      </w:pPr>
      <w:r w:rsidRPr="00EE7461">
        <w:rPr>
          <w:rFonts w:ascii="Times New Roman" w:hAnsi="Times New Roman" w:cs="Times New Roman"/>
        </w:rPr>
        <w:t>Для составления национальных, региональных и глобальных оценок используется метод ценовой разницы.</w:t>
      </w:r>
    </w:p>
    <w:p w:rsidR="00EE7461" w:rsidRDefault="00EE7461" w:rsidP="00EE7461">
      <w:pPr>
        <w:jc w:val="both"/>
        <w:rPr>
          <w:rFonts w:ascii="Times New Roman" w:hAnsi="Times New Roman" w:cs="Times New Roman"/>
        </w:rPr>
      </w:pPr>
      <w:r>
        <w:rPr>
          <w:rFonts w:ascii="Times New Roman" w:hAnsi="Times New Roman" w:cs="Times New Roman"/>
        </w:rPr>
        <w:t>Региональные показатели:</w:t>
      </w:r>
    </w:p>
    <w:p w:rsidR="00EE7461" w:rsidRDefault="001C7F8F" w:rsidP="00EE7461">
      <w:pPr>
        <w:jc w:val="both"/>
        <w:rPr>
          <w:rFonts w:ascii="Times New Roman" w:hAnsi="Times New Roman" w:cs="Times New Roman"/>
        </w:rPr>
      </w:pPr>
      <w:hyperlink r:id="rId6" w:history="1">
        <w:r w:rsidR="00EE7461" w:rsidRPr="00D33AA4">
          <w:rPr>
            <w:rStyle w:val="a4"/>
            <w:rFonts w:ascii="Times New Roman" w:hAnsi="Times New Roman" w:cs="Times New Roman"/>
          </w:rPr>
          <w:t>http://pre-uneplive.unep.org/media/docs/graphs/aggregation_methods.pdf</w:t>
        </w:r>
      </w:hyperlink>
      <w:r w:rsidR="00EE7461" w:rsidRPr="00EE7461">
        <w:rPr>
          <w:rFonts w:ascii="Times New Roman" w:hAnsi="Times New Roman" w:cs="Times New Roman"/>
        </w:rPr>
        <w:t>.</w:t>
      </w:r>
      <w:r w:rsidR="00EE7461">
        <w:rPr>
          <w:rFonts w:ascii="Times New Roman" w:hAnsi="Times New Roman" w:cs="Times New Roman"/>
        </w:rPr>
        <w:t xml:space="preserve"> </w:t>
      </w:r>
    </w:p>
    <w:p w:rsidR="00EE7461" w:rsidRDefault="00EE7461" w:rsidP="00EE7461">
      <w:pPr>
        <w:jc w:val="both"/>
        <w:rPr>
          <w:rFonts w:ascii="Times New Roman" w:hAnsi="Times New Roman" w:cs="Times New Roman"/>
        </w:rPr>
      </w:pPr>
      <w:r>
        <w:rPr>
          <w:rFonts w:ascii="Times New Roman" w:hAnsi="Times New Roman" w:cs="Times New Roman"/>
        </w:rPr>
        <w:t>Источники расхождений:</w:t>
      </w:r>
    </w:p>
    <w:p w:rsidR="00EE7461" w:rsidRDefault="00EE7461" w:rsidP="00EE7461">
      <w:pPr>
        <w:jc w:val="both"/>
        <w:rPr>
          <w:rFonts w:ascii="Times New Roman" w:hAnsi="Times New Roman" w:cs="Times New Roman"/>
        </w:rPr>
      </w:pPr>
      <w:r w:rsidRPr="00EE7461">
        <w:rPr>
          <w:rFonts w:ascii="Times New Roman" w:hAnsi="Times New Roman" w:cs="Times New Roman"/>
        </w:rPr>
        <w:t>Данные на уровне стран и данные о ценовом разрыве приводятся отдельно, поэтому это не должно применяться.</w:t>
      </w:r>
    </w:p>
    <w:p w:rsidR="00EE7461" w:rsidRDefault="00EE7461" w:rsidP="00EE7461">
      <w:pPr>
        <w:jc w:val="both"/>
        <w:rPr>
          <w:rFonts w:ascii="Times New Roman" w:hAnsi="Times New Roman" w:cs="Times New Roman"/>
          <w:b/>
        </w:rPr>
      </w:pPr>
      <w:r w:rsidRPr="00EE7461">
        <w:rPr>
          <w:rFonts w:ascii="Times New Roman" w:hAnsi="Times New Roman" w:cs="Times New Roman"/>
          <w:b/>
        </w:rPr>
        <w:t>Источники данных:</w:t>
      </w:r>
    </w:p>
    <w:p w:rsidR="00EE7461" w:rsidRDefault="00EE7461" w:rsidP="00EE7461">
      <w:pPr>
        <w:jc w:val="both"/>
        <w:rPr>
          <w:rFonts w:ascii="Times New Roman" w:hAnsi="Times New Roman" w:cs="Times New Roman"/>
        </w:rPr>
      </w:pPr>
      <w:r>
        <w:rPr>
          <w:rFonts w:ascii="Times New Roman" w:hAnsi="Times New Roman" w:cs="Times New Roman"/>
        </w:rPr>
        <w:t>Описание:</w:t>
      </w:r>
    </w:p>
    <w:p w:rsidR="00EE7461" w:rsidRDefault="00EE7461" w:rsidP="00EE7461">
      <w:pPr>
        <w:jc w:val="both"/>
        <w:rPr>
          <w:rFonts w:ascii="Times New Roman" w:hAnsi="Times New Roman" w:cs="Times New Roman"/>
        </w:rPr>
      </w:pPr>
      <w:r w:rsidRPr="00EE7461">
        <w:rPr>
          <w:rFonts w:ascii="Times New Roman" w:hAnsi="Times New Roman" w:cs="Times New Roman"/>
        </w:rPr>
        <w:t xml:space="preserve">Прямые трансферты, как правило, отражаются в государственных бюджетах и хорошо документируются в отраслевых министерствах и министерствах финансов </w:t>
      </w:r>
      <w:r w:rsidR="00374412" w:rsidRPr="00EE7461">
        <w:rPr>
          <w:rFonts w:ascii="Times New Roman" w:hAnsi="Times New Roman" w:cs="Times New Roman"/>
        </w:rPr>
        <w:t>если не по видам топлива</w:t>
      </w:r>
      <w:r w:rsidR="00374412">
        <w:rPr>
          <w:rFonts w:ascii="Times New Roman" w:hAnsi="Times New Roman" w:cs="Times New Roman"/>
        </w:rPr>
        <w:t>, то</w:t>
      </w:r>
      <w:r w:rsidR="00374412" w:rsidRPr="00EE7461">
        <w:rPr>
          <w:rFonts w:ascii="Times New Roman" w:hAnsi="Times New Roman" w:cs="Times New Roman"/>
        </w:rPr>
        <w:t xml:space="preserve"> </w:t>
      </w:r>
      <w:r w:rsidR="00374412">
        <w:rPr>
          <w:rFonts w:ascii="Times New Roman" w:hAnsi="Times New Roman" w:cs="Times New Roman"/>
        </w:rPr>
        <w:t>в разбивке по программам</w:t>
      </w:r>
      <w:r w:rsidRPr="00EE7461">
        <w:rPr>
          <w:rFonts w:ascii="Times New Roman" w:hAnsi="Times New Roman" w:cs="Times New Roman"/>
        </w:rPr>
        <w:t xml:space="preserve">. </w:t>
      </w:r>
      <w:proofErr w:type="gramStart"/>
      <w:r w:rsidRPr="00EE7461">
        <w:rPr>
          <w:rFonts w:ascii="Times New Roman" w:hAnsi="Times New Roman" w:cs="Times New Roman"/>
        </w:rPr>
        <w:t xml:space="preserve">Те из них, которые соответствуют определению </w:t>
      </w:r>
      <w:r w:rsidR="00485BED" w:rsidRPr="00EE7461">
        <w:rPr>
          <w:rFonts w:ascii="Times New Roman" w:hAnsi="Times New Roman" w:cs="Times New Roman"/>
        </w:rPr>
        <w:t xml:space="preserve">СНС </w:t>
      </w:r>
      <w:r w:rsidR="00374412">
        <w:rPr>
          <w:rFonts w:ascii="Times New Roman" w:hAnsi="Times New Roman" w:cs="Times New Roman"/>
        </w:rPr>
        <w:t>«</w:t>
      </w:r>
      <w:r w:rsidRPr="00EE7461">
        <w:rPr>
          <w:rFonts w:ascii="Times New Roman" w:hAnsi="Times New Roman" w:cs="Times New Roman"/>
        </w:rPr>
        <w:t>субсидий</w:t>
      </w:r>
      <w:r w:rsidR="00374412">
        <w:rPr>
          <w:rFonts w:ascii="Times New Roman" w:hAnsi="Times New Roman" w:cs="Times New Roman"/>
        </w:rPr>
        <w:t>»</w:t>
      </w:r>
      <w:r w:rsidRPr="00EE7461">
        <w:rPr>
          <w:rFonts w:ascii="Times New Roman" w:hAnsi="Times New Roman" w:cs="Times New Roman"/>
        </w:rPr>
        <w:t>, т. е. субсидий на продукты и других субсидий на производство, также можно найти в системе национальных счетов страны.</w:t>
      </w:r>
      <w:proofErr w:type="gramEnd"/>
      <w:r w:rsidRPr="00EE7461">
        <w:rPr>
          <w:rFonts w:ascii="Times New Roman" w:hAnsi="Times New Roman" w:cs="Times New Roman"/>
        </w:rPr>
        <w:t xml:space="preserve"> Бюджетные документы являются общедоступными для большинства стран.  Однако степень детализации информации по отдельным программам в этих докладах весьма различна. Поддержка корпораций, занимающихся производством или преобразованием энергии, иногда может быть найдена, например, в их ежегодных докладах. В некоторых случаях исследователи могут получить неопубликованные данные непосредственно от государственных энергетических предприятий.</w:t>
      </w:r>
    </w:p>
    <w:p w:rsidR="00EE7461" w:rsidRDefault="00EE7461" w:rsidP="00EE7461">
      <w:pPr>
        <w:jc w:val="both"/>
        <w:rPr>
          <w:rFonts w:ascii="Times New Roman" w:hAnsi="Times New Roman" w:cs="Times New Roman"/>
        </w:rPr>
      </w:pPr>
      <w:r w:rsidRPr="00EE7461">
        <w:rPr>
          <w:rFonts w:ascii="Times New Roman" w:hAnsi="Times New Roman" w:cs="Times New Roman"/>
        </w:rPr>
        <w:t>Индуцированная передача измеряется путем расчета ценовой разницы между ценой производителя или потребителя и базовой ценой и умножения этой разницы на затронутый объем производства или потребления.</w:t>
      </w:r>
    </w:p>
    <w:p w:rsidR="00EE7461" w:rsidRDefault="00EE7461" w:rsidP="00EE7461">
      <w:pPr>
        <w:jc w:val="both"/>
        <w:rPr>
          <w:rFonts w:ascii="Times New Roman" w:hAnsi="Times New Roman" w:cs="Times New Roman"/>
        </w:rPr>
      </w:pPr>
      <w:r w:rsidRPr="00EE7461">
        <w:rPr>
          <w:rFonts w:ascii="Times New Roman" w:hAnsi="Times New Roman" w:cs="Times New Roman"/>
        </w:rPr>
        <w:t>Измерение стоимости специальных характеристик, вводимых в Налоговый кодекс в интересах определенных отраслей или видов деятельности этих отраслей (например, инвестиции в производственный капитал), может быть сложной задачей. Некоторые страны уже делают это и сообщают годовую стоимость этих налоговых показателей в своих периодических отчетах о налоговых расходах. В тех случаях, когда это не так, аналитик должен построить модель и оценить разницу в доходах, которые будут причитаться правительству в базовых условиях и с учетом особенностей налогообложения.</w:t>
      </w:r>
    </w:p>
    <w:p w:rsidR="00EE7461" w:rsidRDefault="00EE7461" w:rsidP="00EE7461">
      <w:pPr>
        <w:jc w:val="both"/>
        <w:rPr>
          <w:rFonts w:ascii="Times New Roman" w:hAnsi="Times New Roman" w:cs="Times New Roman"/>
        </w:rPr>
      </w:pPr>
      <w:r w:rsidRPr="00EE7461">
        <w:rPr>
          <w:rFonts w:ascii="Times New Roman" w:hAnsi="Times New Roman" w:cs="Times New Roman"/>
        </w:rPr>
        <w:t>Субсидии на ископаемые виды топлива должны контролироваться на ежегодной основе.</w:t>
      </w:r>
    </w:p>
    <w:p w:rsidR="00EE7461" w:rsidRDefault="00EE7461" w:rsidP="00EE7461">
      <w:pPr>
        <w:jc w:val="both"/>
        <w:rPr>
          <w:rFonts w:ascii="Times New Roman" w:hAnsi="Times New Roman" w:cs="Times New Roman"/>
        </w:rPr>
      </w:pPr>
      <w:r>
        <w:rPr>
          <w:rFonts w:ascii="Times New Roman" w:hAnsi="Times New Roman" w:cs="Times New Roman"/>
        </w:rPr>
        <w:t>Процесс сбора:</w:t>
      </w:r>
    </w:p>
    <w:p w:rsidR="00EE7461" w:rsidRDefault="00EE7461" w:rsidP="00EE7461">
      <w:pPr>
        <w:jc w:val="both"/>
        <w:rPr>
          <w:rFonts w:ascii="Times New Roman" w:hAnsi="Times New Roman" w:cs="Times New Roman"/>
        </w:rPr>
      </w:pPr>
      <w:r w:rsidRPr="00EE7461">
        <w:rPr>
          <w:rFonts w:ascii="Times New Roman" w:hAnsi="Times New Roman" w:cs="Times New Roman"/>
        </w:rPr>
        <w:t>Данные будут собираться окружающей средой ООН посредством электронной отчетности, разрабатываемой окружающей средой ООН.</w:t>
      </w:r>
    </w:p>
    <w:p w:rsidR="00E81F2F" w:rsidRDefault="00E81F2F" w:rsidP="00EE7461">
      <w:pPr>
        <w:jc w:val="both"/>
        <w:rPr>
          <w:rFonts w:ascii="Times New Roman" w:hAnsi="Times New Roman" w:cs="Times New Roman"/>
        </w:rPr>
      </w:pPr>
    </w:p>
    <w:p w:rsidR="00E81F2F" w:rsidRDefault="00E81F2F" w:rsidP="00EE7461">
      <w:pPr>
        <w:jc w:val="both"/>
        <w:rPr>
          <w:rFonts w:ascii="Times New Roman" w:hAnsi="Times New Roman" w:cs="Times New Roman"/>
        </w:rPr>
      </w:pPr>
      <w:bookmarkStart w:id="0" w:name="_GoBack"/>
      <w:bookmarkEnd w:id="0"/>
    </w:p>
    <w:p w:rsidR="00EE7461" w:rsidRPr="00EE7461" w:rsidRDefault="00EE7461" w:rsidP="00EE7461">
      <w:pPr>
        <w:jc w:val="both"/>
        <w:rPr>
          <w:rFonts w:ascii="Times New Roman" w:hAnsi="Times New Roman" w:cs="Times New Roman"/>
          <w:b/>
        </w:rPr>
      </w:pPr>
      <w:r w:rsidRPr="00EE7461">
        <w:rPr>
          <w:rFonts w:ascii="Times New Roman" w:hAnsi="Times New Roman" w:cs="Times New Roman"/>
          <w:b/>
        </w:rPr>
        <w:lastRenderedPageBreak/>
        <w:t>Доступность данных:</w:t>
      </w:r>
    </w:p>
    <w:p w:rsidR="00EE7461" w:rsidRDefault="00EE7461" w:rsidP="00EE7461">
      <w:pPr>
        <w:jc w:val="both"/>
        <w:rPr>
          <w:rFonts w:ascii="Times New Roman" w:hAnsi="Times New Roman" w:cs="Times New Roman"/>
        </w:rPr>
      </w:pPr>
      <w:r>
        <w:rPr>
          <w:rFonts w:ascii="Times New Roman" w:hAnsi="Times New Roman" w:cs="Times New Roman"/>
        </w:rPr>
        <w:t>Описание:</w:t>
      </w:r>
    </w:p>
    <w:p w:rsidR="00EE7461" w:rsidRDefault="00EE7461" w:rsidP="00EE7461">
      <w:pPr>
        <w:jc w:val="both"/>
        <w:rPr>
          <w:rFonts w:ascii="Times New Roman" w:hAnsi="Times New Roman" w:cs="Times New Roman"/>
        </w:rPr>
      </w:pPr>
      <w:r w:rsidRPr="00EE7461">
        <w:rPr>
          <w:rFonts w:ascii="Times New Roman" w:hAnsi="Times New Roman" w:cs="Times New Roman"/>
        </w:rPr>
        <w:t xml:space="preserve">Первоначальная оценка исходных данных о наличии данных </w:t>
      </w:r>
      <w:proofErr w:type="gramStart"/>
      <w:r w:rsidRPr="00EE7461">
        <w:rPr>
          <w:rFonts w:ascii="Times New Roman" w:hAnsi="Times New Roman" w:cs="Times New Roman"/>
        </w:rPr>
        <w:t>свидетельствует</w:t>
      </w:r>
      <w:proofErr w:type="gramEnd"/>
      <w:r w:rsidRPr="00EE7461">
        <w:rPr>
          <w:rFonts w:ascii="Times New Roman" w:hAnsi="Times New Roman" w:cs="Times New Roman"/>
        </w:rPr>
        <w:t xml:space="preserve"> о том, что в 99 странах имеются данные, которые могут быть использованы для оценки ископаемых видов топлива в результате прямой передачи, и многие из этих стран также располагают информацией об упущенных налоговых поступлениях. Данные по индуцированным трансфертам с использованием подхода ценовой разницы имеются по всем государствам-членам ООН.</w:t>
      </w:r>
    </w:p>
    <w:p w:rsidR="00EE7461" w:rsidRDefault="00EE7461" w:rsidP="00EE7461">
      <w:pPr>
        <w:jc w:val="both"/>
        <w:rPr>
          <w:rFonts w:ascii="Times New Roman" w:hAnsi="Times New Roman" w:cs="Times New Roman"/>
        </w:rPr>
      </w:pPr>
      <w:r>
        <w:rPr>
          <w:rFonts w:ascii="Times New Roman" w:hAnsi="Times New Roman" w:cs="Times New Roman"/>
        </w:rPr>
        <w:t>Временные ряды:</w:t>
      </w:r>
    </w:p>
    <w:p w:rsidR="00EE7461" w:rsidRDefault="00EE7461" w:rsidP="00EE7461">
      <w:pPr>
        <w:jc w:val="both"/>
        <w:rPr>
          <w:rFonts w:ascii="Times New Roman" w:hAnsi="Times New Roman" w:cs="Times New Roman"/>
        </w:rPr>
      </w:pPr>
      <w:r w:rsidRPr="00EE7461">
        <w:rPr>
          <w:rFonts w:ascii="Times New Roman" w:hAnsi="Times New Roman" w:cs="Times New Roman"/>
        </w:rPr>
        <w:t>Отчетность по этому показателю будет следовать годовому циклу, а первоначальная отчетность по индуцированным трансфертам начнется в 2018 году. Данные о прямых трансфертах и упущенных налоговых поступлениях будут готовы к 2020 году.</w:t>
      </w:r>
    </w:p>
    <w:p w:rsidR="00EE7461" w:rsidRDefault="00EE7461" w:rsidP="00EE7461">
      <w:pPr>
        <w:jc w:val="both"/>
        <w:rPr>
          <w:rFonts w:ascii="Times New Roman" w:hAnsi="Times New Roman" w:cs="Times New Roman"/>
          <w:b/>
        </w:rPr>
      </w:pPr>
      <w:r w:rsidRPr="00EE7461">
        <w:rPr>
          <w:rFonts w:ascii="Times New Roman" w:hAnsi="Times New Roman" w:cs="Times New Roman"/>
          <w:b/>
        </w:rPr>
        <w:t>Календарь:</w:t>
      </w:r>
    </w:p>
    <w:p w:rsidR="00EE7461" w:rsidRDefault="00EE7461" w:rsidP="00EE7461">
      <w:pPr>
        <w:jc w:val="both"/>
        <w:rPr>
          <w:rFonts w:ascii="Times New Roman" w:hAnsi="Times New Roman" w:cs="Times New Roman"/>
        </w:rPr>
      </w:pPr>
      <w:r>
        <w:rPr>
          <w:rFonts w:ascii="Times New Roman" w:hAnsi="Times New Roman" w:cs="Times New Roman"/>
        </w:rPr>
        <w:t>Сбор данных:</w:t>
      </w:r>
    </w:p>
    <w:p w:rsidR="00EE7461" w:rsidRDefault="00EE7461" w:rsidP="00EE7461">
      <w:pPr>
        <w:jc w:val="both"/>
        <w:rPr>
          <w:rFonts w:ascii="Times New Roman" w:hAnsi="Times New Roman" w:cs="Times New Roman"/>
        </w:rPr>
      </w:pPr>
      <w:r w:rsidRPr="00EE7461">
        <w:rPr>
          <w:rFonts w:ascii="Times New Roman" w:hAnsi="Times New Roman" w:cs="Times New Roman"/>
        </w:rPr>
        <w:t>Годовой отчет по индуцированным трансфертам, начиная с 2018 года. Данные о прямых трансфертах и упущенных налоговых поступлениях будут готовы к 2020 году.</w:t>
      </w:r>
    </w:p>
    <w:p w:rsidR="00EE7461" w:rsidRDefault="00EE7461" w:rsidP="00EE7461">
      <w:pPr>
        <w:jc w:val="both"/>
        <w:rPr>
          <w:rFonts w:ascii="Times New Roman" w:hAnsi="Times New Roman" w:cs="Times New Roman"/>
        </w:rPr>
      </w:pPr>
      <w:r>
        <w:rPr>
          <w:rFonts w:ascii="Times New Roman" w:hAnsi="Times New Roman" w:cs="Times New Roman"/>
        </w:rPr>
        <w:t>Выпуск данных:</w:t>
      </w:r>
    </w:p>
    <w:p w:rsidR="00EE7461" w:rsidRDefault="00EE7461" w:rsidP="00EE7461">
      <w:pPr>
        <w:jc w:val="both"/>
        <w:rPr>
          <w:rFonts w:ascii="Times New Roman" w:hAnsi="Times New Roman" w:cs="Times New Roman"/>
        </w:rPr>
      </w:pPr>
      <w:r>
        <w:rPr>
          <w:rFonts w:ascii="Times New Roman" w:hAnsi="Times New Roman" w:cs="Times New Roman"/>
        </w:rPr>
        <w:t>Ежегодный.</w:t>
      </w:r>
    </w:p>
    <w:p w:rsidR="00EE7461" w:rsidRPr="00EE7461" w:rsidRDefault="00EE7461" w:rsidP="00EE7461">
      <w:pPr>
        <w:jc w:val="both"/>
        <w:rPr>
          <w:rFonts w:ascii="Times New Roman" w:hAnsi="Times New Roman" w:cs="Times New Roman"/>
          <w:b/>
        </w:rPr>
      </w:pPr>
      <w:r w:rsidRPr="00EE7461">
        <w:rPr>
          <w:rFonts w:ascii="Times New Roman" w:hAnsi="Times New Roman" w:cs="Times New Roman"/>
          <w:b/>
        </w:rPr>
        <w:t>Поставщики данных:</w:t>
      </w:r>
    </w:p>
    <w:p w:rsidR="00EE7461" w:rsidRPr="00EE7461" w:rsidRDefault="00EE7461" w:rsidP="00EE7461">
      <w:pPr>
        <w:jc w:val="both"/>
        <w:rPr>
          <w:rFonts w:ascii="Times New Roman" w:hAnsi="Times New Roman" w:cs="Times New Roman"/>
        </w:rPr>
      </w:pPr>
      <w:r w:rsidRPr="00EE7461">
        <w:rPr>
          <w:rFonts w:ascii="Times New Roman" w:hAnsi="Times New Roman" w:cs="Times New Roman"/>
        </w:rPr>
        <w:t>1. Национальные координационные центры национальных статистических систем.</w:t>
      </w:r>
    </w:p>
    <w:p w:rsidR="00EE7461" w:rsidRPr="00EE7461" w:rsidRDefault="00EE7461" w:rsidP="00EE7461">
      <w:pPr>
        <w:jc w:val="both"/>
        <w:rPr>
          <w:rFonts w:ascii="Times New Roman" w:hAnsi="Times New Roman" w:cs="Times New Roman"/>
        </w:rPr>
      </w:pPr>
      <w:r>
        <w:rPr>
          <w:rFonts w:ascii="Times New Roman" w:hAnsi="Times New Roman" w:cs="Times New Roman"/>
        </w:rPr>
        <w:t xml:space="preserve">2. </w:t>
      </w:r>
      <w:r w:rsidRPr="00EE7461">
        <w:rPr>
          <w:rFonts w:ascii="Times New Roman" w:hAnsi="Times New Roman" w:cs="Times New Roman"/>
        </w:rPr>
        <w:t>ОЭСР</w:t>
      </w:r>
    </w:p>
    <w:p w:rsidR="00EE7461" w:rsidRDefault="00EE7461" w:rsidP="00EE7461">
      <w:pPr>
        <w:jc w:val="both"/>
        <w:rPr>
          <w:rFonts w:ascii="Times New Roman" w:hAnsi="Times New Roman" w:cs="Times New Roman"/>
        </w:rPr>
      </w:pPr>
      <w:r w:rsidRPr="00EE7461">
        <w:rPr>
          <w:rFonts w:ascii="Times New Roman" w:hAnsi="Times New Roman" w:cs="Times New Roman"/>
        </w:rPr>
        <w:t>3. МВФ и МЭА</w:t>
      </w:r>
    </w:p>
    <w:p w:rsidR="00EE7461" w:rsidRDefault="00EE7461" w:rsidP="00EE7461">
      <w:pPr>
        <w:jc w:val="both"/>
        <w:rPr>
          <w:rFonts w:ascii="Times New Roman" w:hAnsi="Times New Roman" w:cs="Times New Roman"/>
          <w:b/>
        </w:rPr>
      </w:pPr>
      <w:r w:rsidRPr="00EE7461">
        <w:rPr>
          <w:rFonts w:ascii="Times New Roman" w:hAnsi="Times New Roman" w:cs="Times New Roman"/>
          <w:b/>
        </w:rPr>
        <w:t>Составители данных:</w:t>
      </w:r>
    </w:p>
    <w:p w:rsidR="00EE7461" w:rsidRPr="00EE7461" w:rsidRDefault="00EE7461" w:rsidP="00EE7461">
      <w:pPr>
        <w:pStyle w:val="a3"/>
        <w:numPr>
          <w:ilvl w:val="0"/>
          <w:numId w:val="2"/>
        </w:numPr>
        <w:jc w:val="both"/>
        <w:rPr>
          <w:rFonts w:ascii="Times New Roman" w:hAnsi="Times New Roman" w:cs="Times New Roman"/>
        </w:rPr>
      </w:pPr>
      <w:r w:rsidRPr="00EE7461">
        <w:rPr>
          <w:rFonts w:ascii="Times New Roman" w:hAnsi="Times New Roman" w:cs="Times New Roman"/>
        </w:rPr>
        <w:t>ООН по окружающей среде (программа Организации Объединенных Наций по окружающей среде)</w:t>
      </w:r>
    </w:p>
    <w:p w:rsidR="00EE7461" w:rsidRPr="007D67CE" w:rsidRDefault="00EE7461" w:rsidP="00EE7461">
      <w:pPr>
        <w:jc w:val="both"/>
        <w:rPr>
          <w:rFonts w:ascii="Times New Roman" w:hAnsi="Times New Roman" w:cs="Times New Roman"/>
          <w:b/>
          <w:lang w:val="en-US"/>
        </w:rPr>
      </w:pPr>
      <w:r w:rsidRPr="00EE7461">
        <w:rPr>
          <w:rFonts w:ascii="Times New Roman" w:hAnsi="Times New Roman" w:cs="Times New Roman"/>
          <w:b/>
        </w:rPr>
        <w:t>Ссылки</w:t>
      </w:r>
      <w:r w:rsidRPr="007D67CE">
        <w:rPr>
          <w:rFonts w:ascii="Times New Roman" w:hAnsi="Times New Roman" w:cs="Times New Roman"/>
          <w:b/>
          <w:lang w:val="en-US"/>
        </w:rPr>
        <w:t>:</w:t>
      </w:r>
    </w:p>
    <w:p w:rsidR="00EE7461" w:rsidRPr="001C7F8F" w:rsidRDefault="00EE7461" w:rsidP="00EE7461">
      <w:pPr>
        <w:widowControl w:val="0"/>
        <w:autoSpaceDE w:val="0"/>
        <w:autoSpaceDN w:val="0"/>
        <w:adjustRightInd w:val="0"/>
        <w:spacing w:line="240" w:lineRule="auto"/>
        <w:ind w:left="480" w:hanging="480"/>
        <w:rPr>
          <w:rFonts w:ascii="Times New Roman" w:hAnsi="Times New Roman" w:cs="Times New Roman"/>
          <w:lang w:val="en-US"/>
        </w:rPr>
      </w:pPr>
      <w:proofErr w:type="gramStart"/>
      <w:r w:rsidRPr="001C7F8F">
        <w:rPr>
          <w:rFonts w:ascii="Times New Roman" w:hAnsi="Times New Roman" w:cs="Times New Roman"/>
          <w:lang w:val="en-US"/>
        </w:rPr>
        <w:t>IEA.</w:t>
      </w:r>
      <w:proofErr w:type="gramEnd"/>
      <w:r w:rsidRPr="001C7F8F">
        <w:rPr>
          <w:rFonts w:ascii="Times New Roman" w:hAnsi="Times New Roman" w:cs="Times New Roman"/>
          <w:lang w:val="en-US"/>
        </w:rPr>
        <w:t xml:space="preserve"> </w:t>
      </w:r>
      <w:proofErr w:type="gramStart"/>
      <w:r w:rsidRPr="001C7F8F">
        <w:rPr>
          <w:rFonts w:ascii="Times New Roman" w:hAnsi="Times New Roman" w:cs="Times New Roman"/>
          <w:lang w:val="en-US"/>
        </w:rPr>
        <w:t>(2005). Energy Statistics–Manual.</w:t>
      </w:r>
      <w:proofErr w:type="gramEnd"/>
      <w:r w:rsidRPr="001C7F8F">
        <w:rPr>
          <w:rFonts w:ascii="Times New Roman" w:hAnsi="Times New Roman" w:cs="Times New Roman"/>
          <w:lang w:val="en-US"/>
        </w:rPr>
        <w:t xml:space="preserve"> </w:t>
      </w:r>
      <w:proofErr w:type="gramStart"/>
      <w:r w:rsidRPr="001C7F8F">
        <w:rPr>
          <w:rFonts w:ascii="Times New Roman" w:hAnsi="Times New Roman" w:cs="Times New Roman"/>
          <w:lang w:val="en-US"/>
        </w:rPr>
        <w:t>International Energy Agency, Paris, France.</w:t>
      </w:r>
      <w:proofErr w:type="gramEnd"/>
      <w:r w:rsidRPr="001C7F8F">
        <w:rPr>
          <w:rFonts w:ascii="Times New Roman" w:hAnsi="Times New Roman" w:cs="Times New Roman"/>
          <w:lang w:val="en-US"/>
        </w:rPr>
        <w:t xml:space="preserve"> Paris. https://doi.org/10.1787/9789264033986-en</w:t>
      </w:r>
    </w:p>
    <w:p w:rsidR="00EE7461" w:rsidRPr="00485BED" w:rsidRDefault="00EE7461" w:rsidP="00EE7461">
      <w:pPr>
        <w:widowControl w:val="0"/>
        <w:autoSpaceDE w:val="0"/>
        <w:autoSpaceDN w:val="0"/>
        <w:adjustRightInd w:val="0"/>
        <w:spacing w:line="240" w:lineRule="auto"/>
        <w:ind w:left="480" w:hanging="480"/>
        <w:rPr>
          <w:rFonts w:ascii="Times New Roman" w:hAnsi="Times New Roman" w:cs="Times New Roman"/>
        </w:rPr>
      </w:pPr>
      <w:proofErr w:type="gramStart"/>
      <w:r w:rsidRPr="001C7F8F">
        <w:rPr>
          <w:rFonts w:ascii="Times New Roman" w:hAnsi="Times New Roman" w:cs="Times New Roman"/>
          <w:lang w:val="en-US"/>
        </w:rPr>
        <w:t>OECD.</w:t>
      </w:r>
      <w:proofErr w:type="gramEnd"/>
      <w:r w:rsidRPr="001C7F8F">
        <w:rPr>
          <w:rFonts w:ascii="Times New Roman" w:hAnsi="Times New Roman" w:cs="Times New Roman"/>
          <w:lang w:val="en-US"/>
        </w:rPr>
        <w:t xml:space="preserve"> (2015). OECD Companion to the Inventory of Support Measures for Fossil Fuels 2015. </w:t>
      </w:r>
      <w:proofErr w:type="spellStart"/>
      <w:r w:rsidRPr="00485BED">
        <w:rPr>
          <w:rFonts w:ascii="Times New Roman" w:hAnsi="Times New Roman" w:cs="Times New Roman"/>
        </w:rPr>
        <w:t>Paris</w:t>
      </w:r>
      <w:proofErr w:type="spellEnd"/>
      <w:r w:rsidRPr="00485BED">
        <w:rPr>
          <w:rFonts w:ascii="Times New Roman" w:hAnsi="Times New Roman" w:cs="Times New Roman"/>
        </w:rPr>
        <w:t>.</w:t>
      </w:r>
    </w:p>
    <w:p w:rsidR="00EE7461" w:rsidRPr="00EE7461" w:rsidRDefault="00EE7461" w:rsidP="00EE7461">
      <w:pPr>
        <w:jc w:val="both"/>
        <w:rPr>
          <w:rFonts w:ascii="Times New Roman" w:hAnsi="Times New Roman" w:cs="Times New Roman"/>
        </w:rPr>
      </w:pPr>
    </w:p>
    <w:sectPr w:rsidR="00EE7461" w:rsidRPr="00EE7461" w:rsidSect="00E81F2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26478"/>
    <w:multiLevelType w:val="hybridMultilevel"/>
    <w:tmpl w:val="41FAA274"/>
    <w:lvl w:ilvl="0" w:tplc="FB2683A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254397"/>
    <w:multiLevelType w:val="hybridMultilevel"/>
    <w:tmpl w:val="CC86B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B163A1"/>
    <w:multiLevelType w:val="hybridMultilevel"/>
    <w:tmpl w:val="E7AE7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44138"/>
    <w:multiLevelType w:val="hybridMultilevel"/>
    <w:tmpl w:val="392CD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2ED"/>
    <w:rsid w:val="001C7F8F"/>
    <w:rsid w:val="00374412"/>
    <w:rsid w:val="00485BED"/>
    <w:rsid w:val="005E16C1"/>
    <w:rsid w:val="007D67CE"/>
    <w:rsid w:val="00810DDD"/>
    <w:rsid w:val="00A14873"/>
    <w:rsid w:val="00A34C85"/>
    <w:rsid w:val="00DC382E"/>
    <w:rsid w:val="00E81F2F"/>
    <w:rsid w:val="00EE7461"/>
    <w:rsid w:val="00EF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461"/>
    <w:pPr>
      <w:ind w:left="720"/>
      <w:contextualSpacing/>
    </w:pPr>
  </w:style>
  <w:style w:type="character" w:styleId="a4">
    <w:name w:val="Hyperlink"/>
    <w:basedOn w:val="a0"/>
    <w:uiPriority w:val="99"/>
    <w:unhideWhenUsed/>
    <w:rsid w:val="00EE7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461"/>
    <w:pPr>
      <w:ind w:left="720"/>
      <w:contextualSpacing/>
    </w:pPr>
  </w:style>
  <w:style w:type="character" w:styleId="a4">
    <w:name w:val="Hyperlink"/>
    <w:basedOn w:val="a0"/>
    <w:uiPriority w:val="99"/>
    <w:unhideWhenUsed/>
    <w:rsid w:val="00EE7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uneplive.unep.org/media/docs/graphs/aggregation_method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Павлова Ксения Сергеевна</cp:lastModifiedBy>
  <cp:revision>5</cp:revision>
  <dcterms:created xsi:type="dcterms:W3CDTF">2018-07-11T12:57:00Z</dcterms:created>
  <dcterms:modified xsi:type="dcterms:W3CDTF">2018-10-30T09:43:00Z</dcterms:modified>
</cp:coreProperties>
</file>