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/>
          <w:szCs w:val="24"/>
          <w:bdr w:val="nil"/>
          <w:lang w:eastAsia="ru-RU"/>
        </w:rPr>
        <w:t xml:space="preserve">Цель </w:t>
      </w:r>
      <w:r w:rsidR="00D53394">
        <w:rPr>
          <w:rFonts w:eastAsia="Arial Unicode MS"/>
          <w:szCs w:val="24"/>
          <w:bdr w:val="nil"/>
          <w:lang w:eastAsia="ru-RU"/>
        </w:rPr>
        <w:t>15</w:t>
      </w:r>
      <w:r w:rsidR="00780F08" w:rsidRPr="00BD29EC">
        <w:rPr>
          <w:rFonts w:eastAsia="Arial Unicode MS"/>
          <w:szCs w:val="24"/>
          <w:bdr w:val="nil"/>
          <w:lang w:eastAsia="ru-RU"/>
        </w:rPr>
        <w:t xml:space="preserve">: </w:t>
      </w:r>
      <w:r w:rsidR="00D53394">
        <w:t>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/>
          <w:b/>
          <w:szCs w:val="24"/>
          <w:bdr w:val="nil"/>
          <w:lang w:eastAsia="ru-RU"/>
        </w:rPr>
        <w:t>. Задача</w:t>
      </w:r>
    </w:p>
    <w:p w:rsidR="00781DE7" w:rsidRDefault="00D53394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>
        <w:rPr>
          <w:szCs w:val="24"/>
        </w:rPr>
        <w:t>15</w:t>
      </w:r>
      <w:r w:rsidR="00780F08" w:rsidRPr="00BD29EC">
        <w:rPr>
          <w:szCs w:val="24"/>
        </w:rPr>
        <w:t>.</w:t>
      </w:r>
      <w:r>
        <w:rPr>
          <w:szCs w:val="24"/>
        </w:rPr>
        <w:t>9</w:t>
      </w:r>
      <w:r w:rsidR="00780F08" w:rsidRPr="00BD29EC">
        <w:rPr>
          <w:szCs w:val="24"/>
        </w:rPr>
        <w:t xml:space="preserve">.  </w:t>
      </w:r>
      <w:r>
        <w:t>К 2020 году обеспечить учет ценности экосистем и биологического разнообразия в ходе общенационального и местного планирования и процессов развития, а также при разработке стратегий и планов сокращения масштабов бедности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D53394">
      <w:pPr>
        <w:rPr>
          <w:szCs w:val="24"/>
        </w:rPr>
      </w:pPr>
      <w:r w:rsidRPr="00BD29EC">
        <w:rPr>
          <w:szCs w:val="24"/>
        </w:rPr>
        <w:t xml:space="preserve">Показатель </w:t>
      </w:r>
      <w:r w:rsidR="00D53394">
        <w:rPr>
          <w:szCs w:val="24"/>
        </w:rPr>
        <w:t>15</w:t>
      </w:r>
      <w:r w:rsidR="00780F08" w:rsidRPr="00BD29EC">
        <w:rPr>
          <w:szCs w:val="24"/>
        </w:rPr>
        <w:t>.</w:t>
      </w:r>
      <w:r w:rsidR="00D53394">
        <w:rPr>
          <w:szCs w:val="24"/>
        </w:rPr>
        <w:t>9</w:t>
      </w:r>
      <w:r w:rsidR="002064C4">
        <w:rPr>
          <w:szCs w:val="24"/>
        </w:rPr>
        <w:t>.</w:t>
      </w:r>
      <w:r w:rsidR="00C95AB2">
        <w:rPr>
          <w:szCs w:val="24"/>
        </w:rPr>
        <w:t>1.</w:t>
      </w:r>
      <w:r w:rsidR="00D53394">
        <w:rPr>
          <w:shd w:val="clear" w:color="auto" w:fill="FFFFFF"/>
        </w:rPr>
        <w:t>a) Число стран, установивших в своей национальной стратегии и плане действий в области биоразнообразия национальные целевые показатели в соответствии с Айтинской целевой задачей 2 по биоразнообразию в рамках Стратегического плана по биоразнообразию на 2011–2020 годы или аналогичные и отслеживающие ход достижения таких целевых показателей; b) интеграция биоразнообразия в национальные системы учета и отчетности, относимая к внедрению Системы эколого-экономического учет</w:t>
      </w:r>
      <w:r w:rsidR="00CD44A7">
        <w:rPr>
          <w:shd w:val="clear" w:color="auto" w:fill="FFFFFF"/>
        </w:rPr>
        <w:t>а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/>
          <w:b/>
          <w:szCs w:val="24"/>
          <w:bdr w:val="nil"/>
          <w:lang w:eastAsia="ru-RU"/>
        </w:rPr>
        <w:t>Ряд</w:t>
      </w:r>
    </w:p>
    <w:p w:rsidR="003A325C" w:rsidRDefault="00D53394" w:rsidP="00D53394">
      <w:r>
        <w:t>Не применимо.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/>
          <w:b/>
          <w:szCs w:val="24"/>
          <w:bdr w:val="nil"/>
          <w:lang w:eastAsia="ru-RU"/>
        </w:rPr>
        <w:t xml:space="preserve">. Обновление данных </w:t>
      </w:r>
    </w:p>
    <w:p w:rsidR="00D53394" w:rsidRDefault="00D53394" w:rsidP="00D53394">
      <w:r>
        <w:t>2021-07-01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DA19D7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/>
          <w:b/>
          <w:szCs w:val="24"/>
          <w:bdr w:val="nil"/>
          <w:lang w:eastAsia="ru-RU"/>
        </w:rPr>
        <w:t>Связанныепоказатели</w:t>
      </w:r>
    </w:p>
    <w:p w:rsidR="00D53394" w:rsidRDefault="00D53394" w:rsidP="00D53394">
      <w:r>
        <w:t>15.a.1, 15.b.1 – Эти показатели</w:t>
      </w:r>
      <w:r w:rsidRPr="00D53394">
        <w:t xml:space="preserve"> связаны с финансированием биоразнообразия и сохранения, что связано с </w:t>
      </w:r>
      <w:r w:rsidR="007E55ED">
        <w:t>показателем</w:t>
      </w:r>
      <w:r w:rsidRPr="00D53394">
        <w:t xml:space="preserve"> 15.9.1, но не напрямую.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BD29EC">
        <w:rPr>
          <w:rFonts w:eastAsia="Arial Unicode MS"/>
          <w:b/>
          <w:szCs w:val="24"/>
          <w:bdr w:val="nil"/>
          <w:lang w:eastAsia="ru-RU"/>
        </w:rPr>
        <w:t>0.</w:t>
      </w:r>
      <w:r w:rsidRPr="00BD29EC">
        <w:rPr>
          <w:rFonts w:eastAsia="Arial Unicode MS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E55ED" w:rsidRDefault="007E55ED" w:rsidP="007E55ED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7E55ED">
        <w:rPr>
          <w:bdr w:val="nil"/>
          <w:lang w:eastAsia="ru-RU"/>
        </w:rPr>
        <w:t>Программа Организации Объединенных Наций по окружающей среде (ЮНЕП), Конвенция о биологическом разнообразии (КБР), Статистический отдел Организации Объединенных Наций (СОООН) и ЮНЕП-ВЦМП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7E55ED" w:rsidRDefault="007E55ED" w:rsidP="007E55ED">
      <w:pPr>
        <w:rPr>
          <w:bdr w:val="nil"/>
          <w:lang w:eastAsia="ru-RU"/>
        </w:rPr>
      </w:pPr>
      <w:r w:rsidRPr="007E55ED">
        <w:rPr>
          <w:bdr w:val="nil"/>
          <w:lang w:eastAsia="ru-RU"/>
        </w:rPr>
        <w:t>Программа Организации Объединенных Наций по окружающей среде (ЮНЕП), Конвенция о биологическом разнообразии (КБР), Статистический отдел Организации Объединенных Наций (СОООН) и ЮНЕП-ВЦМП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984CF0" w:rsidRDefault="00DA19D7" w:rsidP="00DA19D7">
      <w:pPr>
        <w:pStyle w:val="MText"/>
        <w:rPr>
          <w:color w:val="000000"/>
          <w:sz w:val="24"/>
          <w:szCs w:val="24"/>
          <w:u w:val="single"/>
          <w:lang w:val="ru-RU"/>
        </w:rPr>
      </w:pPr>
      <w:r w:rsidRPr="00984CF0">
        <w:rPr>
          <w:color w:val="000000"/>
          <w:sz w:val="24"/>
          <w:szCs w:val="24"/>
          <w:u w:val="single"/>
          <w:lang w:val="ru-RU"/>
        </w:rPr>
        <w:t>Определение:</w:t>
      </w:r>
    </w:p>
    <w:p w:rsidR="007E55ED" w:rsidRDefault="007E55ED" w:rsidP="007E55ED">
      <w:pPr>
        <w:shd w:val="clear" w:color="auto" w:fill="FFFFFF"/>
        <w:spacing w:after="0"/>
        <w:rPr>
          <w:rFonts w:eastAsia="Times New Roman"/>
          <w:szCs w:val="24"/>
          <w:lang w:eastAsia="en-GB"/>
        </w:rPr>
      </w:pPr>
      <w:r w:rsidRPr="00F551CF">
        <w:rPr>
          <w:rFonts w:eastAsia="Times New Roman"/>
          <w:szCs w:val="24"/>
          <w:lang w:eastAsia="en-GB"/>
        </w:rPr>
        <w:lastRenderedPageBreak/>
        <w:t>Данный</w:t>
      </w:r>
      <w:r>
        <w:rPr>
          <w:rFonts w:eastAsia="Times New Roman"/>
          <w:szCs w:val="24"/>
          <w:lang w:eastAsia="en-GB"/>
        </w:rPr>
        <w:t xml:space="preserve"> показатель </w:t>
      </w:r>
      <w:r w:rsidRPr="00F551CF">
        <w:rPr>
          <w:rFonts w:eastAsia="Times New Roman"/>
          <w:szCs w:val="24"/>
          <w:lang w:eastAsia="en-GB"/>
        </w:rPr>
        <w:t>измеряетпрогрессвдостижениинациональныхцелевыхпоказателей,установленныхвсоответствиисзадачей2Стратегическогопланапобиоразнообразиюна2011–2020годы:К2020году,нонепозднее,обеспечитьучетценностиэкосистемибиологическогоразнообразиявходеобщенациональногоиместногопланированияипроцессовразвития,атакжеприразработкестратегийиплановсокращениямасштабовбедностии,</w:t>
      </w:r>
      <w:r>
        <w:rPr>
          <w:rFonts w:eastAsia="Times New Roman"/>
          <w:szCs w:val="24"/>
          <w:lang w:eastAsia="en-GB"/>
        </w:rPr>
        <w:t xml:space="preserve"> при необходимости</w:t>
      </w:r>
      <w:r w:rsidRPr="00F551CF">
        <w:rPr>
          <w:rFonts w:eastAsia="Times New Roman"/>
          <w:szCs w:val="24"/>
          <w:lang w:eastAsia="en-GB"/>
        </w:rPr>
        <w:t>,включениевсистемынациональныхсчетовиотчетности.</w:t>
      </w:r>
    </w:p>
    <w:p w:rsidR="007E55ED" w:rsidRPr="00F551CF" w:rsidRDefault="007E55ED" w:rsidP="007E55ED">
      <w:pPr>
        <w:shd w:val="clear" w:color="auto" w:fill="FFFFFF"/>
        <w:spacing w:after="0"/>
        <w:rPr>
          <w:rFonts w:eastAsia="Times New Roman"/>
          <w:szCs w:val="24"/>
          <w:lang w:eastAsia="en-GB"/>
        </w:rPr>
      </w:pPr>
    </w:p>
    <w:p w:rsidR="007E55ED" w:rsidRDefault="007E55ED" w:rsidP="007E55ED">
      <w:r>
        <w:t>Показатель разделен на два субпоказателя</w:t>
      </w:r>
      <w:r w:rsidRPr="007E55ED">
        <w:t>:</w:t>
      </w:r>
    </w:p>
    <w:p w:rsidR="007E55ED" w:rsidRPr="008C2D89" w:rsidRDefault="008C2D89" w:rsidP="007E55ED">
      <w:r>
        <w:t>Субпоказатель</w:t>
      </w:r>
      <w:r w:rsidR="007E55ED" w:rsidRPr="008C2D89">
        <w:t xml:space="preserve"> (</w:t>
      </w:r>
      <w:r w:rsidR="007E55ED" w:rsidRPr="008C2D89">
        <w:rPr>
          <w:lang w:val="en-US"/>
        </w:rPr>
        <w:t>a</w:t>
      </w:r>
      <w:r w:rsidR="007E55ED" w:rsidRPr="008C2D89">
        <w:t>) 15.9.1.</w:t>
      </w:r>
      <w:r w:rsidR="007E55ED" w:rsidRPr="008C2D89">
        <w:rPr>
          <w:lang w:val="en-US"/>
        </w:rPr>
        <w:t>a</w:t>
      </w:r>
      <w:r w:rsidR="007E55ED" w:rsidRPr="008C2D89">
        <w:t xml:space="preserve">: </w:t>
      </w:r>
      <w:r>
        <w:t>Число стран, установивших в своей национальной стратегии и плане действий в области биоразнообразия национальные целевые показатели в соответствии с Айтинской целевой задачей 2 по биоразнообразию в рамках Стратегического плана по биоразнообразию на 2011–2020 годы или аналогичные и отслеживающие ход достижения таких целевых показателей;</w:t>
      </w:r>
    </w:p>
    <w:p w:rsidR="007E55ED" w:rsidRPr="007E55ED" w:rsidRDefault="008C2D89" w:rsidP="007E55ED">
      <w:pPr>
        <w:rPr>
          <w:lang w:val="en-US"/>
        </w:rPr>
      </w:pPr>
      <w:r>
        <w:t>Субпоказатель</w:t>
      </w:r>
      <w:r w:rsidR="007E55ED" w:rsidRPr="008C2D89">
        <w:t>(</w:t>
      </w:r>
      <w:r w:rsidR="007E55ED" w:rsidRPr="007E55ED">
        <w:rPr>
          <w:lang w:val="en-US"/>
        </w:rPr>
        <w:t>b</w:t>
      </w:r>
      <w:r w:rsidR="007E55ED" w:rsidRPr="008C2D89">
        <w:t>) 15.9.1.</w:t>
      </w:r>
      <w:r w:rsidR="007E55ED" w:rsidRPr="007E55ED">
        <w:rPr>
          <w:lang w:val="en-US"/>
        </w:rPr>
        <w:t>b</w:t>
      </w:r>
      <w:r w:rsidR="007E55ED" w:rsidRPr="008C2D89">
        <w:t xml:space="preserve">: </w:t>
      </w:r>
      <w:r>
        <w:t>интеграция биоразнообразия в национальные системы учета и отчетности, относимая к внедрению Системы эколого-экономического учета.</w:t>
      </w:r>
    </w:p>
    <w:p w:rsidR="00DA19D7" w:rsidRPr="00984CF0" w:rsidRDefault="003859BD" w:rsidP="008C2D89">
      <w:pPr>
        <w:rPr>
          <w:u w:val="single"/>
        </w:rPr>
      </w:pPr>
      <w:r w:rsidRPr="00984CF0">
        <w:rPr>
          <w:u w:val="single"/>
        </w:rPr>
        <w:t>Основные понятия</w:t>
      </w:r>
    </w:p>
    <w:p w:rsidR="008C2D89" w:rsidRPr="00984CF0" w:rsidRDefault="008C2D89" w:rsidP="008C2D89">
      <w:pPr>
        <w:rPr>
          <w:b/>
        </w:rPr>
      </w:pPr>
      <w:r w:rsidRPr="00984CF0">
        <w:rPr>
          <w:b/>
        </w:rPr>
        <w:t>Биоразнообразие</w:t>
      </w:r>
    </w:p>
    <w:p w:rsidR="008C2D89" w:rsidRPr="008C2D89" w:rsidRDefault="008C2D89" w:rsidP="008C2D89">
      <w:r w:rsidRPr="008C2D89">
        <w:t>Саммит Земли Организации Объединенных Наций 1992 года определил «биологическое разнообразие» как «вариабельность живых организмов из всех источников, включая, среди прочего, наземные, морские и иные водные экосистемы и экологические комплексы, частью которых они являются: это понятие включает в себя разнообразие в рамках вида, между видами и разнообразие экосистем».</w:t>
      </w:r>
    </w:p>
    <w:p w:rsidR="008C2D89" w:rsidRPr="003E4B17" w:rsidRDefault="008C2D89" w:rsidP="008C2D89">
      <w:pPr>
        <w:rPr>
          <w:b/>
        </w:rPr>
      </w:pPr>
      <w:r w:rsidRPr="003E4B17">
        <w:rPr>
          <w:b/>
        </w:rPr>
        <w:t>Айтинская целевая задача 2</w:t>
      </w:r>
    </w:p>
    <w:p w:rsidR="008C2D89" w:rsidRPr="008C2D89" w:rsidRDefault="008C2D89" w:rsidP="008C2D89">
      <w:r w:rsidRPr="008C2D89">
        <w:t>Айтинская целевая задача 2 в соответствии со стратегической целью A: Направлена на устранение первопричины утраты биоразнообразия путем учета проблематики биоразнообразия в правительстве и обществе.</w:t>
      </w:r>
    </w:p>
    <w:p w:rsidR="008C2D89" w:rsidRPr="008C2D89" w:rsidRDefault="008C2D89" w:rsidP="008C2D89">
      <w:r w:rsidRPr="008C2D89">
        <w:t xml:space="preserve">Айтинская целевая задача 2: К 2020 году, но не позднее, обеспечить учет ценности экосистем и биологического разнообразия в ходе общенационального и местного планирования и процессов развития, а также при разработке стратегий и планов сокращения масштабов бедности и, </w:t>
      </w:r>
      <w:r w:rsidR="00CD6605">
        <w:t>при необходимости</w:t>
      </w:r>
      <w:r w:rsidRPr="008C2D89">
        <w:t>, включение в системы национальных счетов и отчетности.</w:t>
      </w:r>
    </w:p>
    <w:p w:rsidR="008C2D89" w:rsidRPr="003E4B17" w:rsidRDefault="00072908" w:rsidP="008C2D89">
      <w:pPr>
        <w:rPr>
          <w:b/>
        </w:rPr>
      </w:pPr>
      <w:r w:rsidRPr="003E4B17">
        <w:rPr>
          <w:b/>
        </w:rPr>
        <w:t>СП</w:t>
      </w:r>
      <w:r w:rsidR="008C2D89" w:rsidRPr="003E4B17">
        <w:rPr>
          <w:b/>
        </w:rPr>
        <w:t>ЭУ-ЦО</w:t>
      </w:r>
    </w:p>
    <w:p w:rsidR="008C2D89" w:rsidRPr="008C2D89" w:rsidRDefault="008C2D89" w:rsidP="008C2D89">
      <w:r w:rsidRPr="008C2D89">
        <w:t xml:space="preserve">Центральная основа Системы </w:t>
      </w:r>
      <w:r w:rsidR="00072908">
        <w:t>природно</w:t>
      </w:r>
      <w:r w:rsidRPr="008C2D89">
        <w:t>-экономического учета (</w:t>
      </w:r>
      <w:r w:rsidR="00072908">
        <w:t>СП</w:t>
      </w:r>
      <w:r w:rsidRPr="008C2D89">
        <w:t xml:space="preserve">ЭУ-ЦО) является международным статистическим стандартом для измерения окружающей среды и ее взаимосвязи с экономикой. Она объединяет экономические и экологические данные, чтобы обеспечить более всестороннее и многоцелевое представление о взаимосвязи </w:t>
      </w:r>
      <w:r w:rsidRPr="008C2D89">
        <w:lastRenderedPageBreak/>
        <w:t>между экономикой и окружающей средой, а также о запасах и изменениях в запасах экологических активов, поскольку они приносят пользу человечеству.</w:t>
      </w:r>
    </w:p>
    <w:p w:rsidR="008C2D89" w:rsidRPr="008C2D89" w:rsidRDefault="008C2D89" w:rsidP="008C2D89"/>
    <w:p w:rsidR="008C2D89" w:rsidRPr="003E4B17" w:rsidRDefault="00456A2F" w:rsidP="008C2D89">
      <w:pPr>
        <w:rPr>
          <w:b/>
        </w:rPr>
      </w:pPr>
      <w:r w:rsidRPr="003E4B17">
        <w:rPr>
          <w:b/>
        </w:rPr>
        <w:t>СП</w:t>
      </w:r>
      <w:r w:rsidR="008C2D89" w:rsidRPr="003E4B17">
        <w:rPr>
          <w:b/>
        </w:rPr>
        <w:t>ЭУ ЭЭУ</w:t>
      </w:r>
    </w:p>
    <w:p w:rsidR="008C2D89" w:rsidRPr="008C2D89" w:rsidRDefault="008C2D89" w:rsidP="008C2D89">
      <w:r w:rsidRPr="008C2D89">
        <w:t xml:space="preserve">Экспериментальный экосистемный учет Системы </w:t>
      </w:r>
      <w:r w:rsidR="00456A2F">
        <w:t>природно</w:t>
      </w:r>
      <w:r w:rsidRPr="008C2D89">
        <w:t>-экономического учета (</w:t>
      </w:r>
      <w:r w:rsidR="00456A2F">
        <w:t>СП</w:t>
      </w:r>
      <w:r w:rsidRPr="008C2D89">
        <w:t xml:space="preserve">ЭУ ЭЭУ) представляет собой интегрированную статистическую структуру для организации биофизических данных, измерения экосистемных услуг, отслеживания изменений в экосистемных активах и взаимосвязи этой информации с экономической и другой деятельностью человека. </w:t>
      </w:r>
      <w:r w:rsidR="00456A2F">
        <w:t>СП</w:t>
      </w:r>
      <w:r w:rsidRPr="008C2D89">
        <w:t>ЭУ ЭЭУ учитывает возможности экосистем и рассматривает, как отдельные экологические активы взаимодействуют как часть естественных процессов в данной пространственной области.</w:t>
      </w:r>
    </w:p>
    <w:p w:rsidR="008C2D89" w:rsidRPr="003E4B17" w:rsidRDefault="008C2D89" w:rsidP="008C2D89">
      <w:pPr>
        <w:rPr>
          <w:b/>
        </w:rPr>
      </w:pPr>
      <w:r w:rsidRPr="003E4B17">
        <w:rPr>
          <w:b/>
        </w:rPr>
        <w:t>НСПДСБ</w:t>
      </w:r>
    </w:p>
    <w:p w:rsidR="008C2D89" w:rsidRPr="008C2D89" w:rsidRDefault="008C2D89" w:rsidP="008C2D89">
      <w:r w:rsidRPr="008C2D89">
        <w:t>Национальная стратегия и план действий по сохранению биоразнообразия (НСПДСБ) предназначена для определения текущего состояния биоразнообразия, угроз, ведущих к его деградации, а также стратегий и приоритетных действий по обеспечению его сохранения и рационального использования в рамках социально-экономического развития страны.</w:t>
      </w:r>
    </w:p>
    <w:p w:rsidR="008C2D89" w:rsidRPr="003E4B17" w:rsidRDefault="008C2D89" w:rsidP="008C2D89">
      <w:pPr>
        <w:rPr>
          <w:b/>
        </w:rPr>
      </w:pPr>
      <w:r w:rsidRPr="003E4B17">
        <w:rPr>
          <w:b/>
        </w:rPr>
        <w:t>Национальные отчеты</w:t>
      </w:r>
    </w:p>
    <w:p w:rsidR="00161624" w:rsidRDefault="00161624" w:rsidP="008C2D89">
      <w:r w:rsidRPr="00161624">
        <w:t>В соответствии со статьей 26 Конвенции о биологическом разнообразии Стороны обязаны предоставлять информацию о мерах, принятых для реализации Конвенции и ее стратегических планов, отраженных в Национальной стратегии и плане действий по сохранению биоразнообразия (НСПДСБ), а также о</w:t>
      </w:r>
      <w:r w:rsidR="00456A2F">
        <w:t>б</w:t>
      </w:r>
      <w:r w:rsidR="003E4B17">
        <w:t xml:space="preserve"> эффективности</w:t>
      </w:r>
      <w:r w:rsidRPr="00161624">
        <w:t xml:space="preserve"> этих мер. Формат шестых национальных докладов требует, чтобы Стороны, среди прочего, представили оценку своего прогресса в достижении своих национальных целевых задач и/или Айтинских целевых задач в области биоразнообразия. Эти национальные доклады находятся в открытом доступе в Механизме посредничества Конвенции, который постоянно совершенствуется для повышения удобства его использования Сторонами и лучшего вклада в оценку осуществления Стратегического плана в области биоразнообразия на 2011–2020 годы и достижения Айтинских целевых задач в области биоразнообразия.</w:t>
      </w:r>
    </w:p>
    <w:p w:rsidR="008C2D89" w:rsidRPr="003E4B17" w:rsidRDefault="008C2D89" w:rsidP="008C2D89">
      <w:pPr>
        <w:rPr>
          <w:b/>
        </w:rPr>
      </w:pPr>
      <w:r w:rsidRPr="003E4B17">
        <w:rPr>
          <w:b/>
        </w:rPr>
        <w:t xml:space="preserve">Глобальная оценка </w:t>
      </w:r>
      <w:r w:rsidR="00CD44A7" w:rsidRPr="003E4B17">
        <w:rPr>
          <w:b/>
        </w:rPr>
        <w:t>природно</w:t>
      </w:r>
      <w:r w:rsidRPr="003E4B17">
        <w:rPr>
          <w:b/>
        </w:rPr>
        <w:t>-экономического учета и вспомогательной статистики</w:t>
      </w:r>
    </w:p>
    <w:p w:rsidR="008C2D89" w:rsidRPr="008C2D89" w:rsidRDefault="008C2D89" w:rsidP="008C2D89">
      <w:r w:rsidRPr="008C2D89">
        <w:t xml:space="preserve">Глобальная оценка </w:t>
      </w:r>
      <w:r w:rsidR="00456A2F">
        <w:t>природно</w:t>
      </w:r>
      <w:r w:rsidRPr="008C2D89">
        <w:t xml:space="preserve">-экономического учета и вспомогательной статистики – это обследование, проводимое СОООН под эгидой Комитета экспертов ООН по </w:t>
      </w:r>
      <w:r w:rsidR="00456A2F">
        <w:t>природно</w:t>
      </w:r>
      <w:r w:rsidRPr="008C2D89">
        <w:t>-экономическому учету (</w:t>
      </w:r>
      <w:r w:rsidR="00456A2F">
        <w:t>КЭП</w:t>
      </w:r>
      <w:r w:rsidR="00E37D15">
        <w:t>ЭУ</w:t>
      </w:r>
      <w:r w:rsidR="000E5DA2">
        <w:t xml:space="preserve"> ООН</w:t>
      </w:r>
      <w:r w:rsidRPr="008C2D89">
        <w:t xml:space="preserve">). Целью Глобальной оценки является оценка прогресса в достижении выполнения целей </w:t>
      </w:r>
      <w:r w:rsidR="00456A2F">
        <w:t>КЭП</w:t>
      </w:r>
      <w:r w:rsidR="00E37D15">
        <w:t>ЭУ</w:t>
      </w:r>
      <w:r w:rsidR="000E5DA2">
        <w:t xml:space="preserve"> ООН</w:t>
      </w:r>
      <w:r w:rsidRPr="008C2D89">
        <w:t>.</w:t>
      </w:r>
    </w:p>
    <w:p w:rsidR="008C2D89" w:rsidRPr="00DA19D7" w:rsidRDefault="008C2D89" w:rsidP="00DA19D7">
      <w:pPr>
        <w:pStyle w:val="MText"/>
        <w:rPr>
          <w:color w:val="000000"/>
          <w:sz w:val="24"/>
          <w:szCs w:val="24"/>
          <w:lang w:val="ru-RU"/>
        </w:rPr>
      </w:pPr>
    </w:p>
    <w:p w:rsidR="00407E4E" w:rsidRPr="00EA596B" w:rsidRDefault="00407E4E" w:rsidP="0075371E">
      <w:pPr>
        <w:pStyle w:val="MHeader2"/>
        <w:rPr>
          <w:color w:val="auto"/>
          <w:sz w:val="24"/>
          <w:szCs w:val="24"/>
          <w:lang w:val="en-US"/>
        </w:rPr>
      </w:pPr>
      <w:r w:rsidRPr="00EA596B">
        <w:rPr>
          <w:color w:val="auto"/>
          <w:sz w:val="24"/>
          <w:szCs w:val="24"/>
          <w:lang w:val="en-US"/>
        </w:rPr>
        <w:t>2.</w:t>
      </w:r>
      <w:r w:rsidRPr="00BD29EC">
        <w:rPr>
          <w:color w:val="auto"/>
          <w:sz w:val="24"/>
          <w:szCs w:val="24"/>
        </w:rPr>
        <w:t>b</w:t>
      </w:r>
      <w:r w:rsidRPr="00EA596B">
        <w:rPr>
          <w:color w:val="auto"/>
          <w:sz w:val="24"/>
          <w:szCs w:val="24"/>
          <w:lang w:val="en-US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Единицаизмерения</w:t>
      </w:r>
    </w:p>
    <w:p w:rsidR="00EA596B" w:rsidRPr="00EA596B" w:rsidRDefault="00EA596B" w:rsidP="00EA596B">
      <w:r w:rsidRPr="00EA596B">
        <w:lastRenderedPageBreak/>
        <w:t>Суб</w:t>
      </w:r>
      <w:r w:rsidR="00D5283A">
        <w:t>показатель</w:t>
      </w:r>
      <w:r w:rsidRPr="00EA596B">
        <w:t xml:space="preserve"> (</w:t>
      </w:r>
      <w:r w:rsidRPr="00EA596B">
        <w:rPr>
          <w:lang w:val="en-US"/>
        </w:rPr>
        <w:t>a</w:t>
      </w:r>
      <w:r w:rsidRPr="00EA596B">
        <w:t xml:space="preserve">): количество Сторон Конвенции о биологическом разнообразии, которые установили национальные целевые задачи в отношении </w:t>
      </w:r>
      <w:r w:rsidR="00D5283A">
        <w:t>Айтинской</w:t>
      </w:r>
      <w:r w:rsidRPr="00EA596B">
        <w:t>целевой задачи 2, и прогресс в их выполнении с использованием меток прогресса, изложенных в разделе 4.</w:t>
      </w:r>
      <w:r w:rsidRPr="00EA596B">
        <w:rPr>
          <w:lang w:val="en-US"/>
        </w:rPr>
        <w:t>c</w:t>
      </w:r>
      <w:r w:rsidRPr="00EA596B">
        <w:t>.</w:t>
      </w:r>
    </w:p>
    <w:p w:rsidR="00EA596B" w:rsidRDefault="00D5283A" w:rsidP="00EA596B">
      <w:r>
        <w:t>Субпоказатель</w:t>
      </w:r>
      <w:r w:rsidR="00EA596B" w:rsidRPr="00EA596B">
        <w:t xml:space="preserve"> (</w:t>
      </w:r>
      <w:r w:rsidR="00EA596B" w:rsidRPr="00EA596B">
        <w:rPr>
          <w:lang w:val="en-US"/>
        </w:rPr>
        <w:t>b</w:t>
      </w:r>
      <w:r w:rsidR="00EA596B" w:rsidRPr="00EA596B">
        <w:t>): Количество стран</w:t>
      </w:r>
    </w:p>
    <w:p w:rsidR="000A229E" w:rsidRPr="00BD29EC" w:rsidRDefault="000A229E" w:rsidP="00EA596B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0E5DA2" w:rsidP="000E5DA2">
      <w:r>
        <w:t>Не применимо.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0E5DA2" w:rsidRPr="00F551CF" w:rsidRDefault="000E5DA2" w:rsidP="000E5DA2">
      <w:pPr>
        <w:rPr>
          <w:lang w:eastAsia="en-GB"/>
        </w:rPr>
      </w:pPr>
      <w:r w:rsidRPr="00F551CF">
        <w:rPr>
          <w:lang w:eastAsia="en-GB"/>
        </w:rPr>
        <w:t>НациональныестатистическиесистемывносятнепосредственныйвкладвотчетностьпоНСПДСБивотчетность</w:t>
      </w:r>
      <w:r w:rsidR="00B838CA">
        <w:rPr>
          <w:lang w:eastAsia="en-GB"/>
        </w:rPr>
        <w:t>для</w:t>
      </w:r>
      <w:r w:rsidR="00CD44A7">
        <w:t>КЭП</w:t>
      </w:r>
      <w:r>
        <w:t>ЭУ ООН</w:t>
      </w:r>
      <w:r w:rsidRPr="00F551CF">
        <w:rPr>
          <w:lang w:eastAsia="en-GB"/>
        </w:rPr>
        <w:t>.</w:t>
      </w:r>
    </w:p>
    <w:p w:rsidR="000E5DA2" w:rsidRPr="00F551CF" w:rsidRDefault="00B838CA" w:rsidP="000E5DA2">
      <w:pPr>
        <w:rPr>
          <w:lang w:eastAsia="en-GB"/>
        </w:rPr>
      </w:pPr>
      <w:r>
        <w:rPr>
          <w:lang w:eastAsia="ru-RU"/>
        </w:rPr>
        <w:t>Суб</w:t>
      </w:r>
      <w:r w:rsidR="000E5DA2">
        <w:rPr>
          <w:lang w:eastAsia="ru-RU"/>
        </w:rPr>
        <w:t>показатель</w:t>
      </w:r>
      <w:r w:rsidR="000E5DA2">
        <w:rPr>
          <w:lang w:eastAsia="en-GB"/>
        </w:rPr>
        <w:t xml:space="preserve">(а): </w:t>
      </w:r>
      <w:r w:rsidR="000E5DA2" w:rsidRPr="00F551CF">
        <w:rPr>
          <w:lang w:eastAsia="en-GB"/>
        </w:rPr>
        <w:t>НСПДСБинациональныеотчеты</w:t>
      </w:r>
    </w:p>
    <w:p w:rsidR="000E5DA2" w:rsidRPr="000E5DA2" w:rsidRDefault="00B838CA" w:rsidP="000E5DA2">
      <w:pPr>
        <w:rPr>
          <w:lang w:eastAsia="en-GB"/>
        </w:rPr>
      </w:pPr>
      <w:r>
        <w:rPr>
          <w:lang w:eastAsia="ru-RU"/>
        </w:rPr>
        <w:t>Суб</w:t>
      </w:r>
      <w:r w:rsidR="000E5DA2">
        <w:rPr>
          <w:lang w:eastAsia="ru-RU"/>
        </w:rPr>
        <w:t>показатель</w:t>
      </w:r>
      <w:r w:rsidR="000E5DA2" w:rsidRPr="00F551CF">
        <w:rPr>
          <w:lang w:eastAsia="en-GB"/>
        </w:rPr>
        <w:t>(б):Глобальныеоценки</w:t>
      </w:r>
      <w:r w:rsidR="00CD44A7">
        <w:rPr>
          <w:lang w:eastAsia="en-GB"/>
        </w:rPr>
        <w:t>природно</w:t>
      </w:r>
      <w:r w:rsidR="000E5DA2">
        <w:rPr>
          <w:lang w:eastAsia="en-GB"/>
        </w:rPr>
        <w:t xml:space="preserve">-экономического </w:t>
      </w:r>
      <w:r w:rsidR="000E5DA2" w:rsidRPr="00F551CF">
        <w:rPr>
          <w:lang w:eastAsia="en-GB"/>
        </w:rPr>
        <w:t>учетаивспомогательнойстатистики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Сборданныхосуществляетсяпутемпредставленияотчетов(</w:t>
      </w:r>
      <w:r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ь</w:t>
      </w:r>
      <w:r w:rsidRPr="00F551CF">
        <w:rPr>
          <w:lang w:eastAsia="ru-RU"/>
        </w:rPr>
        <w:t>(а))испециальногообследованияповнедрению</w:t>
      </w:r>
      <w:r w:rsidR="000376FB">
        <w:rPr>
          <w:lang w:eastAsia="ru-RU"/>
        </w:rPr>
        <w:t>СП</w:t>
      </w:r>
      <w:r>
        <w:rPr>
          <w:lang w:eastAsia="ru-RU"/>
        </w:rPr>
        <w:t xml:space="preserve">ЭУ </w:t>
      </w:r>
      <w:r w:rsidRPr="00F551CF">
        <w:rPr>
          <w:lang w:eastAsia="ru-RU"/>
        </w:rPr>
        <w:t>(</w:t>
      </w:r>
      <w:r w:rsidR="000376FB"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ь</w:t>
      </w:r>
      <w:r w:rsidRPr="00F551CF">
        <w:rPr>
          <w:lang w:eastAsia="ru-RU"/>
        </w:rPr>
        <w:t>(б)).</w:t>
      </w:r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Данныедля</w:t>
      </w:r>
      <w:r w:rsidR="000376FB"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я</w:t>
      </w:r>
      <w:r w:rsidRPr="00F551CF">
        <w:rPr>
          <w:lang w:eastAsia="ru-RU"/>
        </w:rPr>
        <w:t>(а)внастоящеевремясобираютсяСекретариатомКБР.СборникНСПДСБинациональныхотчетоврегулярнообновляетсяСекретариатомКБР</w:t>
      </w:r>
      <w:r w:rsidR="000376FB">
        <w:rPr>
          <w:lang w:eastAsia="ru-RU"/>
        </w:rPr>
        <w:t>, доступно</w:t>
      </w:r>
      <w:r w:rsidRPr="00F551CF">
        <w:rPr>
          <w:lang w:eastAsia="ru-RU"/>
        </w:rPr>
        <w:t>поссылкам:</w:t>
      </w:r>
    </w:p>
    <w:p w:rsidR="00072908" w:rsidRPr="002A41C6" w:rsidRDefault="00197554" w:rsidP="00072908">
      <w:pPr>
        <w:numPr>
          <w:ilvl w:val="0"/>
          <w:numId w:val="5"/>
        </w:numPr>
        <w:shd w:val="clear" w:color="auto" w:fill="FFFFFF"/>
        <w:spacing w:after="0" w:line="242" w:lineRule="atLeast"/>
        <w:ind w:left="460" w:firstLine="0"/>
        <w:rPr>
          <w:rFonts w:eastAsia="Times New Roman"/>
          <w:color w:val="4A4A4A"/>
          <w:szCs w:val="24"/>
          <w:lang w:eastAsia="ru-RU"/>
        </w:rPr>
      </w:pPr>
      <w:hyperlink r:id="rId8" w:history="1">
        <w:r w:rsidR="00072908" w:rsidRPr="002A41C6">
          <w:rPr>
            <w:rFonts w:eastAsia="Times New Roman"/>
            <w:color w:val="0563C1"/>
            <w:szCs w:val="24"/>
            <w:u w:val="single"/>
            <w:lang w:eastAsia="ru-RU"/>
          </w:rPr>
          <w:t>https://www.cbd.int/nbsap/</w:t>
        </w:r>
      </w:hyperlink>
    </w:p>
    <w:p w:rsidR="00072908" w:rsidRPr="002A41C6" w:rsidRDefault="00197554" w:rsidP="00072908">
      <w:pPr>
        <w:numPr>
          <w:ilvl w:val="0"/>
          <w:numId w:val="5"/>
        </w:numPr>
        <w:shd w:val="clear" w:color="auto" w:fill="FFFFFF"/>
        <w:spacing w:after="0" w:line="242" w:lineRule="atLeast"/>
        <w:ind w:left="460" w:firstLine="0"/>
        <w:rPr>
          <w:rFonts w:eastAsia="Times New Roman"/>
          <w:color w:val="4A4A4A"/>
          <w:szCs w:val="24"/>
          <w:lang w:eastAsia="ru-RU"/>
        </w:rPr>
      </w:pPr>
      <w:hyperlink r:id="rId9" w:history="1">
        <w:r w:rsidR="00072908" w:rsidRPr="002A41C6">
          <w:rPr>
            <w:rFonts w:eastAsia="Times New Roman"/>
            <w:color w:val="0563C1"/>
            <w:szCs w:val="24"/>
            <w:u w:val="single"/>
            <w:lang w:eastAsia="ru-RU"/>
          </w:rPr>
          <w:t>https://www.cbd.int/reports/</w:t>
        </w:r>
      </w:hyperlink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Числосторон,считающихсяпредставившими</w:t>
      </w:r>
      <w:r w:rsidR="003E4B17" w:rsidRPr="003E4B17">
        <w:rPr>
          <w:lang w:eastAsia="ru-RU"/>
        </w:rPr>
        <w:t xml:space="preserve">НСПДСБ </w:t>
      </w:r>
      <w:r w:rsidRPr="00F551CF">
        <w:rPr>
          <w:lang w:eastAsia="ru-RU"/>
        </w:rPr>
        <w:t>впериодпосле2010года,которыепринимаютвовниманиеСтратегическийпланпобиоразнообразию(2011-2020годы),такжерегулярнообновляется.</w:t>
      </w:r>
    </w:p>
    <w:p w:rsidR="00072908" w:rsidRPr="002A41C6" w:rsidRDefault="00072908" w:rsidP="00072908">
      <w:pPr>
        <w:rPr>
          <w:color w:val="4A4A4A"/>
          <w:lang w:eastAsia="ru-RU"/>
        </w:rPr>
      </w:pPr>
      <w:r w:rsidRPr="00F551CF">
        <w:rPr>
          <w:lang w:eastAsia="ru-RU"/>
        </w:rPr>
        <w:t>Источникомданныхдля</w:t>
      </w:r>
      <w:r w:rsidR="000376FB">
        <w:rPr>
          <w:lang w:eastAsia="ru-RU"/>
        </w:rPr>
        <w:t>суб</w:t>
      </w:r>
      <w:r>
        <w:rPr>
          <w:lang w:eastAsia="ru-RU"/>
        </w:rPr>
        <w:t>показателя</w:t>
      </w:r>
      <w:r w:rsidRPr="00F551CF">
        <w:rPr>
          <w:lang w:eastAsia="ru-RU"/>
        </w:rPr>
        <w:t xml:space="preserve"> (б)являютсярезультатыГлобальныхоценок,предыдущиеотчетыпо</w:t>
      </w:r>
      <w:r w:rsidR="003E4B17">
        <w:rPr>
          <w:lang w:eastAsia="ru-RU"/>
        </w:rPr>
        <w:t xml:space="preserve">которымдоступны </w:t>
      </w:r>
      <w:r w:rsidRPr="00F551CF">
        <w:rPr>
          <w:lang w:eastAsia="ru-RU"/>
        </w:rPr>
        <w:t>поссылке:</w:t>
      </w:r>
      <w:hyperlink r:id="rId10" w:history="1">
        <w:r w:rsidRPr="002A41C6">
          <w:rPr>
            <w:color w:val="0563C1"/>
            <w:u w:val="single"/>
            <w:lang w:eastAsia="ru-RU"/>
          </w:rPr>
          <w:t>https://seea.un.org/content/global-assessment-environmental-economic-accounting</w:t>
        </w:r>
      </w:hyperlink>
      <w:r w:rsidRPr="002A41C6">
        <w:rPr>
          <w:color w:val="4A4A4A"/>
          <w:lang w:eastAsia="ru-RU"/>
        </w:rPr>
        <w:t>.</w:t>
      </w:r>
    </w:p>
    <w:p w:rsidR="00072908" w:rsidRPr="00072908" w:rsidRDefault="00072908" w:rsidP="00072908">
      <w:pPr>
        <w:rPr>
          <w:lang w:eastAsia="ru-RU"/>
        </w:rPr>
      </w:pPr>
      <w:r w:rsidRPr="00F551CF">
        <w:rPr>
          <w:lang w:eastAsia="ru-RU"/>
        </w:rPr>
        <w:t>Ожидается,чторезультатыГлобальнойоценки2020годабудутдоступнывмарте2021года.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0376FB" w:rsidRPr="00BD29EC" w:rsidRDefault="000376FB" w:rsidP="000376FB">
      <w:r w:rsidRPr="000376FB">
        <w:t>- Существующая отчетность перед КБР и СОООН.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0376FB" w:rsidRDefault="000376FB" w:rsidP="000376FB">
      <w:r w:rsidRPr="000376FB">
        <w:t>- Данные будут опубликованы в течение года после сбора данных.</w:t>
      </w:r>
    </w:p>
    <w:p w:rsidR="000376FB" w:rsidRPr="00BD29EC" w:rsidRDefault="000376FB" w:rsidP="000376FB"/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0376FB" w:rsidRPr="000376FB" w:rsidRDefault="000376FB" w:rsidP="000376FB">
      <w:r w:rsidRPr="000376FB">
        <w:t xml:space="preserve">1. Министерства окружающей среды (или </w:t>
      </w:r>
      <w:r>
        <w:t>им аналогичные) через Национальных координаторов</w:t>
      </w:r>
      <w:r w:rsidRPr="000376FB">
        <w:t xml:space="preserve"> Конвенции о биологическом разнообразии.</w:t>
      </w:r>
    </w:p>
    <w:p w:rsidR="000376FB" w:rsidRPr="00A71EC6" w:rsidRDefault="000376FB" w:rsidP="000376FB">
      <w:r w:rsidRPr="000376FB">
        <w:t xml:space="preserve">2. Национальные статистические управления через координаторов </w:t>
      </w:r>
      <w:r>
        <w:t>КЭПЭУ ООН</w:t>
      </w:r>
      <w:r w:rsidRPr="00F551CF">
        <w:rPr>
          <w:lang w:eastAsia="en-GB"/>
        </w:rPr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943162" w:rsidRPr="00943162" w:rsidRDefault="00943162" w:rsidP="00943162">
      <w:r w:rsidRPr="00943162">
        <w:t>1. Секретариат Конвенции о биологическом раз</w:t>
      </w:r>
      <w:r>
        <w:t>нообразии собирает данные по суб</w:t>
      </w:r>
      <w:r w:rsidR="003E4B17">
        <w:t>показателю (а);</w:t>
      </w:r>
    </w:p>
    <w:p w:rsidR="00943162" w:rsidRPr="00BD29EC" w:rsidRDefault="00943162" w:rsidP="00943162">
      <w:r>
        <w:t>2. СОООН собирает данные по суб</w:t>
      </w:r>
      <w:r w:rsidRPr="00943162">
        <w:t>показателю (b)</w:t>
      </w:r>
      <w:r w:rsidR="003E4B17">
        <w:t>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43162" w:rsidRPr="00943162" w:rsidRDefault="00943162" w:rsidP="00943162">
      <w:r w:rsidRPr="00943162">
        <w:t>Суб</w:t>
      </w:r>
      <w:r>
        <w:t>показатель</w:t>
      </w:r>
      <w:r w:rsidRPr="00943162">
        <w:t xml:space="preserve"> (</w:t>
      </w:r>
      <w:r w:rsidRPr="00943162">
        <w:rPr>
          <w:lang w:val="en-US"/>
        </w:rPr>
        <w:t>a</w:t>
      </w:r>
      <w:r w:rsidRPr="00943162">
        <w:t xml:space="preserve">): В решении </w:t>
      </w:r>
      <w:r w:rsidRPr="00943162">
        <w:rPr>
          <w:lang w:val="en-US"/>
        </w:rPr>
        <w:t>X</w:t>
      </w:r>
      <w:r w:rsidRPr="00943162">
        <w:t>/2 Конференция Сторон Конвенции о биологическом разнообразии настоятельно призвала Стороны разработать национальные</w:t>
      </w:r>
      <w:r>
        <w:t xml:space="preserve"> и региональные целевые задачи с опорой на </w:t>
      </w:r>
      <w:r w:rsidRPr="00943162">
        <w:t>Стратегический план на 2011-2020 гг. и его Айтинские целевые з</w:t>
      </w:r>
      <w:r>
        <w:t>адачи</w:t>
      </w:r>
      <w:r w:rsidRPr="00943162">
        <w:t>,</w:t>
      </w:r>
      <w:r>
        <w:t xml:space="preserve"> но</w:t>
      </w:r>
      <w:r w:rsidRPr="00943162">
        <w:t xml:space="preserve"> в соответствии с национальными приоритетами и возможностями и </w:t>
      </w:r>
      <w:r>
        <w:t>с учетом как глобальных целей</w:t>
      </w:r>
      <w:r w:rsidRPr="00943162">
        <w:t>, так и состояни</w:t>
      </w:r>
      <w:r>
        <w:t>я</w:t>
      </w:r>
      <w:r w:rsidRPr="00943162">
        <w:t xml:space="preserve"> и тенденци</w:t>
      </w:r>
      <w:r>
        <w:t>й в области</w:t>
      </w:r>
      <w:r w:rsidRPr="00943162">
        <w:t xml:space="preserve"> биологического разноо</w:t>
      </w:r>
      <w:r>
        <w:t>бразия в стране, а также ресурсов, предоставляемых</w:t>
      </w:r>
      <w:r w:rsidRPr="00943162">
        <w:t xml:space="preserve"> в рамках стратегии мобилизации ресурсов, с целью содействия коллективным глобальным </w:t>
      </w:r>
      <w:r>
        <w:t>усилиям по достижению глобальных целевых показателей</w:t>
      </w:r>
      <w:r w:rsidRPr="00943162">
        <w:t xml:space="preserve"> и представить доклад об этом Конференции Сторон на ее одиннадцатом совещании. В том же решении Конференция Сторон поручила Исполнительному секретарю секретариата Конвенции о биологическом разнообразии подготовить анализ/обобщение национальных, региональных и других действий, включая соответствующие целевые задачи, установленные в соответствии со Стратегическим планом, дать возможность Конференции Сторон на ее одиннадцатом и последующих совещаниях оценить вклад таких национальных и региональных целевых задач в достижение глобальных целевых задач.</w:t>
      </w:r>
    </w:p>
    <w:p w:rsidR="00943162" w:rsidRDefault="00943162" w:rsidP="00943162">
      <w:r w:rsidRPr="00A90D17">
        <w:t>Субпоказатель (b): Для субпоказателя (b) Ст</w:t>
      </w:r>
      <w:r w:rsidR="00DD6309">
        <w:t>атистической комиссией ООН на</w:t>
      </w:r>
      <w:r w:rsidRPr="00A90D17">
        <w:t xml:space="preserve"> 36-й сессии в марте 2005 года</w:t>
      </w:r>
      <w:r w:rsidR="00DD6309">
        <w:t>была создана КЭПЭУ ООН</w:t>
      </w:r>
      <w:r w:rsidRPr="00A90D17">
        <w:t xml:space="preserve">. </w:t>
      </w:r>
      <w:r w:rsidR="00A90D17" w:rsidRPr="00A90D17">
        <w:t>КЭПЭУ ООН</w:t>
      </w:r>
      <w:r w:rsidRPr="00A90D17">
        <w:t xml:space="preserve"> функционирует как межправительственный орган, обеспечивающий общее видение, координацию, определение приоритетов и направление в области </w:t>
      </w:r>
      <w:r w:rsidR="00A90D17" w:rsidRPr="00A90D17">
        <w:t>природно</w:t>
      </w:r>
      <w:r w:rsidRPr="00A90D17">
        <w:t>-экономического учета и вспомогательной статистики</w:t>
      </w:r>
      <w:r w:rsidR="00BE06A7">
        <w:t>. Будучи секретариатом</w:t>
      </w:r>
      <w:r w:rsidR="00A90D17" w:rsidRPr="00A90D17">
        <w:t>КЭПЭУ ООН,</w:t>
      </w:r>
      <w:r w:rsidRPr="00A90D17">
        <w:t xml:space="preserve"> СОООН </w:t>
      </w:r>
      <w:r w:rsidR="00A90D17" w:rsidRPr="00A90D17">
        <w:t xml:space="preserve">руководит Глобальной оценкой </w:t>
      </w:r>
      <w:r w:rsidR="00A90D17">
        <w:t>природно</w:t>
      </w:r>
      <w:r w:rsidR="00A90D17" w:rsidRPr="00A90D17">
        <w:t>-экономического учета и вспомогательной статистики</w:t>
      </w:r>
      <w:r w:rsidR="00A90D17">
        <w:rPr>
          <w:rFonts w:ascii="Arial" w:hAnsi="Arial" w:cs="Arial"/>
          <w:color w:val="000000"/>
        </w:rPr>
        <w:t>.</w:t>
      </w:r>
    </w:p>
    <w:p w:rsidR="002E15F9" w:rsidRPr="00BD29EC" w:rsidRDefault="002E15F9" w:rsidP="00943162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AA3FE4" w:rsidRDefault="00AA3FE4" w:rsidP="00AA3FE4">
      <w:pPr>
        <w:rPr>
          <w:shd w:val="clear" w:color="auto" w:fill="FFFFFF"/>
        </w:rPr>
      </w:pPr>
      <w:r w:rsidRPr="00F551CF">
        <w:rPr>
          <w:shd w:val="clear" w:color="auto" w:fill="FFFFFF"/>
        </w:rPr>
        <w:t>Цель</w:t>
      </w:r>
      <w:r w:rsidR="0023568B">
        <w:rPr>
          <w:shd w:val="clear" w:color="auto" w:fill="FFFFFF"/>
        </w:rPr>
        <w:t>Айтинской</w:t>
      </w:r>
      <w:r w:rsidRPr="00F551CF">
        <w:rPr>
          <w:shd w:val="clear" w:color="auto" w:fill="FFFFFF"/>
        </w:rPr>
        <w:t>задачи</w:t>
      </w:r>
      <w:r w:rsidR="0023568B">
        <w:rPr>
          <w:shd w:val="clear" w:color="auto" w:fill="FFFFFF"/>
        </w:rPr>
        <w:t xml:space="preserve"> 2</w:t>
      </w:r>
      <w:r w:rsidRPr="00F551CF">
        <w:rPr>
          <w:shd w:val="clear" w:color="auto" w:fill="FFFFFF"/>
        </w:rPr>
        <w:t>заключаетсявобеспечениипризнанияиотраженияценностибиоразнообразияивозможностей,вытекающихизегосохраненияирациональногоиспользования,врамкахвсехсоответствующихгосударственныхичастныхпроцессовпринятиярешений.</w:t>
      </w:r>
    </w:p>
    <w:p w:rsidR="008866F5" w:rsidRDefault="008866F5" w:rsidP="00AA3FE4">
      <w:pPr>
        <w:rPr>
          <w:shd w:val="clear" w:color="auto" w:fill="FFFFFF"/>
        </w:rPr>
      </w:pPr>
    </w:p>
    <w:p w:rsidR="008866F5" w:rsidRPr="00F551CF" w:rsidRDefault="008866F5" w:rsidP="008866F5">
      <w:pPr>
        <w:shd w:val="clear" w:color="auto" w:fill="FFFFFF"/>
        <w:spacing w:after="0"/>
        <w:rPr>
          <w:rFonts w:eastAsia="Times New Roman"/>
          <w:b/>
          <w:bCs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lastRenderedPageBreak/>
        <w:t>Суб</w:t>
      </w:r>
      <w:r w:rsidRPr="005F253C">
        <w:rPr>
          <w:rFonts w:eastAsia="Times New Roman"/>
          <w:b/>
          <w:szCs w:val="24"/>
          <w:lang w:eastAsia="en-GB"/>
        </w:rPr>
        <w:t>показатель</w:t>
      </w:r>
      <w:r w:rsidRPr="00F551CF">
        <w:rPr>
          <w:rFonts w:eastAsia="Times New Roman"/>
          <w:b/>
          <w:bCs/>
          <w:szCs w:val="24"/>
          <w:lang w:eastAsia="en-GB"/>
        </w:rPr>
        <w:t>(а)</w:t>
      </w:r>
    </w:p>
    <w:p w:rsidR="008866F5" w:rsidRDefault="008866F5" w:rsidP="008866F5">
      <w:r w:rsidRPr="008866F5">
        <w:t>Национальные стратегии и планы действий по сохранению биоразнообразия описаны в статье 6 Конвенции о биологическом разнообразии об общих мерах по сохранению и устойчивому использованию. В статье указано, что «каждая Сторона Конвенции в соответствии со своими особыми условиями и возможностями: (а) разрабатывает национальные стратегии, планы или программы сохранения и устойчивого использования биологического разнообразия или адаптирует для этой цели существующие стратегии, планы или программы, которые должны отражать, среди прочего, меры, изложенные в настоящей Конвенции, относящиеся к соответствующей Договар</w:t>
      </w:r>
      <w:r>
        <w:t>ивающейся стороне; и b) включает</w:t>
      </w:r>
      <w:r w:rsidRPr="008866F5">
        <w:t>, насколько это возможно и целесообразно, вопросы сохранения и устойчивого использования биологического разнообразия в соответствующие секторальные или межсекторальные планы, программы и политику». Далее, в соответствии со статьей 26 указывается, что «каждая Договаривающаяся Сторона через промежутки времени, определяемые Конференцией Сторон, представляет Конференции Сторон доклад о мерах, которые она приняла для выполнения положений настоящей Конвенции и их эффективность в достижении целей настоящей Конвенции».</w:t>
      </w:r>
    </w:p>
    <w:p w:rsidR="008866F5" w:rsidRPr="00C4240F" w:rsidRDefault="008866F5" w:rsidP="008866F5">
      <w:pPr>
        <w:shd w:val="clear" w:color="auto" w:fill="FFFFFF"/>
        <w:spacing w:after="0"/>
        <w:rPr>
          <w:rFonts w:eastAsia="Times New Roman"/>
          <w:b/>
          <w:bCs/>
          <w:szCs w:val="24"/>
          <w:lang w:val="en-US" w:eastAsia="en-GB"/>
        </w:rPr>
      </w:pPr>
      <w:r>
        <w:rPr>
          <w:rFonts w:eastAsia="Times New Roman"/>
          <w:b/>
          <w:szCs w:val="24"/>
          <w:lang w:eastAsia="en-GB"/>
        </w:rPr>
        <w:t>Суб</w:t>
      </w:r>
      <w:r w:rsidRPr="005F253C">
        <w:rPr>
          <w:rFonts w:eastAsia="Times New Roman"/>
          <w:b/>
          <w:szCs w:val="24"/>
          <w:lang w:eastAsia="en-GB"/>
        </w:rPr>
        <w:t>показатель</w:t>
      </w:r>
      <w:r w:rsidRPr="00C4240F">
        <w:rPr>
          <w:rFonts w:eastAsia="Times New Roman"/>
          <w:b/>
          <w:bCs/>
          <w:szCs w:val="24"/>
          <w:lang w:val="en-US" w:eastAsia="en-GB"/>
        </w:rPr>
        <w:t>(</w:t>
      </w:r>
      <w:r w:rsidRPr="00F551CF">
        <w:rPr>
          <w:rFonts w:eastAsia="Times New Roman"/>
          <w:b/>
          <w:bCs/>
          <w:szCs w:val="24"/>
          <w:lang w:eastAsia="en-GB"/>
        </w:rPr>
        <w:t>б</w:t>
      </w:r>
      <w:r w:rsidRPr="00C4240F">
        <w:rPr>
          <w:rFonts w:eastAsia="Times New Roman"/>
          <w:b/>
          <w:bCs/>
          <w:szCs w:val="24"/>
          <w:lang w:val="en-US" w:eastAsia="en-GB"/>
        </w:rPr>
        <w:t xml:space="preserve">) </w:t>
      </w:r>
    </w:p>
    <w:p w:rsidR="00C4240F" w:rsidRDefault="00C4240F" w:rsidP="00C4240F">
      <w:r w:rsidRPr="00C4240F">
        <w:t xml:space="preserve">Интеграция ценностей биоразнообразия в национальные системы учета и отчетности может быть достигнута за счет внедрения международного статистического стандарта Системы </w:t>
      </w:r>
      <w:r>
        <w:t>природно-экономического учета (СП</w:t>
      </w:r>
      <w:r w:rsidR="003F4A14">
        <w:t>ЭУ). Центральная основа СПЭУ (СП</w:t>
      </w:r>
      <w:r w:rsidRPr="00C4240F">
        <w:t>ЭУ</w:t>
      </w:r>
      <w:r w:rsidR="003F4A14">
        <w:t xml:space="preserve"> ЦО</w:t>
      </w:r>
      <w:r w:rsidRPr="00C4240F">
        <w:t xml:space="preserve">) была принята Статистической комиссией ООН в 2012 году в качестве первого международного стандарта </w:t>
      </w:r>
      <w:r w:rsidR="003F4A14">
        <w:t>природно</w:t>
      </w:r>
      <w:r w:rsidRPr="00C4240F">
        <w:t>-экономического учета. Кроме того, в 2021 году Статистическая комиссия О</w:t>
      </w:r>
      <w:r w:rsidR="003F4A14">
        <w:t>ОН одобрила Экосистемный учет СПЭУ (СП</w:t>
      </w:r>
      <w:r w:rsidRPr="00C4240F">
        <w:t>ЭУ</w:t>
      </w:r>
      <w:r w:rsidR="001B18B8">
        <w:t>ЭЭУ</w:t>
      </w:r>
      <w:r w:rsidRPr="00C4240F">
        <w:t xml:space="preserve">). Результаты Глобальной оценки </w:t>
      </w:r>
      <w:r w:rsidR="003F4A14">
        <w:t>природно</w:t>
      </w:r>
      <w:r w:rsidRPr="00C4240F">
        <w:t>-экономического учета и вспомогательной статистики предостав</w:t>
      </w:r>
      <w:r w:rsidR="003F4A14">
        <w:t>ляют данные, необходимые для суб</w:t>
      </w:r>
      <w:r w:rsidRPr="00C4240F">
        <w:t>показателя (</w:t>
      </w:r>
      <w:r w:rsidRPr="00C4240F">
        <w:rPr>
          <w:lang w:val="en-US"/>
        </w:rPr>
        <w:t>b</w:t>
      </w:r>
      <w:r w:rsidR="003F4A14">
        <w:t>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A13E9B" w:rsidRDefault="00A13E9B" w:rsidP="00A13E9B">
      <w:r>
        <w:t>Субпоказатель</w:t>
      </w:r>
      <w:r w:rsidRPr="00A13E9B">
        <w:t xml:space="preserve"> (a) Оценка национальных целевых задач имеет ряд ограничений, вытекающих из разных подходов, которые Стороны использовали при установлении национальных целевых задач и представлении отчетности по ним. Стороны сопоставили свои национальные целевые задачи с Айтинскими целевыми задачами по сохранению и устойчивому использованию биоразнообразия по-разному и на основе разной информации. Например, некоторые страны установили одну национальную целевую задачу для каждой Айтинской целевой задачи в области биоразнообразия, в то время как другие установили несколько национальных целевых задач для одной Айтинской целевой задачи в области биоразнообразия. Некоторые Стороны установили целевые показатели, связанные с процессом, некоторые установили целевые показатели, ориентированные на результаты, а некоторые использовали сочетание этих двух факторов. Это потребовало различных подходов к оценке прогресса на национальном уровне. Эти различные национальные подходы не обязательно сопоставимы. Аналогичным образом, некоторые страны установили национальные целевые задачи, связанные с несколькими Айтинскими целевыми задачами в области биоразнообразия. Кроме того, некоторые Стороны решили представлять отчеты в соответствии с Айтинскими задачами в области биоразнообразия, а </w:t>
      </w:r>
      <w:r w:rsidRPr="00A13E9B">
        <w:lastRenderedPageBreak/>
        <w:t>не в соответствии со своими национальными задачами в области биоразнообразия, а некоторые представили отчеты в соответствии с Айтинскими задачами в области биоразнообразия, поскольку они не разработали четких национальных задач. Различные подходы к постановке целей и отчетности на национальном уровне затрудняют проведение систематического анализа.</w:t>
      </w:r>
    </w:p>
    <w:p w:rsidR="00A13E9B" w:rsidRDefault="00A13E9B" w:rsidP="00A13E9B">
      <w:r w:rsidRPr="00A13E9B">
        <w:t>Суб</w:t>
      </w:r>
      <w:r>
        <w:t>показатель</w:t>
      </w:r>
      <w:r w:rsidRPr="00A13E9B">
        <w:t xml:space="preserve"> (</w:t>
      </w:r>
      <w:r w:rsidRPr="00A13E9B">
        <w:rPr>
          <w:lang w:val="en-US"/>
        </w:rPr>
        <w:t>b</w:t>
      </w:r>
      <w:r>
        <w:t>) СП</w:t>
      </w:r>
      <w:r w:rsidR="004948BA">
        <w:t>ЭУ</w:t>
      </w:r>
      <w:r w:rsidR="001B18B8" w:rsidRPr="001B18B8">
        <w:t xml:space="preserve"> ЭЭУ</w:t>
      </w:r>
      <w:r w:rsidR="004948BA">
        <w:t xml:space="preserve"> был принят</w:t>
      </w:r>
      <w:r w:rsidRPr="00A13E9B">
        <w:t xml:space="preserve"> в марте 2021 года, и ожид</w:t>
      </w:r>
      <w:r w:rsidR="004948BA">
        <w:t>ается, что способы реализации СП</w:t>
      </w:r>
      <w:r w:rsidRPr="00A13E9B">
        <w:t>ЭУ в странах будут развиваться со временем. Кроме того, степен</w:t>
      </w:r>
      <w:r w:rsidR="004948BA">
        <w:t>ь, в которой конкретные счета СП</w:t>
      </w:r>
      <w:r w:rsidRPr="00A13E9B">
        <w:t>ЭУ связаны с биоразнообразием, различна, и некоторые счета более непосредственно связаны с биоразнообразием, чем другие. Таким образом, степень,</w:t>
      </w:r>
      <w:r w:rsidR="004948BA">
        <w:t xml:space="preserve"> в которой определенные счета СП</w:t>
      </w:r>
      <w:r w:rsidRPr="00A13E9B">
        <w:t>ЭУ непосредственно интегрируют биоразнообразие в национальные системы учета и отчетности, также будет различаться.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</w:p>
    <w:p w:rsidR="00061AA2" w:rsidRPr="00061AA2" w:rsidRDefault="00061AA2" w:rsidP="00061AA2">
      <w:pPr>
        <w:rPr>
          <w:b/>
          <w:lang w:eastAsia="ru-RU"/>
        </w:rPr>
      </w:pPr>
      <w:r w:rsidRPr="00061AA2">
        <w:rPr>
          <w:b/>
          <w:lang w:eastAsia="en-GB"/>
        </w:rPr>
        <w:t>Субпоказатель</w:t>
      </w:r>
      <w:r w:rsidRPr="00061AA2">
        <w:rPr>
          <w:b/>
          <w:bCs/>
          <w:lang w:eastAsia="ru-RU"/>
        </w:rPr>
        <w:t xml:space="preserve">(а) </w:t>
      </w:r>
    </w:p>
    <w:p w:rsidR="00061AA2" w:rsidRDefault="00061AA2" w:rsidP="00061AA2">
      <w:pPr>
        <w:rPr>
          <w:lang w:eastAsia="ru-RU"/>
        </w:rPr>
      </w:pPr>
      <w:r w:rsidRPr="00F551CF">
        <w:rPr>
          <w:lang w:eastAsia="ru-RU"/>
        </w:rPr>
        <w:t>Шестыенациональныеотчетысодержатполуколичественнуюинформациюопрогрессе,достигнутомвдостижениинациональныхцелевыхпоказателейи/илиглобальныхАйтинскихцелевыхзадач,которыеподдаютсяразработкесистемыоценки.ОценкадостигнутогопрогрессавыполненияАйтинскойцелевойзадачи2посохранениюирациональномуиспользованиюбиоразнообразияпозволитпредоставитьважнуюинформациюдляпоказателя15.</w:t>
      </w:r>
      <w:r>
        <w:rPr>
          <w:lang w:eastAsia="ru-RU"/>
        </w:rPr>
        <w:t>9.1.</w:t>
      </w:r>
    </w:p>
    <w:p w:rsidR="00061AA2" w:rsidRDefault="00061AA2" w:rsidP="00061AA2">
      <w:r w:rsidRPr="00061AA2">
        <w:t>Информация в режиме реального времени доступна в Механизме посредничества Конвенции (</w:t>
      </w:r>
      <w:hyperlink r:id="rId11" w:history="1">
        <w:r w:rsidRPr="00061AA2">
          <w:rPr>
            <w:rStyle w:val="ac"/>
            <w:lang w:val="en-US"/>
          </w:rPr>
          <w:t>https</w:t>
        </w:r>
        <w:r w:rsidRPr="00061AA2">
          <w:rPr>
            <w:rStyle w:val="ac"/>
          </w:rPr>
          <w:t>://</w:t>
        </w:r>
        <w:r w:rsidRPr="00061AA2">
          <w:rPr>
            <w:rStyle w:val="ac"/>
            <w:lang w:val="en-US"/>
          </w:rPr>
          <w:t>chm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cbd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int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search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reporting</w:t>
        </w:r>
        <w:r w:rsidRPr="00061AA2">
          <w:rPr>
            <w:rStyle w:val="ac"/>
          </w:rPr>
          <w:t>-</w:t>
        </w:r>
        <w:r w:rsidRPr="00061AA2">
          <w:rPr>
            <w:rStyle w:val="ac"/>
            <w:lang w:val="en-US"/>
          </w:rPr>
          <w:t>map</w:t>
        </w:r>
        <w:r w:rsidRPr="00061AA2">
          <w:rPr>
            <w:rStyle w:val="ac"/>
          </w:rPr>
          <w:t>?</w:t>
        </w:r>
        <w:r w:rsidRPr="00061AA2">
          <w:rPr>
            <w:rStyle w:val="ac"/>
            <w:lang w:val="en-US"/>
          </w:rPr>
          <w:t>filter</w:t>
        </w:r>
        <w:r w:rsidRPr="00061AA2">
          <w:rPr>
            <w:rStyle w:val="ac"/>
          </w:rPr>
          <w:t>=</w:t>
        </w:r>
        <w:r w:rsidRPr="00061AA2">
          <w:rPr>
            <w:rStyle w:val="ac"/>
            <w:lang w:val="en-US"/>
          </w:rPr>
          <w:t>AICHI</w:t>
        </w:r>
        <w:r w:rsidRPr="00061AA2">
          <w:rPr>
            <w:rStyle w:val="ac"/>
          </w:rPr>
          <w:t>-</w:t>
        </w:r>
        <w:r w:rsidRPr="00061AA2">
          <w:rPr>
            <w:rStyle w:val="ac"/>
            <w:lang w:val="en-US"/>
          </w:rPr>
          <w:t>TARGET</w:t>
        </w:r>
        <w:r w:rsidRPr="00061AA2">
          <w:rPr>
            <w:rStyle w:val="ac"/>
          </w:rPr>
          <w:t>-02</w:t>
        </w:r>
      </w:hyperlink>
      <w:r w:rsidRPr="00061AA2">
        <w:t xml:space="preserve">). Последний анализ содержится в документе </w:t>
      </w:r>
      <w:r w:rsidRPr="00061AA2">
        <w:rPr>
          <w:lang w:val="en-US"/>
        </w:rPr>
        <w:t>CBD</w:t>
      </w:r>
      <w:r w:rsidRPr="00061AA2">
        <w:t>/</w:t>
      </w:r>
      <w:r w:rsidRPr="00061AA2">
        <w:rPr>
          <w:lang w:val="en-US"/>
        </w:rPr>
        <w:t>SBI</w:t>
      </w:r>
      <w:r w:rsidRPr="00061AA2">
        <w:t>/3/2/</w:t>
      </w:r>
      <w:r w:rsidRPr="00061AA2">
        <w:rPr>
          <w:lang w:val="en-US"/>
        </w:rPr>
        <w:t>Add</w:t>
      </w:r>
      <w:r w:rsidRPr="00061AA2">
        <w:t>.2 (</w:t>
      </w:r>
      <w:hyperlink r:id="rId12" w:history="1">
        <w:r w:rsidRPr="00061AA2">
          <w:rPr>
            <w:rStyle w:val="ac"/>
            <w:lang w:val="en-US"/>
          </w:rPr>
          <w:t>https</w:t>
        </w:r>
        <w:r w:rsidRPr="00061AA2">
          <w:rPr>
            <w:rStyle w:val="ac"/>
          </w:rPr>
          <w:t>://</w:t>
        </w:r>
        <w:r w:rsidRPr="00061AA2">
          <w:rPr>
            <w:rStyle w:val="ac"/>
            <w:lang w:val="en-US"/>
          </w:rPr>
          <w:t>www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cbd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int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doc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f</w:t>
        </w:r>
        <w:r w:rsidRPr="00061AA2">
          <w:rPr>
            <w:rStyle w:val="ac"/>
          </w:rPr>
          <w:t>1</w:t>
        </w:r>
        <w:r w:rsidRPr="00061AA2">
          <w:rPr>
            <w:rStyle w:val="ac"/>
            <w:lang w:val="en-US"/>
          </w:rPr>
          <w:t>e</w:t>
        </w:r>
        <w:r w:rsidRPr="00061AA2">
          <w:rPr>
            <w:rStyle w:val="ac"/>
          </w:rPr>
          <w:t>4/</w:t>
        </w:r>
        <w:r w:rsidRPr="00061AA2">
          <w:rPr>
            <w:rStyle w:val="ac"/>
            <w:lang w:val="en-US"/>
          </w:rPr>
          <w:t>ab</w:t>
        </w:r>
        <w:r w:rsidRPr="00061AA2">
          <w:rPr>
            <w:rStyle w:val="ac"/>
          </w:rPr>
          <w:t>2</w:t>
        </w:r>
        <w:r w:rsidRPr="00061AA2">
          <w:rPr>
            <w:rStyle w:val="ac"/>
            <w:lang w:val="en-US"/>
          </w:rPr>
          <w:t>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ff</w:t>
        </w:r>
        <w:r w:rsidRPr="00061AA2">
          <w:rPr>
            <w:rStyle w:val="ac"/>
          </w:rPr>
          <w:t>85</w:t>
        </w:r>
        <w:r w:rsidRPr="00061AA2">
          <w:rPr>
            <w:rStyle w:val="ac"/>
            <w:lang w:val="en-US"/>
          </w:rPr>
          <w:t>fe</w:t>
        </w:r>
        <w:r w:rsidRPr="00061AA2">
          <w:rPr>
            <w:rStyle w:val="ac"/>
          </w:rPr>
          <w:t>53</w:t>
        </w:r>
        <w:r w:rsidRPr="00061AA2">
          <w:rPr>
            <w:rStyle w:val="ac"/>
            <w:lang w:val="en-US"/>
          </w:rPr>
          <w:t>e</w:t>
        </w:r>
        <w:r w:rsidRPr="00061AA2">
          <w:rPr>
            <w:rStyle w:val="ac"/>
          </w:rPr>
          <w:t>210872</w:t>
        </w:r>
        <w:r w:rsidRPr="00061AA2">
          <w:rPr>
            <w:rStyle w:val="ac"/>
            <w:lang w:val="en-US"/>
          </w:rPr>
          <w:t>a</w:t>
        </w:r>
        <w:r w:rsidRPr="00061AA2">
          <w:rPr>
            <w:rStyle w:val="ac"/>
          </w:rPr>
          <w:t>0</w:t>
        </w:r>
        <w:r w:rsidRPr="00061AA2">
          <w:rPr>
            <w:rStyle w:val="ac"/>
            <w:lang w:val="en-US"/>
          </w:rPr>
          <w:t>ceffd</w:t>
        </w:r>
        <w:r w:rsidRPr="00061AA2">
          <w:rPr>
            <w:rStyle w:val="ac"/>
          </w:rPr>
          <w:t>26/</w:t>
        </w:r>
        <w:r w:rsidRPr="00061AA2">
          <w:rPr>
            <w:rStyle w:val="ac"/>
            <w:lang w:val="en-US"/>
          </w:rPr>
          <w:t>sbi</w:t>
        </w:r>
        <w:r w:rsidRPr="00061AA2">
          <w:rPr>
            <w:rStyle w:val="ac"/>
          </w:rPr>
          <w:t>-03-02-</w:t>
        </w:r>
        <w:r w:rsidRPr="00061AA2">
          <w:rPr>
            <w:rStyle w:val="ac"/>
            <w:lang w:val="en-US"/>
          </w:rPr>
          <w:t>add</w:t>
        </w:r>
        <w:r w:rsidRPr="00061AA2">
          <w:rPr>
            <w:rStyle w:val="ac"/>
          </w:rPr>
          <w:t>2-</w:t>
        </w:r>
        <w:r w:rsidRPr="00061AA2">
          <w:rPr>
            <w:rStyle w:val="ac"/>
            <w:lang w:val="en-US"/>
          </w:rPr>
          <w:t>en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pdf</w:t>
        </w:r>
      </w:hyperlink>
      <w:r>
        <w:t xml:space="preserve">). </w:t>
      </w:r>
      <w:r w:rsidRPr="00061AA2">
        <w:t>Оценка данных также представлена в пятом издании Глобальной перспективы в области биоразнообразия (</w:t>
      </w:r>
      <w:r w:rsidRPr="00061AA2">
        <w:rPr>
          <w:lang w:val="en-US"/>
        </w:rPr>
        <w:t>GBO</w:t>
      </w:r>
      <w:r w:rsidRPr="00061AA2">
        <w:t>-5) (</w:t>
      </w:r>
      <w:hyperlink r:id="rId13" w:history="1">
        <w:r w:rsidRPr="007D6ED8">
          <w:rPr>
            <w:rStyle w:val="ac"/>
            <w:lang w:val="en-US"/>
          </w:rPr>
          <w:t>https</w:t>
        </w:r>
        <w:r w:rsidRPr="007D6ED8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7D6ED8">
          <w:rPr>
            <w:rStyle w:val="ac"/>
          </w:rPr>
          <w:t>.</w:t>
        </w:r>
        <w:r w:rsidRPr="007D6ED8">
          <w:rPr>
            <w:rStyle w:val="ac"/>
            <w:lang w:val="en-US"/>
          </w:rPr>
          <w:t>cbd</w:t>
        </w:r>
        <w:r w:rsidRPr="007D6ED8">
          <w:rPr>
            <w:rStyle w:val="ac"/>
          </w:rPr>
          <w:t>.</w:t>
        </w:r>
        <w:r w:rsidRPr="007D6ED8">
          <w:rPr>
            <w:rStyle w:val="ac"/>
            <w:lang w:val="en-US"/>
          </w:rPr>
          <w:t>int</w:t>
        </w:r>
        <w:r w:rsidRPr="007D6ED8">
          <w:rPr>
            <w:rStyle w:val="ac"/>
          </w:rPr>
          <w:t>/</w:t>
        </w:r>
        <w:r w:rsidRPr="007D6ED8">
          <w:rPr>
            <w:rStyle w:val="ac"/>
            <w:lang w:val="en-US"/>
          </w:rPr>
          <w:t>gbo</w:t>
        </w:r>
        <w:r w:rsidRPr="007D6ED8">
          <w:rPr>
            <w:rStyle w:val="ac"/>
          </w:rPr>
          <w:t>5</w:t>
        </w:r>
      </w:hyperlink>
      <w:r w:rsidRPr="00061AA2">
        <w:t>).</w:t>
      </w:r>
    </w:p>
    <w:p w:rsidR="00BF45E9" w:rsidRDefault="00BF45E9" w:rsidP="00061AA2">
      <w:r w:rsidRPr="00BF45E9">
        <w:t>Секретариат КБР собирает данные из национальных докладов следующим образом:</w:t>
      </w:r>
    </w:p>
    <w:p w:rsidR="00BF45E9" w:rsidRDefault="00BF45E9" w:rsidP="00BF45E9">
      <w:r w:rsidRPr="00BF45E9">
        <w:t>Стороны устанавливают национальные целевые задачи на основе Айтинских целевых задач</w:t>
      </w:r>
      <w:r w:rsidR="001E6AC9">
        <w:t xml:space="preserve"> (АЦЗ)</w:t>
      </w:r>
      <w:r w:rsidRPr="00BF45E9">
        <w:t xml:space="preserve"> в области биоразнообразия в своей Национальной стратегии и плане действий по сохранению биоразнообразия (НСПДСБ) и сообщают о ходе выполнения этих национальных целевых задач в своем шестом национальном докладе. </w:t>
      </w:r>
      <w:r>
        <w:rPr>
          <w:rFonts w:eastAsia="Times New Roman"/>
          <w:szCs w:val="24"/>
          <w:lang w:eastAsia="ru-RU"/>
        </w:rPr>
        <w:t xml:space="preserve">Шаблон для национальных </w:t>
      </w:r>
      <w:r w:rsidRPr="00F551CF">
        <w:rPr>
          <w:rFonts w:eastAsia="Times New Roman"/>
          <w:szCs w:val="24"/>
          <w:lang w:eastAsia="ru-RU"/>
        </w:rPr>
        <w:t>отчетовпозволяетимпроверятьодиниз</w:t>
      </w:r>
      <w:r>
        <w:rPr>
          <w:rFonts w:eastAsia="Times New Roman"/>
          <w:szCs w:val="24"/>
          <w:lang w:eastAsia="ru-RU"/>
        </w:rPr>
        <w:t xml:space="preserve"> показателей </w:t>
      </w:r>
      <w:r w:rsidRPr="00F551CF">
        <w:rPr>
          <w:rFonts w:eastAsia="Times New Roman"/>
          <w:szCs w:val="24"/>
          <w:lang w:eastAsia="ru-RU"/>
        </w:rPr>
        <w:t>прогресса,асистемаонлайн-отчетностиприсваи</w:t>
      </w:r>
      <w:r>
        <w:rPr>
          <w:rFonts w:eastAsia="Times New Roman"/>
          <w:szCs w:val="24"/>
          <w:lang w:eastAsia="ru-RU"/>
        </w:rPr>
        <w:t xml:space="preserve">вает </w:t>
      </w:r>
      <w:r w:rsidR="001E6AC9">
        <w:rPr>
          <w:rFonts w:eastAsia="Times New Roman"/>
          <w:szCs w:val="24"/>
          <w:lang w:eastAsia="ru-RU"/>
        </w:rPr>
        <w:t>метки прогресса</w:t>
      </w:r>
      <w:r>
        <w:rPr>
          <w:rFonts w:eastAsia="Times New Roman"/>
          <w:szCs w:val="24"/>
          <w:lang w:eastAsia="ru-RU"/>
        </w:rPr>
        <w:t xml:space="preserve">, как показано ниже. </w:t>
      </w:r>
      <w:r w:rsidRPr="00F551CF">
        <w:rPr>
          <w:rFonts w:eastAsia="Times New Roman"/>
          <w:szCs w:val="24"/>
          <w:lang w:eastAsia="ru-RU"/>
        </w:rPr>
        <w:t>Следовательно,системабудетосновананасамоотчетностисторонибудетсоответствоватьустановленномушаблонуотчетности.</w:t>
      </w:r>
      <w:r w:rsidRPr="00BF45E9">
        <w:rPr>
          <w:lang w:val="en-US"/>
        </w:rPr>
        <w:t>См. Таблицу 1 ниже.</w:t>
      </w:r>
    </w:p>
    <w:p w:rsidR="001E6AC9" w:rsidRPr="001E6AC9" w:rsidRDefault="001E6AC9" w:rsidP="001E6AC9">
      <w:pPr>
        <w:rPr>
          <w:lang w:eastAsia="en-GB"/>
        </w:rPr>
      </w:pPr>
      <w:r>
        <w:rPr>
          <w:lang w:eastAsia="en-GB"/>
        </w:rPr>
        <w:t>Таблица</w:t>
      </w:r>
      <w:r w:rsidRPr="001E6AC9">
        <w:rPr>
          <w:lang w:eastAsia="en-GB"/>
        </w:rPr>
        <w:t xml:space="preserve"> 1. Метк</w:t>
      </w:r>
      <w:r>
        <w:rPr>
          <w:lang w:eastAsia="en-GB"/>
        </w:rPr>
        <w:t>и</w:t>
      </w:r>
      <w:r w:rsidRPr="001E6AC9">
        <w:rPr>
          <w:lang w:eastAsia="en-GB"/>
        </w:rPr>
        <w:t xml:space="preserve"> прогресса для национальной цели </w:t>
      </w:r>
      <w:r>
        <w:rPr>
          <w:lang w:eastAsia="en-GB"/>
        </w:rPr>
        <w:t>АЦЗ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031"/>
      </w:tblGrid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</w:t>
            </w:r>
          </w:p>
        </w:tc>
        <w:tc>
          <w:tcPr>
            <w:tcW w:w="8031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нет национальной задачи, отражающей Айтинскую задачу 2 в области биоразнообразия</w:t>
            </w:r>
          </w:p>
        </w:tc>
      </w:tr>
      <w:tr w:rsidR="001E6AC9" w:rsidRPr="00001D7E" w:rsidTr="00001D7E">
        <w:trPr>
          <w:trHeight w:val="242"/>
        </w:trPr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1</w:t>
            </w:r>
          </w:p>
        </w:tc>
        <w:tc>
          <w:tcPr>
            <w:tcW w:w="8031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но отличается от АЦЗ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2</w:t>
            </w:r>
          </w:p>
        </w:tc>
        <w:tc>
          <w:tcPr>
            <w:tcW w:w="8031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но по ней нет прогресса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3</w:t>
            </w:r>
          </w:p>
        </w:tc>
        <w:tc>
          <w:tcPr>
            <w:tcW w:w="8031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 xml:space="preserve">национальная цель существует, и прогресс есть, но </w:t>
            </w:r>
            <w:r w:rsidR="001B18B8" w:rsidRPr="00001D7E">
              <w:rPr>
                <w:sz w:val="22"/>
                <w:lang w:eastAsia="en-GB"/>
              </w:rPr>
              <w:t xml:space="preserve">он </w:t>
            </w:r>
            <w:r w:rsidRPr="00001D7E">
              <w:rPr>
                <w:sz w:val="22"/>
                <w:lang w:eastAsia="en-GB"/>
              </w:rPr>
              <w:t>идет недостаточными темпами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lastRenderedPageBreak/>
              <w:t>4</w:t>
            </w:r>
          </w:p>
        </w:tc>
        <w:tc>
          <w:tcPr>
            <w:tcW w:w="8031" w:type="dxa"/>
          </w:tcPr>
          <w:p w:rsidR="001E6AC9" w:rsidRPr="00001D7E" w:rsidRDefault="00A400DF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 xml:space="preserve">национальная цель существует, и </w:t>
            </w:r>
            <w:r w:rsidR="00D345F4" w:rsidRPr="00001D7E">
              <w:rPr>
                <w:sz w:val="22"/>
                <w:lang w:eastAsia="en-GB"/>
              </w:rPr>
              <w:t>сторона на пути кее достижению</w:t>
            </w:r>
          </w:p>
        </w:tc>
      </w:tr>
      <w:tr w:rsidR="001E6AC9" w:rsidRPr="00001D7E" w:rsidTr="00001D7E">
        <w:trPr>
          <w:trHeight w:val="269"/>
        </w:trPr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5</w:t>
            </w:r>
          </w:p>
        </w:tc>
        <w:tc>
          <w:tcPr>
            <w:tcW w:w="8031" w:type="dxa"/>
          </w:tcPr>
          <w:p w:rsidR="001E6AC9" w:rsidRPr="00001D7E" w:rsidRDefault="00A400DF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и прогресс идет по пути ее превышения</w:t>
            </w:r>
          </w:p>
        </w:tc>
      </w:tr>
    </w:tbl>
    <w:p w:rsidR="001E6AC9" w:rsidRPr="00A400DF" w:rsidRDefault="001E6AC9" w:rsidP="001E6AC9">
      <w:pPr>
        <w:rPr>
          <w:lang w:eastAsia="en-GB"/>
        </w:rPr>
      </w:pPr>
    </w:p>
    <w:p w:rsidR="00D345F4" w:rsidRDefault="00D345F4" w:rsidP="001E6AC9">
      <w:pPr>
        <w:rPr>
          <w:lang w:eastAsia="en-GB"/>
        </w:rPr>
      </w:pPr>
      <w:r w:rsidRPr="00D345F4">
        <w:rPr>
          <w:lang w:eastAsia="en-GB"/>
        </w:rPr>
        <w:t>Они будут пересчитаны в диапазоне от 0 до 1, как показано в таблице 2.</w:t>
      </w:r>
    </w:p>
    <w:p w:rsidR="00D345F4" w:rsidRPr="00D345F4" w:rsidRDefault="00D345F4" w:rsidP="001E6AC9">
      <w:pPr>
        <w:rPr>
          <w:lang w:eastAsia="en-GB"/>
        </w:rPr>
      </w:pPr>
      <w:r w:rsidRPr="00D345F4">
        <w:rPr>
          <w:lang w:eastAsia="en-GB"/>
        </w:rPr>
        <w:t>Таблица 2. Урове</w:t>
      </w:r>
      <w:r w:rsidR="001B18B8">
        <w:rPr>
          <w:lang w:eastAsia="en-GB"/>
        </w:rPr>
        <w:t>нь оценки (0-1 для национальной</w:t>
      </w:r>
      <w:r>
        <w:rPr>
          <w:lang w:eastAsia="en-GB"/>
        </w:rPr>
        <w:t>цели АЦЗ</w:t>
      </w:r>
      <w:r w:rsidRPr="00D345F4">
        <w:rPr>
          <w:lang w:eastAsia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031"/>
      </w:tblGrid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0.0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нет национальной цели, отражающей АЦЗ 2</w:t>
            </w:r>
          </w:p>
        </w:tc>
      </w:tr>
      <w:tr w:rsidR="001E6AC9" w:rsidRPr="00001D7E" w:rsidTr="00001D7E">
        <w:trPr>
          <w:trHeight w:val="242"/>
        </w:trPr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0.2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но отличается от АЦЗ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0.4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но по ней нет прогресса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0.6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и прогресс есть, но идет недостаточными темпами</w:t>
            </w:r>
          </w:p>
        </w:tc>
      </w:tr>
      <w:tr w:rsidR="001E6AC9" w:rsidRPr="00001D7E" w:rsidTr="00001D7E"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0.8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и страна на пути к ее достижению</w:t>
            </w:r>
          </w:p>
        </w:tc>
      </w:tr>
      <w:tr w:rsidR="001E6AC9" w:rsidRPr="00001D7E" w:rsidTr="00001D7E">
        <w:trPr>
          <w:trHeight w:val="269"/>
        </w:trPr>
        <w:tc>
          <w:tcPr>
            <w:tcW w:w="985" w:type="dxa"/>
          </w:tcPr>
          <w:p w:rsidR="001E6AC9" w:rsidRPr="00001D7E" w:rsidRDefault="001E6AC9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1.0</w:t>
            </w:r>
          </w:p>
        </w:tc>
        <w:tc>
          <w:tcPr>
            <w:tcW w:w="8031" w:type="dxa"/>
          </w:tcPr>
          <w:p w:rsidR="001E6AC9" w:rsidRPr="00001D7E" w:rsidRDefault="00D345F4" w:rsidP="00001D7E">
            <w:pPr>
              <w:spacing w:after="0" w:line="240" w:lineRule="auto"/>
              <w:rPr>
                <w:sz w:val="22"/>
                <w:lang w:eastAsia="en-GB"/>
              </w:rPr>
            </w:pPr>
            <w:r w:rsidRPr="00001D7E">
              <w:rPr>
                <w:sz w:val="22"/>
                <w:lang w:eastAsia="en-GB"/>
              </w:rPr>
              <w:t>национальная цель существует, и прогресс идет по пути ее превышения</w:t>
            </w:r>
          </w:p>
        </w:tc>
      </w:tr>
    </w:tbl>
    <w:p w:rsidR="00D345F4" w:rsidRDefault="00D345F4" w:rsidP="00D345F4">
      <w:pPr>
        <w:rPr>
          <w:lang w:eastAsia="en-GB"/>
        </w:rPr>
      </w:pPr>
    </w:p>
    <w:p w:rsidR="001E6AC9" w:rsidRDefault="00D345F4" w:rsidP="00D345F4">
      <w:pPr>
        <w:rPr>
          <w:lang w:eastAsia="en-GB"/>
        </w:rPr>
      </w:pPr>
      <w:r w:rsidRPr="00D345F4">
        <w:rPr>
          <w:lang w:eastAsia="en-GB"/>
        </w:rPr>
        <w:t>В тех случаях, когда Стороны установили несколько национальных целей, используется среднее числовых значений меток прогресса.</w:t>
      </w:r>
    </w:p>
    <w:p w:rsidR="00D20CD9" w:rsidRPr="00D20CD9" w:rsidRDefault="00D20CD9" w:rsidP="002F5B9C">
      <w:pPr>
        <w:rPr>
          <w:b/>
        </w:rPr>
      </w:pPr>
      <w:r w:rsidRPr="00D20CD9">
        <w:rPr>
          <w:b/>
        </w:rPr>
        <w:t>Субпоказатель (</w:t>
      </w:r>
      <w:r w:rsidRPr="00D20CD9">
        <w:rPr>
          <w:b/>
          <w:lang w:val="en-US"/>
        </w:rPr>
        <w:t>b</w:t>
      </w:r>
      <w:r w:rsidRPr="00D20CD9">
        <w:rPr>
          <w:b/>
        </w:rPr>
        <w:t>)</w:t>
      </w:r>
    </w:p>
    <w:p w:rsidR="00D20CD9" w:rsidRDefault="002F5B9C" w:rsidP="002F5B9C">
      <w:r w:rsidRPr="002F5B9C">
        <w:t xml:space="preserve">Глобальная оценка собирает информацию о том, планируют ли страны в настоящее время </w:t>
      </w:r>
      <w:r w:rsidR="00D20CD9">
        <w:t xml:space="preserve">внедрять </w:t>
      </w:r>
      <w:r w:rsidRPr="002F5B9C">
        <w:t>или</w:t>
      </w:r>
      <w:r w:rsidR="00D20CD9">
        <w:t xml:space="preserve"> уже внедряют учетные записи СП</w:t>
      </w:r>
      <w:r w:rsidRPr="002F5B9C">
        <w:t>ЭУ, внедряются ли конкретные учетные записи и планируются ли новые/будущие учетные записи. Обследование было впервые проведено в национальных статистических управлениях государств-членов ООН и дополнительных территорий в 2006 г. Оно было повторно проведено в 2014 и 2017 гг., а последний раз Глобальная оценка была отправлена в национальные статистические управления в августе 2020 г. Суб</w:t>
      </w:r>
      <w:r w:rsidR="00D20CD9">
        <w:t>показатель (</w:t>
      </w:r>
      <w:r w:rsidRPr="002F5B9C">
        <w:rPr>
          <w:lang w:val="en-US"/>
        </w:rPr>
        <w:t>b</w:t>
      </w:r>
      <w:r w:rsidRPr="002F5B9C">
        <w:t>) определяется как количество стран, которые в своих ответах на Глобальную оценку указали, что они внедрили какие-либо учет</w:t>
      </w:r>
      <w:r w:rsidR="00D20CD9">
        <w:t>ные записи Центральной основы СПЭУ или Экосистемного учета СПЭУ. Суб</w:t>
      </w:r>
      <w:r w:rsidRPr="002F5B9C">
        <w:t xml:space="preserve">показатель использует определение реализации, предложенное </w:t>
      </w:r>
      <w:r w:rsidR="00D20CD9">
        <w:t>КЭПЭУ ООН</w:t>
      </w:r>
      <w:r w:rsidRPr="002F5B9C">
        <w:t>, которое разбивает реализацию на три последовательных этапа:</w:t>
      </w:r>
    </w:p>
    <w:p w:rsidR="002F5B9C" w:rsidRPr="00D20CD9" w:rsidRDefault="003D37B6" w:rsidP="002F5B9C">
      <w:r>
        <w:rPr>
          <w:lang w:val="en-US"/>
        </w:rPr>
        <w:t>I</w:t>
      </w:r>
      <w:r w:rsidR="002F5B9C" w:rsidRPr="00D20CD9">
        <w:t xml:space="preserve">) </w:t>
      </w:r>
      <w:r w:rsidR="001B18B8">
        <w:t>Составля</w:t>
      </w:r>
      <w:r w:rsidR="00D20CD9" w:rsidRPr="00D20CD9">
        <w:t>е</w:t>
      </w:r>
      <w:r w:rsidR="001B18B8">
        <w:t>тся</w:t>
      </w:r>
      <w:r w:rsidR="00D20CD9" w:rsidRPr="00D20CD9">
        <w:t>: страна попадает на этот этап, если она составила хотя бы оди</w:t>
      </w:r>
      <w:r w:rsidR="00D20CD9">
        <w:t>н счет (который соответствует СП</w:t>
      </w:r>
      <w:r w:rsidR="00D20CD9" w:rsidRPr="00D20CD9">
        <w:t>ЭУ) за последние пять лет.</w:t>
      </w:r>
    </w:p>
    <w:p w:rsidR="002F5B9C" w:rsidRPr="00D20CD9" w:rsidRDefault="003D37B6" w:rsidP="002F5B9C">
      <w:r>
        <w:rPr>
          <w:lang w:val="en-US"/>
        </w:rPr>
        <w:t>II</w:t>
      </w:r>
      <w:r w:rsidR="002F5B9C" w:rsidRPr="00D20CD9">
        <w:t xml:space="preserve">) </w:t>
      </w:r>
      <w:r w:rsidR="001B18B8">
        <w:t>Распространяется</w:t>
      </w:r>
      <w:r w:rsidR="00D20CD9" w:rsidRPr="00D20CD9">
        <w:t>: страна попадает на этот этап, если она составила и опубликовала хотя бы один отчет за последние пять лет.</w:t>
      </w:r>
    </w:p>
    <w:p w:rsidR="002F5B9C" w:rsidRPr="00D20CD9" w:rsidRDefault="003D37B6" w:rsidP="002F5B9C">
      <w:r>
        <w:rPr>
          <w:lang w:val="en-US"/>
        </w:rPr>
        <w:t>III</w:t>
      </w:r>
      <w:r w:rsidR="002F5B9C" w:rsidRPr="00D20CD9">
        <w:t xml:space="preserve">) </w:t>
      </w:r>
      <w:r w:rsidR="00D20CD9">
        <w:t>Регулярноесоставл</w:t>
      </w:r>
      <w:r w:rsidR="001B18B8">
        <w:t>яется и распространяется</w:t>
      </w:r>
      <w:r w:rsidR="00D20CD9" w:rsidRPr="00D20CD9">
        <w:t>: страна попадает на этот этап, если она регулярно публикует хотя бы один отчет. Регулярно публикуемые отчеты составляются и публикуются в соответствии с запланированным производственным циклом (который может отличаться в зависимости от аккаунта).</w:t>
      </w:r>
    </w:p>
    <w:p w:rsidR="00D20CD9" w:rsidRPr="00D20CD9" w:rsidRDefault="00D20CD9" w:rsidP="00D20CD9">
      <w:r w:rsidRPr="00D20CD9">
        <w:t>Эти этапы будут оцениваться следующим образом:</w:t>
      </w:r>
    </w:p>
    <w:p w:rsidR="00D20CD9" w:rsidRPr="00D20CD9" w:rsidRDefault="00D20CD9" w:rsidP="00D20CD9">
      <w:r w:rsidRPr="001B18B8">
        <w:t>0- Не</w:t>
      </w:r>
      <w:r w:rsidR="001B18B8">
        <w:t xml:space="preserve"> составляется</w:t>
      </w:r>
    </w:p>
    <w:p w:rsidR="00D20CD9" w:rsidRPr="00D20CD9" w:rsidRDefault="00D20CD9" w:rsidP="00D20CD9">
      <w:r w:rsidRPr="001B18B8">
        <w:t xml:space="preserve">1- </w:t>
      </w:r>
      <w:r>
        <w:t>С</w:t>
      </w:r>
      <w:r w:rsidR="001B18B8">
        <w:t>оставляется</w:t>
      </w:r>
    </w:p>
    <w:p w:rsidR="00D20CD9" w:rsidRPr="001B18B8" w:rsidRDefault="00D20CD9" w:rsidP="00D20CD9">
      <w:r w:rsidRPr="001B18B8">
        <w:lastRenderedPageBreak/>
        <w:t>2- Распростран</w:t>
      </w:r>
      <w:r w:rsidR="001B18B8">
        <w:t>яется</w:t>
      </w:r>
    </w:p>
    <w:p w:rsidR="00D20CD9" w:rsidRDefault="001B18B8" w:rsidP="00D20CD9">
      <w:r>
        <w:t>3- Регулярно</w:t>
      </w:r>
      <w:r w:rsidR="00D20CD9" w:rsidRPr="00D20CD9">
        <w:t xml:space="preserve"> составл</w:t>
      </w:r>
      <w:r>
        <w:t>яется</w:t>
      </w:r>
      <w:r w:rsidR="00D20CD9" w:rsidRPr="00D20CD9">
        <w:t xml:space="preserve"> и распростран</w:t>
      </w:r>
      <w:r>
        <w:t>яется</w:t>
      </w:r>
    </w:p>
    <w:p w:rsidR="002E15F9" w:rsidRPr="00D20CD9" w:rsidRDefault="002E15F9" w:rsidP="00D20CD9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en-US"/>
        </w:rPr>
      </w:pPr>
      <w:r w:rsidRPr="00D20CD9">
        <w:rPr>
          <w:color w:val="auto"/>
          <w:sz w:val="24"/>
          <w:szCs w:val="24"/>
          <w:lang w:val="en-US"/>
        </w:rPr>
        <w:t>4.</w:t>
      </w:r>
      <w:r w:rsidRPr="00BD29EC">
        <w:rPr>
          <w:color w:val="auto"/>
          <w:sz w:val="24"/>
          <w:szCs w:val="24"/>
        </w:rPr>
        <w:t>d</w:t>
      </w:r>
      <w:r w:rsidRPr="00D20CD9">
        <w:rPr>
          <w:color w:val="auto"/>
          <w:sz w:val="24"/>
          <w:szCs w:val="24"/>
          <w:lang w:val="en-US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63769B" w:rsidRDefault="00D20CD9" w:rsidP="00D20CD9">
      <w:r w:rsidRPr="00D20CD9">
        <w:t>Суб</w:t>
      </w:r>
      <w:r>
        <w:t>показатель</w:t>
      </w:r>
      <w:r w:rsidRPr="00D20CD9">
        <w:t xml:space="preserve"> (a): Информация предоставляется непосредственно Сторонами Конвенции о биологическом разнообразии с использованием шаблона национальной отчетности. Данные предоставляются совещаниям Конференции Сторон Конвенции о биологическом разнообразии, а также соответствующим совещаниям вспомогательных органов Конвенции. Информация, предоставленная Сторонами через онлайн-инструмент отчетности для шестого национального доклада, доступна по адресу: </w:t>
      </w:r>
      <w:hyperlink r:id="rId14" w:history="1">
        <w:r w:rsidRPr="0063769B">
          <w:rPr>
            <w:rStyle w:val="ac"/>
          </w:rPr>
          <w:t>https://chm.cbd.int/search/reporting-map?filter=AICHI-TARGET-02.</w:t>
        </w:r>
      </w:hyperlink>
      <w:r w:rsidRPr="00D20CD9">
        <w:t>Информация, представленная Сторонами в а</w:t>
      </w:r>
      <w:r w:rsidR="0063769B">
        <w:t>втономном режиме (в формате PDF) доступна</w:t>
      </w:r>
      <w:r w:rsidRPr="00D20CD9">
        <w:t xml:space="preserve"> по адресу: </w:t>
      </w:r>
      <w:hyperlink r:id="rId15" w:history="1">
        <w:r w:rsidRPr="0063769B">
          <w:rPr>
            <w:rStyle w:val="ac"/>
          </w:rPr>
          <w:t>https://www.cbd.int/reports/</w:t>
        </w:r>
      </w:hyperlink>
    </w:p>
    <w:p w:rsidR="00D20CD9" w:rsidRDefault="00D20CD9" w:rsidP="00D20CD9">
      <w:r w:rsidRPr="00D20CD9">
        <w:t>Суб</w:t>
      </w:r>
      <w:r w:rsidR="0063769B">
        <w:t>показатель</w:t>
      </w:r>
      <w:r w:rsidRPr="00D20CD9">
        <w:t xml:space="preserve"> (b): Для суб</w:t>
      </w:r>
      <w:r w:rsidR="0063769B">
        <w:t>показателя</w:t>
      </w:r>
      <w:r w:rsidRPr="00D20CD9">
        <w:t xml:space="preserve"> (b) данные получены из Глобальной оценки </w:t>
      </w:r>
      <w:r w:rsidR="0063769B">
        <w:t>природно</w:t>
      </w:r>
      <w:r w:rsidRPr="00D20CD9">
        <w:t>-экономического учета и вспомогательной статистики, которая рассылается во все национальные статистические управления. СОООН проверяет данные и консультируется со странами в случае каких-либо расхождений.</w:t>
      </w:r>
    </w:p>
    <w:p w:rsidR="002E15F9" w:rsidRPr="00D20CD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D20CD9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D20CD9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уровне страны</w:t>
      </w:r>
    </w:p>
    <w:p w:rsidR="00E410E7" w:rsidRPr="00E410E7" w:rsidRDefault="00E410E7" w:rsidP="00E410E7">
      <w:r w:rsidRPr="00E410E7">
        <w:t>Суб</w:t>
      </w:r>
      <w:r>
        <w:t>показатель</w:t>
      </w:r>
      <w:r w:rsidRPr="00E410E7">
        <w:t xml:space="preserve"> (a): Отсутствующие значения не вменяются.</w:t>
      </w:r>
    </w:p>
    <w:p w:rsidR="00E410E7" w:rsidRPr="00E410E7" w:rsidRDefault="00E410E7" w:rsidP="00E410E7">
      <w:r w:rsidRPr="00E410E7">
        <w:t>Суб</w:t>
      </w:r>
      <w:r>
        <w:t>показатель</w:t>
      </w:r>
      <w:r w:rsidRPr="00E410E7">
        <w:t xml:space="preserve"> (b): Отсутствующие значения будут</w:t>
      </w:r>
      <w:r>
        <w:t>, если страна не предоставит ответа на Г</w:t>
      </w:r>
      <w:r w:rsidRPr="00E410E7">
        <w:t>лобальную оценку. Если страна не ответит, отсутс</w:t>
      </w:r>
      <w:r>
        <w:t xml:space="preserve">твующие значения будут вменены при условии, что </w:t>
      </w:r>
      <w:r w:rsidRPr="00E410E7">
        <w:t>агентство</w:t>
      </w:r>
      <w:r>
        <w:t>-куратор</w:t>
      </w:r>
      <w:r w:rsidRPr="00E410E7">
        <w:t xml:space="preserve"> сможет найти доказательства реализации, такие</w:t>
      </w:r>
      <w:r>
        <w:t xml:space="preserve"> как онлайн-публикации счетов СП</w:t>
      </w:r>
      <w:r w:rsidRPr="00E410E7">
        <w:t xml:space="preserve">ЭУ или </w:t>
      </w:r>
      <w:r w:rsidR="003D37B6">
        <w:t>информация, полученная</w:t>
      </w:r>
      <w:r w:rsidRPr="00E410E7">
        <w:t xml:space="preserve"> от международных орган</w:t>
      </w:r>
      <w:r>
        <w:t>изаций при составлении счетов СП</w:t>
      </w:r>
      <w:r w:rsidRPr="00E410E7">
        <w:t xml:space="preserve">ЭУ. </w:t>
      </w:r>
      <w:r>
        <w:t>В частности</w:t>
      </w:r>
      <w:r w:rsidRPr="00E410E7">
        <w:t>:</w:t>
      </w:r>
    </w:p>
    <w:p w:rsidR="00E410E7" w:rsidRPr="00E410E7" w:rsidRDefault="00E410E7" w:rsidP="00E410E7">
      <w:r w:rsidRPr="00E410E7">
        <w:t>- Если национальное статистическое управление или другое государственное учреждени</w:t>
      </w:r>
      <w:r w:rsidR="003D37B6">
        <w:t>е опубликовало учетную запись СП</w:t>
      </w:r>
      <w:r w:rsidRPr="00E410E7">
        <w:t>ЭУ, которая доступна в Интернете, эта страна будет с</w:t>
      </w:r>
      <w:r w:rsidR="003D37B6">
        <w:t>читаться страной, составившей СП</w:t>
      </w:r>
      <w:r w:rsidRPr="00E410E7">
        <w:t xml:space="preserve">ЭУ. Поскольку нельзя сделать предположение о том, что страна регулярно составляет и публикует отчет, эта страна подпадает под </w:t>
      </w:r>
      <w:r w:rsidR="003D37B6">
        <w:t xml:space="preserve">Этап </w:t>
      </w:r>
      <w:r w:rsidRPr="00E410E7">
        <w:t>II.</w:t>
      </w:r>
    </w:p>
    <w:p w:rsidR="00E410E7" w:rsidRDefault="00E410E7" w:rsidP="00E410E7">
      <w:r w:rsidRPr="00E410E7">
        <w:t>- Если агентство</w:t>
      </w:r>
      <w:r w:rsidR="003D37B6">
        <w:t>-куратор</w:t>
      </w:r>
      <w:r w:rsidRPr="00E410E7">
        <w:t xml:space="preserve"> обнаружит</w:t>
      </w:r>
      <w:r w:rsidR="003D37B6">
        <w:t>, что страна составляет счета СП</w:t>
      </w:r>
      <w:r w:rsidRPr="00E410E7">
        <w:t>ЭУ в рамках проекта или другой программы внедрения, и проверит это с участвующими международными организациями, эта стран</w:t>
      </w:r>
      <w:r w:rsidR="003D37B6">
        <w:t>а будет считаться составившей СП</w:t>
      </w:r>
      <w:r w:rsidRPr="00E410E7">
        <w:t xml:space="preserve">ЭУ на Этапе I или Этапе II, в зависимости от обстоятельств. Во всех случаях </w:t>
      </w:r>
      <w:r w:rsidR="003D37B6">
        <w:t>вменение</w:t>
      </w:r>
      <w:r w:rsidRPr="00E410E7">
        <w:t xml:space="preserve"> производится только в качестве вто</w:t>
      </w:r>
      <w:r w:rsidR="003D37B6">
        <w:t>рого</w:t>
      </w:r>
      <w:r w:rsidRPr="00E410E7">
        <w:t xml:space="preserve"> шага после перв</w:t>
      </w:r>
      <w:r w:rsidR="003D37B6">
        <w:t>ичного</w:t>
      </w:r>
      <w:r w:rsidRPr="00E410E7">
        <w:t xml:space="preserve"> контакта со странами. Все </w:t>
      </w:r>
      <w:r w:rsidR="003D37B6">
        <w:t>вменения</w:t>
      </w:r>
      <w:r w:rsidRPr="00E410E7">
        <w:t xml:space="preserve"> будут четко </w:t>
      </w:r>
      <w:r w:rsidR="0025310C">
        <w:t>обозначены</w:t>
      </w:r>
      <w:r w:rsidRPr="00E410E7">
        <w:t xml:space="preserve"> для пользователей как </w:t>
      </w:r>
      <w:r w:rsidR="003D37B6">
        <w:t>вменения, произведенные</w:t>
      </w:r>
      <w:r w:rsidRPr="00E410E7">
        <w:t xml:space="preserve"> СОООН.</w:t>
      </w:r>
    </w:p>
    <w:p w:rsidR="002E15F9" w:rsidRPr="00BD29EC" w:rsidRDefault="002E15F9" w:rsidP="00E410E7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региональном и глобальном уровнях</w:t>
      </w:r>
    </w:p>
    <w:p w:rsidR="00040BD3" w:rsidRPr="00040BD3" w:rsidRDefault="00040BD3" w:rsidP="00040BD3">
      <w:pPr>
        <w:rPr>
          <w:lang w:val="en-US"/>
        </w:rPr>
      </w:pPr>
      <w:r>
        <w:lastRenderedPageBreak/>
        <w:t>Суб</w:t>
      </w:r>
      <w:r w:rsidRPr="00040BD3">
        <w:t>показатель (a) Отсутствующие значения считаются равными 0, поскольку этот показатель относится к процессам отчетности. Таким образом, если страна не отчитывается, предполагается, что соответствующей национальной цели нет. Суб</w:t>
      </w:r>
      <w:r>
        <w:t>показатель</w:t>
      </w:r>
      <w:r w:rsidRPr="00040BD3">
        <w:rPr>
          <w:lang w:val="en-US"/>
        </w:rPr>
        <w:t xml:space="preserve"> (b): </w:t>
      </w:r>
      <w:r w:rsidRPr="00040BD3">
        <w:t>будетиспользоватьсяпростойподсчетстран</w:t>
      </w:r>
      <w:r w:rsidRPr="00040BD3">
        <w:rPr>
          <w:lang w:val="en-US"/>
        </w:rPr>
        <w:t>.</w:t>
      </w:r>
    </w:p>
    <w:p w:rsidR="002E15F9" w:rsidRPr="00040BD3" w:rsidRDefault="002E15F9" w:rsidP="0075371E">
      <w:pPr>
        <w:pStyle w:val="MHeader2"/>
        <w:rPr>
          <w:color w:val="auto"/>
          <w:sz w:val="24"/>
          <w:szCs w:val="24"/>
          <w:lang w:val="en-US"/>
        </w:rPr>
      </w:pPr>
      <w:r w:rsidRPr="00040BD3">
        <w:rPr>
          <w:color w:val="auto"/>
          <w:sz w:val="24"/>
          <w:szCs w:val="24"/>
          <w:lang w:val="en-US"/>
        </w:rPr>
        <w:t>4.</w:t>
      </w:r>
      <w:r w:rsidRPr="00BD29EC">
        <w:rPr>
          <w:color w:val="auto"/>
          <w:sz w:val="24"/>
          <w:szCs w:val="24"/>
        </w:rPr>
        <w:t>g</w:t>
      </w:r>
      <w:r w:rsidRPr="00040BD3">
        <w:rPr>
          <w:color w:val="auto"/>
          <w:sz w:val="24"/>
          <w:szCs w:val="24"/>
          <w:lang w:val="en-US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Региональноеагрегирование</w:t>
      </w:r>
    </w:p>
    <w:p w:rsidR="00677D09" w:rsidRDefault="00040BD3" w:rsidP="00040BD3">
      <w:r w:rsidRPr="00040BD3">
        <w:t xml:space="preserve">Для </w:t>
      </w:r>
      <w:r>
        <w:t>суб</w:t>
      </w:r>
      <w:r w:rsidRPr="00040BD3">
        <w:t xml:space="preserve">показателя (a) будут рассчитаны средневзвешенные значения с использованием метода, описанного </w:t>
      </w:r>
      <w:r w:rsidR="00677D09">
        <w:t>по адресу</w:t>
      </w:r>
      <w:r w:rsidRPr="00040BD3">
        <w:t xml:space="preserve">: </w:t>
      </w:r>
      <w:hyperlink r:id="rId16" w:history="1">
        <w:r w:rsidRPr="00040BD3">
          <w:rPr>
            <w:rStyle w:val="ac"/>
          </w:rPr>
          <w:t>http://wesr.unep.org/media/docs/graphs/aggregation_methods.pdf</w:t>
        </w:r>
      </w:hyperlink>
      <w:r>
        <w:t xml:space="preserve">. </w:t>
      </w:r>
    </w:p>
    <w:p w:rsidR="00040BD3" w:rsidRDefault="00040BD3" w:rsidP="00040BD3">
      <w:r>
        <w:t>Для суб</w:t>
      </w:r>
      <w:r w:rsidRPr="00040BD3">
        <w:t>показателя (b) будет использоваться простой подсчет стран.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A6483B" w:rsidRDefault="00A6483B" w:rsidP="00A6483B">
      <w:r w:rsidRPr="00A6483B">
        <w:t>Суб</w:t>
      </w:r>
      <w:r>
        <w:t>показатель</w:t>
      </w:r>
      <w:r w:rsidRPr="00A6483B">
        <w:t xml:space="preserve"> (</w:t>
      </w:r>
      <w:r>
        <w:t>a</w:t>
      </w:r>
      <w:r w:rsidRPr="00A6483B">
        <w:t>): Руководство по отчетности (</w:t>
      </w:r>
      <w:hyperlink r:id="rId17" w:history="1">
        <w:r w:rsidRPr="00A6483B">
          <w:rPr>
            <w:rStyle w:val="ac"/>
          </w:rPr>
          <w:t>решение XIII/27</w:t>
        </w:r>
      </w:hyperlink>
      <w:r w:rsidRPr="00A6483B">
        <w:t xml:space="preserve">), включая шаблоны отчетности, и соответствующее руководство по подготовке шестого национального доклада для Конвенции о биологическом разнообразии доступны по адресу: </w:t>
      </w:r>
      <w:hyperlink r:id="rId18" w:history="1">
        <w:r>
          <w:rPr>
            <w:rStyle w:val="ac"/>
          </w:rPr>
          <w:t>https://www.cbd.int/nr6/</w:t>
        </w:r>
      </w:hyperlink>
    </w:p>
    <w:p w:rsidR="00A6483B" w:rsidRDefault="00A6483B" w:rsidP="00A6483B">
      <w:r w:rsidRPr="00A6483B">
        <w:t>Субиндикатор (</w:t>
      </w:r>
      <w:r>
        <w:t>b</w:t>
      </w:r>
      <w:r w:rsidRPr="00A6483B">
        <w:t xml:space="preserve">): </w:t>
      </w:r>
      <w:r>
        <w:t xml:space="preserve">Не применимо. </w:t>
      </w:r>
    </w:p>
    <w:p w:rsidR="002E15F9" w:rsidRDefault="002E15F9" w:rsidP="00A6483B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A6483B" w:rsidRPr="00A6483B" w:rsidRDefault="00A6483B" w:rsidP="00A6483B">
      <w:r w:rsidRPr="00A6483B">
        <w:t xml:space="preserve">По </w:t>
      </w:r>
      <w:r>
        <w:t>субпоказателю</w:t>
      </w:r>
      <w:r w:rsidRPr="00A6483B">
        <w:t xml:space="preserve"> (а)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 </w:t>
      </w:r>
      <w:r w:rsidRPr="00A6483B">
        <w:t>Конвенции о биологическом разнообразии. Учитывая, что информация предоставляется непосредственно Стороной, существенных вопросов, связанных с управлением качеством, не возникает.</w:t>
      </w:r>
    </w:p>
    <w:p w:rsidR="00A6483B" w:rsidRDefault="00A6483B" w:rsidP="00A6483B">
      <w:r>
        <w:t>Для суб</w:t>
      </w:r>
      <w:r w:rsidRPr="00A6483B">
        <w:t>показателя (</w:t>
      </w:r>
      <w:r>
        <w:t>b</w:t>
      </w:r>
      <w:r w:rsidRPr="00A6483B">
        <w:t xml:space="preserve">) </w:t>
      </w:r>
      <w:r>
        <w:t>КЭПЭУ ООНанализирует опрос по Г</w:t>
      </w:r>
      <w:r w:rsidRPr="00A6483B">
        <w:t xml:space="preserve">лобальной оценке с каждой администрацией, чтобы обеспечить </w:t>
      </w:r>
      <w:r>
        <w:t>его прозрачность</w:t>
      </w:r>
      <w:r w:rsidRPr="00A6483B">
        <w:t xml:space="preserve"> и получение необходимой информации. </w:t>
      </w:r>
      <w:r>
        <w:t>КЭПЭУ ООН</w:t>
      </w:r>
      <w:r w:rsidRPr="00A6483B">
        <w:t xml:space="preserve"> также рассматривает все отчеты, связанные с результатами опроса </w:t>
      </w:r>
      <w:r>
        <w:t>по Г</w:t>
      </w:r>
      <w:r w:rsidRPr="00A6483B">
        <w:t>лобальной оценке</w:t>
      </w:r>
      <w:r>
        <w:t>.</w:t>
      </w:r>
    </w:p>
    <w:p w:rsidR="002E15F9" w:rsidRDefault="002E15F9" w:rsidP="00A6483B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A6483B" w:rsidRPr="00A6483B" w:rsidRDefault="00A6483B" w:rsidP="00A6483B">
      <w:r w:rsidRPr="00A6483B">
        <w:t>Суб</w:t>
      </w:r>
      <w:r>
        <w:t>показатель</w:t>
      </w:r>
      <w:r w:rsidRPr="00A6483B">
        <w:t xml:space="preserve"> (</w:t>
      </w:r>
      <w:r>
        <w:t>a</w:t>
      </w:r>
      <w:r w:rsidRPr="00A6483B">
        <w:t>):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координаторами </w:t>
      </w:r>
      <w:r w:rsidRPr="00A6483B">
        <w:t>Конвенции о биологическом разнообразии. Учитывая, что информация представляется непосредственно Стороной, существенных вопросов, связанных с обеспечением качества, не возникает.</w:t>
      </w:r>
    </w:p>
    <w:p w:rsidR="00A6483B" w:rsidRDefault="00A6483B" w:rsidP="00A6483B">
      <w:r w:rsidRPr="00A6483B">
        <w:t>Суб</w:t>
      </w:r>
      <w:r w:rsidR="0025310C">
        <w:t>показатель</w:t>
      </w:r>
      <w:r w:rsidRPr="00A6483B">
        <w:t xml:space="preserve"> (</w:t>
      </w:r>
      <w:r>
        <w:t>b</w:t>
      </w:r>
      <w:r w:rsidRPr="00A6483B">
        <w:t xml:space="preserve">): когда информация предоставляется странами непосредственно через </w:t>
      </w:r>
      <w:r w:rsidR="0025310C">
        <w:t>опрос по Глобальной оценке</w:t>
      </w:r>
      <w:r w:rsidRPr="00A6483B">
        <w:t xml:space="preserve">, существенных проблем, связанных с обеспечением качества, не возникает. </w:t>
      </w:r>
      <w:r w:rsidR="0025310C" w:rsidRPr="00E410E7">
        <w:t xml:space="preserve">Во всех случаях </w:t>
      </w:r>
      <w:r w:rsidR="0025310C">
        <w:t>вменение</w:t>
      </w:r>
      <w:r w:rsidR="0025310C" w:rsidRPr="00E410E7">
        <w:t xml:space="preserve"> производится только в качестве вто</w:t>
      </w:r>
      <w:r w:rsidR="0025310C">
        <w:t>рого</w:t>
      </w:r>
      <w:r w:rsidR="0025310C" w:rsidRPr="00E410E7">
        <w:t xml:space="preserve"> шага после перв</w:t>
      </w:r>
      <w:r w:rsidR="0025310C">
        <w:t>ичного контакта со странами</w:t>
      </w:r>
      <w:r w:rsidRPr="00A6483B">
        <w:t>. Если СОООН обнаружит</w:t>
      </w:r>
      <w:r w:rsidR="0025310C">
        <w:t xml:space="preserve">, что страна составляет </w:t>
      </w:r>
      <w:r w:rsidR="0025310C">
        <w:lastRenderedPageBreak/>
        <w:t>счета СП</w:t>
      </w:r>
      <w:r w:rsidRPr="00A6483B">
        <w:t>ЭУ в рамках проекта, эта информация проверяется соответствующими лицами в вовлеченных международных организациях.</w:t>
      </w:r>
    </w:p>
    <w:p w:rsidR="002E15F9" w:rsidRDefault="0075371E" w:rsidP="00A6483B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25310C" w:rsidRPr="0025310C" w:rsidRDefault="0025310C" w:rsidP="0025310C">
      <w:r w:rsidRPr="0025310C">
        <w:t>С</w:t>
      </w:r>
      <w:r>
        <w:t>убпоказатель</w:t>
      </w:r>
      <w:r w:rsidRPr="0025310C">
        <w:t xml:space="preserve"> (a):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координаторами </w:t>
      </w:r>
      <w:r w:rsidRPr="0025310C">
        <w:t>Конвенции о биологическом разнообразии. В конечном итоге качество оценки зависит от качества информации, предоставляемой Сторонами. Следует помнить об ограничениях, о</w:t>
      </w:r>
      <w:r w:rsidR="00677D09">
        <w:t>бозначенных</w:t>
      </w:r>
      <w:r w:rsidRPr="0025310C">
        <w:t xml:space="preserve"> в разделе 4.b.</w:t>
      </w:r>
    </w:p>
    <w:p w:rsidR="0025310C" w:rsidRDefault="0025310C" w:rsidP="0025310C">
      <w:r w:rsidRPr="0025310C">
        <w:t>Суб</w:t>
      </w:r>
      <w:r>
        <w:t>показатель</w:t>
      </w:r>
      <w:r w:rsidRPr="0025310C">
        <w:t xml:space="preserve"> (b): Качество ответов Глобальной оценки зависит от качества информации, предоставленной респондентами.</w:t>
      </w:r>
    </w:p>
    <w:p w:rsidR="002E15F9" w:rsidRPr="00BD29EC" w:rsidRDefault="002E15F9" w:rsidP="0025310C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дезагрегирование данных</w:t>
      </w:r>
    </w:p>
    <w:p w:rsidR="0075371E" w:rsidRDefault="0075371E" w:rsidP="0025310C">
      <w:r w:rsidRPr="00BD29EC">
        <w:t>Доступность данных:</w:t>
      </w:r>
    </w:p>
    <w:p w:rsidR="0025310C" w:rsidRPr="00677D09" w:rsidRDefault="0025310C" w:rsidP="00677D09">
      <w:pPr>
        <w:rPr>
          <w:szCs w:val="24"/>
        </w:rPr>
      </w:pPr>
      <w:r w:rsidRPr="00677D09">
        <w:rPr>
          <w:szCs w:val="24"/>
        </w:rPr>
        <w:t>Для субпоказателя (а) на сегодняшний день было проведено шесть раундов национальной отчетности. Крайний срок представления последней национальной отчетности - 31 декабря 2018 года.</w:t>
      </w:r>
    </w:p>
    <w:p w:rsidR="0025310C" w:rsidRDefault="0025310C" w:rsidP="0025310C">
      <w:r w:rsidRPr="0025310C">
        <w:t>По суб</w:t>
      </w:r>
      <w:r>
        <w:t>показателю</w:t>
      </w:r>
      <w:r w:rsidRPr="0025310C">
        <w:t xml:space="preserve"> (</w:t>
      </w:r>
      <w:r>
        <w:t>b</w:t>
      </w:r>
      <w:r w:rsidRPr="0025310C">
        <w:t xml:space="preserve">) Глобальная оценка в последний раз направлялась в национальные статистические управления в августе 2020 года. </w:t>
      </w:r>
      <w:r>
        <w:t>Глобальнаяоценкабудетпроводитьсяежегодно.</w:t>
      </w:r>
    </w:p>
    <w:p w:rsidR="0075371E" w:rsidRDefault="0075371E" w:rsidP="0025310C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Временные ряды:</w:t>
      </w:r>
    </w:p>
    <w:p w:rsidR="0025310C" w:rsidRPr="0025310C" w:rsidRDefault="0025310C" w:rsidP="0025310C">
      <w:r w:rsidRPr="0025310C">
        <w:t>(</w:t>
      </w:r>
      <w:r>
        <w:t>a</w:t>
      </w:r>
      <w:r w:rsidRPr="0025310C">
        <w:t xml:space="preserve">) Коллекция НСПДСБ и национальных отчетов регулярно обновляется Секретариатом КБР (см. </w:t>
      </w:r>
      <w:hyperlink r:id="rId19" w:history="1">
        <w:r w:rsidRPr="004E63B9">
          <w:rPr>
            <w:rStyle w:val="ac"/>
          </w:rPr>
          <w:t>https://www.cbd.int/nbsap/</w:t>
        </w:r>
      </w:hyperlink>
      <w:r w:rsidRPr="0025310C">
        <w:t xml:space="preserve"> и </w:t>
      </w:r>
      <w:hyperlink r:id="rId20" w:history="1">
        <w:r w:rsidRPr="004E63B9">
          <w:rPr>
            <w:rStyle w:val="ac"/>
          </w:rPr>
          <w:t>https://www.cbd.int/reports/</w:t>
        </w:r>
      </w:hyperlink>
      <w:r w:rsidRPr="0025310C">
        <w:t>). В соответствии с Конвенцией национальная отчетность обычно составляется каждые 4 года.</w:t>
      </w:r>
    </w:p>
    <w:p w:rsidR="0025310C" w:rsidRDefault="0025310C" w:rsidP="0025310C">
      <w:r w:rsidRPr="0025310C">
        <w:t>(</w:t>
      </w:r>
      <w:r>
        <w:t>b</w:t>
      </w:r>
      <w:r w:rsidRPr="0025310C">
        <w:t xml:space="preserve">) Отчеты о предыдущих глобальных оценках можно найти здесь: </w:t>
      </w:r>
      <w:hyperlink r:id="rId21" w:history="1">
        <w:r w:rsidRPr="004E63B9">
          <w:rPr>
            <w:rStyle w:val="ac"/>
          </w:rPr>
          <w:t>https://seea.un.org/content/global-assessment-environmental-economic-accounting</w:t>
        </w:r>
      </w:hyperlink>
      <w:r w:rsidR="004E63B9">
        <w:t>. Данные о реализации СП</w:t>
      </w:r>
      <w:r w:rsidRPr="0025310C">
        <w:t>ЭУ будут собираться каждый год, а полный подробный вопросник будет рассылаться приблизительно каждые три года.</w:t>
      </w:r>
    </w:p>
    <w:p w:rsidR="0075371E" w:rsidRDefault="0075371E" w:rsidP="0025310C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Разбивка:</w:t>
      </w:r>
    </w:p>
    <w:p w:rsidR="004E63B9" w:rsidRPr="00BD29EC" w:rsidRDefault="00677D09" w:rsidP="004E63B9">
      <w:r>
        <w:t>Показатель</w:t>
      </w:r>
      <w:bookmarkStart w:id="5" w:name="_GoBack"/>
      <w:bookmarkEnd w:id="5"/>
      <w:r w:rsidR="004E63B9" w:rsidRPr="004E63B9">
        <w:t xml:space="preserve"> доступен на уровне страны.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2E15F9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75371E" w:rsidRPr="00BD29EC">
        <w:rPr>
          <w:color w:val="auto"/>
          <w:sz w:val="24"/>
          <w:szCs w:val="24"/>
          <w:lang w:val="ru-RU"/>
        </w:rPr>
        <w:t>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/>
          <w:b/>
          <w:szCs w:val="24"/>
          <w:lang w:eastAsia="en-GB"/>
        </w:rPr>
      </w:pPr>
      <w:r w:rsidRPr="00040034">
        <w:rPr>
          <w:rFonts w:eastAsia="Times New Roman"/>
          <w:b/>
          <w:szCs w:val="24"/>
          <w:lang w:val="en-US" w:eastAsia="en-GB"/>
        </w:rPr>
        <w:t xml:space="preserve">7. </w:t>
      </w:r>
      <w:r>
        <w:rPr>
          <w:rFonts w:eastAsia="Times New Roman"/>
          <w:b/>
          <w:szCs w:val="24"/>
          <w:lang w:eastAsia="en-GB"/>
        </w:rPr>
        <w:t>Ссылкиидокументы</w:t>
      </w:r>
    </w:p>
    <w:p w:rsidR="004E63B9" w:rsidRDefault="004E63B9" w:rsidP="004E63B9"/>
    <w:p w:rsidR="004E63B9" w:rsidRDefault="004E63B9" w:rsidP="004E63B9"/>
    <w:p w:rsidR="004E63B9" w:rsidRPr="004E63B9" w:rsidRDefault="004E63B9" w:rsidP="004E63B9">
      <w:pPr>
        <w:rPr>
          <w:b/>
        </w:rPr>
      </w:pPr>
      <w:r w:rsidRPr="004E63B9">
        <w:rPr>
          <w:b/>
          <w:lang w:val="en-US"/>
        </w:rPr>
        <w:t>URL</w:t>
      </w:r>
      <w:r w:rsidRPr="004E63B9">
        <w:rPr>
          <w:b/>
        </w:rPr>
        <w:t xml:space="preserve">: </w:t>
      </w:r>
    </w:p>
    <w:p w:rsidR="004E63B9" w:rsidRDefault="004E63B9" w:rsidP="004E63B9">
      <w:r>
        <w:lastRenderedPageBreak/>
        <w:t>Вся информация</w:t>
      </w:r>
      <w:r w:rsidRPr="004E63B9">
        <w:t xml:space="preserve"> о национальной отчетности для Конвенции о биологическом разнообразии </w:t>
      </w:r>
      <w:r>
        <w:t>доступна</w:t>
      </w:r>
      <w:r w:rsidRPr="004E63B9">
        <w:t xml:space="preserve"> по адресу: </w:t>
      </w:r>
      <w:r w:rsidRPr="004E63B9">
        <w:rPr>
          <w:lang w:val="en-US"/>
        </w:rPr>
        <w:t>https</w:t>
      </w:r>
      <w:r w:rsidRPr="004E63B9">
        <w:t>://</w:t>
      </w:r>
      <w:r w:rsidRPr="004E63B9">
        <w:rPr>
          <w:lang w:val="en-US"/>
        </w:rPr>
        <w:t>www</w:t>
      </w:r>
      <w:r w:rsidRPr="004E63B9">
        <w:t>.</w:t>
      </w:r>
      <w:r w:rsidRPr="004E63B9">
        <w:rPr>
          <w:lang w:val="en-US"/>
        </w:rPr>
        <w:t>cbd</w:t>
      </w:r>
      <w:r w:rsidRPr="004E63B9">
        <w:t>.</w:t>
      </w:r>
      <w:r w:rsidRPr="004E63B9">
        <w:rPr>
          <w:lang w:val="en-US"/>
        </w:rPr>
        <w:t>int</w:t>
      </w:r>
      <w:r w:rsidRPr="004E63B9">
        <w:t>/</w:t>
      </w:r>
      <w:r w:rsidRPr="004E63B9">
        <w:rPr>
          <w:lang w:val="en-US"/>
        </w:rPr>
        <w:t>reports</w:t>
      </w:r>
      <w:r w:rsidRPr="004E63B9">
        <w:t xml:space="preserve">/. </w:t>
      </w:r>
    </w:p>
    <w:p w:rsidR="004E63B9" w:rsidRDefault="004E63B9" w:rsidP="004E63B9">
      <w:r w:rsidRPr="004E63B9">
        <w:t>Вс</w:t>
      </w:r>
      <w:r>
        <w:t>я</w:t>
      </w:r>
      <w:r w:rsidRPr="004E63B9">
        <w:t xml:space="preserve"> информаци</w:t>
      </w:r>
      <w:r>
        <w:t>я</w:t>
      </w:r>
      <w:r w:rsidRPr="004E63B9">
        <w:t xml:space="preserve"> о </w:t>
      </w:r>
      <w:r>
        <w:t>СПЭУдоступна по адресу</w:t>
      </w:r>
      <w:r w:rsidRPr="004E63B9">
        <w:t xml:space="preserve">: </w:t>
      </w:r>
      <w:r w:rsidRPr="004E63B9">
        <w:rPr>
          <w:lang w:val="en-US"/>
        </w:rPr>
        <w:t>https</w:t>
      </w:r>
      <w:r w:rsidRPr="004E63B9">
        <w:t>://</w:t>
      </w:r>
      <w:r w:rsidRPr="004E63B9">
        <w:rPr>
          <w:lang w:val="en-US"/>
        </w:rPr>
        <w:t>seea</w:t>
      </w:r>
      <w:r w:rsidRPr="004E63B9">
        <w:t>.</w:t>
      </w:r>
      <w:r w:rsidRPr="004E63B9">
        <w:rPr>
          <w:lang w:val="en-US"/>
        </w:rPr>
        <w:t>un</w:t>
      </w:r>
      <w:r w:rsidRPr="004E63B9">
        <w:t>.</w:t>
      </w:r>
      <w:r w:rsidRPr="004E63B9">
        <w:rPr>
          <w:lang w:val="en-US"/>
        </w:rPr>
        <w:t>org</w:t>
      </w:r>
    </w:p>
    <w:p w:rsidR="004E63B9" w:rsidRPr="004E63B9" w:rsidRDefault="004E63B9" w:rsidP="004E63B9">
      <w:pPr>
        <w:rPr>
          <w:b/>
        </w:rPr>
      </w:pPr>
      <w:r w:rsidRPr="004E63B9">
        <w:rPr>
          <w:b/>
        </w:rPr>
        <w:t xml:space="preserve">Использованные документы: </w:t>
      </w:r>
    </w:p>
    <w:p w:rsidR="004E63B9" w:rsidRPr="004E63B9" w:rsidRDefault="004E63B9" w:rsidP="004E63B9">
      <w:r w:rsidRPr="004E63B9">
        <w:t xml:space="preserve">Партнерство по </w:t>
      </w:r>
      <w:r>
        <w:t>показателям</w:t>
      </w:r>
      <w:r w:rsidRPr="004E63B9">
        <w:t xml:space="preserve"> биоразнообразия: </w:t>
      </w:r>
      <w:hyperlink r:id="rId22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bipindicators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net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bip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dashboard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of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indicatorvisualisations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is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now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live</w:t>
        </w:r>
      </w:hyperlink>
    </w:p>
    <w:p w:rsidR="004E63B9" w:rsidRPr="004E63B9" w:rsidRDefault="004E63B9" w:rsidP="004E63B9">
      <w:r>
        <w:t>Центральная основа СПЭУ</w:t>
      </w:r>
      <w:r w:rsidRPr="004E63B9">
        <w:t xml:space="preserve">: </w:t>
      </w:r>
      <w:hyperlink r:id="rId23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seea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un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org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content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seea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central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framework</w:t>
        </w:r>
      </w:hyperlink>
    </w:p>
    <w:p w:rsidR="004E63B9" w:rsidRPr="004E63B9" w:rsidRDefault="004E63B9" w:rsidP="004E63B9">
      <w:r w:rsidRPr="004E63B9">
        <w:t>Экосистемный учет С</w:t>
      </w:r>
      <w:r>
        <w:t>П</w:t>
      </w:r>
      <w:r w:rsidRPr="004E63B9">
        <w:t xml:space="preserve">ЭУ: </w:t>
      </w:r>
      <w:hyperlink r:id="rId24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seea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un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org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ecosystem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accounting</w:t>
        </w:r>
      </w:hyperlink>
    </w:p>
    <w:p w:rsidR="004E63B9" w:rsidRPr="004E63B9" w:rsidRDefault="004E63B9" w:rsidP="004E63B9">
      <w:r w:rsidRPr="004E63B9">
        <w:t xml:space="preserve">КБР 6-е Руководство по национальной отчетности: </w:t>
      </w:r>
      <w:hyperlink r:id="rId25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cbd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int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nr</w:t>
        </w:r>
        <w:r w:rsidRPr="004E63B9">
          <w:rPr>
            <w:rStyle w:val="ac"/>
          </w:rPr>
          <w:t>6/</w:t>
        </w:r>
        <w:r w:rsidRPr="007D6ED8">
          <w:rPr>
            <w:rStyle w:val="ac"/>
            <w:lang w:val="en-US"/>
          </w:rPr>
          <w:t>default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shtml</w:t>
        </w:r>
      </w:hyperlink>
    </w:p>
    <w:p w:rsidR="004E63B9" w:rsidRPr="004E63B9" w:rsidRDefault="004E63B9" w:rsidP="004E63B9">
      <w:r w:rsidRPr="004E63B9">
        <w:t xml:space="preserve">Текст Конвенции о биологическом разнообразии: </w:t>
      </w:r>
      <w:hyperlink r:id="rId26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cbd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int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convention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text</w:t>
        </w:r>
        <w:r w:rsidRPr="004E63B9">
          <w:rPr>
            <w:rStyle w:val="ac"/>
          </w:rPr>
          <w:t>/</w:t>
        </w:r>
      </w:hyperlink>
    </w:p>
    <w:p w:rsidR="004E63B9" w:rsidRPr="004E63B9" w:rsidRDefault="004E63B9" w:rsidP="004E63B9">
      <w:r w:rsidRPr="004E63B9">
        <w:t xml:space="preserve">Стратегический план сохранения биоразнообразия на 2011–2020 годы – </w:t>
      </w:r>
      <w:hyperlink r:id="rId27" w:history="1">
        <w:r w:rsidRPr="004E63B9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4E63B9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r w:rsidRPr="004E63B9">
          <w:rPr>
            <w:rStyle w:val="ac"/>
            <w:lang w:val="en-US"/>
          </w:rPr>
          <w:t>cbd</w:t>
        </w:r>
        <w:r w:rsidRPr="004E63B9">
          <w:rPr>
            <w:rStyle w:val="ac"/>
          </w:rPr>
          <w:t>.</w:t>
        </w:r>
        <w:r w:rsidRPr="004E63B9">
          <w:rPr>
            <w:rStyle w:val="ac"/>
            <w:lang w:val="en-US"/>
          </w:rPr>
          <w:t>int</w:t>
        </w:r>
        <w:r w:rsidRPr="004E63B9">
          <w:rPr>
            <w:rStyle w:val="ac"/>
          </w:rPr>
          <w:t>/</w:t>
        </w:r>
        <w:r w:rsidRPr="004E63B9">
          <w:rPr>
            <w:rStyle w:val="ac"/>
            <w:lang w:val="en-US"/>
          </w:rPr>
          <w:t>sp</w:t>
        </w:r>
        <w:r w:rsidRPr="004E63B9">
          <w:rPr>
            <w:rStyle w:val="ac"/>
          </w:rPr>
          <w:t>/</w:t>
        </w:r>
      </w:hyperlink>
    </w:p>
    <w:sectPr w:rsidR="004E63B9" w:rsidRPr="004E63B9" w:rsidSect="00197554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D7" w:rsidRDefault="005409D7" w:rsidP="00F73DBC">
      <w:pPr>
        <w:spacing w:after="0" w:line="240" w:lineRule="auto"/>
      </w:pPr>
      <w:r>
        <w:separator/>
      </w:r>
    </w:p>
  </w:endnote>
  <w:endnote w:type="continuationSeparator" w:id="1">
    <w:p w:rsidR="005409D7" w:rsidRDefault="005409D7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D7" w:rsidRDefault="005409D7" w:rsidP="00F73DBC">
      <w:pPr>
        <w:spacing w:after="0" w:line="240" w:lineRule="auto"/>
      </w:pPr>
      <w:r>
        <w:separator/>
      </w:r>
    </w:p>
  </w:footnote>
  <w:footnote w:type="continuationSeparator" w:id="1">
    <w:p w:rsidR="005409D7" w:rsidRDefault="005409D7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0E7" w:rsidRPr="00087B96" w:rsidRDefault="00E410E7" w:rsidP="009508D1">
    <w:pPr>
      <w:pStyle w:val="ae"/>
      <w:jc w:val="right"/>
      <w:rPr>
        <w:i/>
      </w:rPr>
    </w:pPr>
    <w:r w:rsidRPr="00087B96">
      <w:rPr>
        <w:i/>
      </w:rPr>
      <w:t xml:space="preserve">Неофициальный перевод </w:t>
    </w:r>
  </w:p>
  <w:p w:rsidR="00E410E7" w:rsidRPr="00087B96" w:rsidRDefault="00E410E7" w:rsidP="009508D1">
    <w:pPr>
      <w:pStyle w:val="ae"/>
      <w:jc w:val="right"/>
    </w:pPr>
    <w:r w:rsidRPr="00087B96">
      <w:t xml:space="preserve">Последнее обновление: </w:t>
    </w:r>
    <w:r>
      <w:t>май</w:t>
    </w:r>
    <w:r w:rsidRPr="00087B96">
      <w:t xml:space="preserve"> 2022</w:t>
    </w:r>
  </w:p>
  <w:p w:rsidR="00E410E7" w:rsidRDefault="00E410E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D5974"/>
    <w:multiLevelType w:val="multilevel"/>
    <w:tmpl w:val="F2B49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8FC"/>
    <w:rsid w:val="00001D7E"/>
    <w:rsid w:val="00004BE3"/>
    <w:rsid w:val="000376FB"/>
    <w:rsid w:val="00040034"/>
    <w:rsid w:val="00040BD3"/>
    <w:rsid w:val="000476F9"/>
    <w:rsid w:val="00053D20"/>
    <w:rsid w:val="00061AA2"/>
    <w:rsid w:val="00072908"/>
    <w:rsid w:val="00087B96"/>
    <w:rsid w:val="000A210D"/>
    <w:rsid w:val="000A229E"/>
    <w:rsid w:val="000C5EF5"/>
    <w:rsid w:val="000D6F24"/>
    <w:rsid w:val="000E5DA2"/>
    <w:rsid w:val="00116248"/>
    <w:rsid w:val="001470A2"/>
    <w:rsid w:val="001612F6"/>
    <w:rsid w:val="00161624"/>
    <w:rsid w:val="00165896"/>
    <w:rsid w:val="001762D0"/>
    <w:rsid w:val="00197554"/>
    <w:rsid w:val="001A163A"/>
    <w:rsid w:val="001B18B8"/>
    <w:rsid w:val="001E2FC9"/>
    <w:rsid w:val="001E6AC9"/>
    <w:rsid w:val="002064C4"/>
    <w:rsid w:val="002306F8"/>
    <w:rsid w:val="0023568B"/>
    <w:rsid w:val="0025310C"/>
    <w:rsid w:val="0027486A"/>
    <w:rsid w:val="00291FA0"/>
    <w:rsid w:val="002C7BF9"/>
    <w:rsid w:val="002E122C"/>
    <w:rsid w:val="002E15F9"/>
    <w:rsid w:val="002F5B9C"/>
    <w:rsid w:val="002F63E5"/>
    <w:rsid w:val="002F6EF1"/>
    <w:rsid w:val="00303D71"/>
    <w:rsid w:val="003143BC"/>
    <w:rsid w:val="003746BC"/>
    <w:rsid w:val="003859BD"/>
    <w:rsid w:val="003A325C"/>
    <w:rsid w:val="003D37B6"/>
    <w:rsid w:val="003D58DC"/>
    <w:rsid w:val="003E4B17"/>
    <w:rsid w:val="003F4A14"/>
    <w:rsid w:val="00407AF0"/>
    <w:rsid w:val="00407E4E"/>
    <w:rsid w:val="004143B4"/>
    <w:rsid w:val="00421928"/>
    <w:rsid w:val="004344AC"/>
    <w:rsid w:val="00456A2F"/>
    <w:rsid w:val="00456E71"/>
    <w:rsid w:val="004948BA"/>
    <w:rsid w:val="004E087E"/>
    <w:rsid w:val="004E63B9"/>
    <w:rsid w:val="00503B4A"/>
    <w:rsid w:val="005409D7"/>
    <w:rsid w:val="00587D0B"/>
    <w:rsid w:val="005E47BD"/>
    <w:rsid w:val="005F2C0B"/>
    <w:rsid w:val="0061121E"/>
    <w:rsid w:val="0063769B"/>
    <w:rsid w:val="006704C2"/>
    <w:rsid w:val="00677D09"/>
    <w:rsid w:val="00682107"/>
    <w:rsid w:val="00694160"/>
    <w:rsid w:val="006B260E"/>
    <w:rsid w:val="006B3939"/>
    <w:rsid w:val="006C43F8"/>
    <w:rsid w:val="006D7049"/>
    <w:rsid w:val="00702333"/>
    <w:rsid w:val="00705161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E55ED"/>
    <w:rsid w:val="007F06DF"/>
    <w:rsid w:val="00836F3E"/>
    <w:rsid w:val="00853C09"/>
    <w:rsid w:val="008866F5"/>
    <w:rsid w:val="008C2D89"/>
    <w:rsid w:val="00943162"/>
    <w:rsid w:val="009508D1"/>
    <w:rsid w:val="00957A62"/>
    <w:rsid w:val="009655B4"/>
    <w:rsid w:val="009737AE"/>
    <w:rsid w:val="00980F79"/>
    <w:rsid w:val="00982FE8"/>
    <w:rsid w:val="00984CF0"/>
    <w:rsid w:val="009C064B"/>
    <w:rsid w:val="00A110F9"/>
    <w:rsid w:val="00A13E9B"/>
    <w:rsid w:val="00A400DF"/>
    <w:rsid w:val="00A53D4B"/>
    <w:rsid w:val="00A618FC"/>
    <w:rsid w:val="00A6483B"/>
    <w:rsid w:val="00A71EC6"/>
    <w:rsid w:val="00A82CD3"/>
    <w:rsid w:val="00A90D17"/>
    <w:rsid w:val="00A91FDE"/>
    <w:rsid w:val="00AA3FE4"/>
    <w:rsid w:val="00AC1A97"/>
    <w:rsid w:val="00B0378B"/>
    <w:rsid w:val="00B72F77"/>
    <w:rsid w:val="00B838CA"/>
    <w:rsid w:val="00BD29EC"/>
    <w:rsid w:val="00BE06A7"/>
    <w:rsid w:val="00BE2C5D"/>
    <w:rsid w:val="00BE415C"/>
    <w:rsid w:val="00BF45E9"/>
    <w:rsid w:val="00C310A3"/>
    <w:rsid w:val="00C4240F"/>
    <w:rsid w:val="00C47A4A"/>
    <w:rsid w:val="00C515AF"/>
    <w:rsid w:val="00C8596F"/>
    <w:rsid w:val="00C90708"/>
    <w:rsid w:val="00C95AB2"/>
    <w:rsid w:val="00CA1CB1"/>
    <w:rsid w:val="00CD44A7"/>
    <w:rsid w:val="00CD6605"/>
    <w:rsid w:val="00D05466"/>
    <w:rsid w:val="00D20CD9"/>
    <w:rsid w:val="00D2619D"/>
    <w:rsid w:val="00D345F4"/>
    <w:rsid w:val="00D5283A"/>
    <w:rsid w:val="00D53394"/>
    <w:rsid w:val="00DA19D7"/>
    <w:rsid w:val="00DC18AA"/>
    <w:rsid w:val="00DD6309"/>
    <w:rsid w:val="00E123F7"/>
    <w:rsid w:val="00E21B43"/>
    <w:rsid w:val="00E27922"/>
    <w:rsid w:val="00E33CA8"/>
    <w:rsid w:val="00E37D15"/>
    <w:rsid w:val="00E410E7"/>
    <w:rsid w:val="00E559F9"/>
    <w:rsid w:val="00E90BD4"/>
    <w:rsid w:val="00EA596B"/>
    <w:rsid w:val="00EB362A"/>
    <w:rsid w:val="00EB389E"/>
    <w:rsid w:val="00EE0900"/>
    <w:rsid w:val="00F374BA"/>
    <w:rsid w:val="00F5412C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/>
      <w:u w:val="single"/>
    </w:rPr>
  </w:style>
  <w:style w:type="table" w:customStyle="1" w:styleId="ad">
    <w:name w:val="Light Shading"/>
    <w:basedOn w:val="a1"/>
    <w:uiPriority w:val="60"/>
    <w:rsid w:val="000A21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="Times New Roman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en&amp;tl=ru&amp;u=https://www.cbd.int/nbsap/" TargetMode="External"/><Relationship Id="rId13" Type="http://schemas.openxmlformats.org/officeDocument/2006/relationships/hyperlink" Target="https://www.cbd.int/gbo5" TargetMode="External"/><Relationship Id="rId18" Type="http://schemas.openxmlformats.org/officeDocument/2006/relationships/hyperlink" Target="https://www.cbd.int/nr6/" TargetMode="External"/><Relationship Id="rId26" Type="http://schemas.openxmlformats.org/officeDocument/2006/relationships/hyperlink" Target="https://www.cbd.int/convention/tex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ea.un.org/content/global-assessment-environmental-economic-account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bd.int/doc/c/f1e4/ab2c/ff85fe53e210872a0ceffd26/sbi-03-02-add2-en.pdf" TargetMode="External"/><Relationship Id="rId17" Type="http://schemas.openxmlformats.org/officeDocument/2006/relationships/hyperlink" Target="https://www.cbd.int/doc/decisions/cop-13/cop-13-dec-27-en.pdf" TargetMode="External"/><Relationship Id="rId25" Type="http://schemas.openxmlformats.org/officeDocument/2006/relationships/hyperlink" Target="https://www.cbd.int/nr6/default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sr.unep.org/media/docs/graphs/aggregation_methods.pdf" TargetMode="External"/><Relationship Id="rId20" Type="http://schemas.openxmlformats.org/officeDocument/2006/relationships/hyperlink" Target="https://www.cbd.int/report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m.cbd.int/search/reporting-map?filter=AICHI-TARGET-02" TargetMode="External"/><Relationship Id="rId24" Type="http://schemas.openxmlformats.org/officeDocument/2006/relationships/hyperlink" Target="https://seea.un.org/ecosystem-accoun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d.int/reports/%20" TargetMode="External"/><Relationship Id="rId23" Type="http://schemas.openxmlformats.org/officeDocument/2006/relationships/hyperlink" Target="https://seea.un.org/content/seea-central-framewor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ranslate.google.com/translate?hl=ru&amp;prev=_t&amp;sl=en&amp;tl=ru&amp;u=https://seea.un.org/content/global-assessment-environmental-economic-accounting" TargetMode="External"/><Relationship Id="rId19" Type="http://schemas.openxmlformats.org/officeDocument/2006/relationships/hyperlink" Target="https://www.cbd.int/nbsap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ru&amp;prev=_t&amp;sl=en&amp;tl=ru&amp;u=https://www.cbd.int/reports/" TargetMode="External"/><Relationship Id="rId14" Type="http://schemas.openxmlformats.org/officeDocument/2006/relationships/hyperlink" Target="https://chm.cbd.int/search/reporting-map?filter=AICHI-TARGET-02.%20" TargetMode="External"/><Relationship Id="rId22" Type="http://schemas.openxmlformats.org/officeDocument/2006/relationships/hyperlink" Target="https://www.bipindicators.net/bip-dashboard-of-indicatorvisualisations-is-now-live" TargetMode="External"/><Relationship Id="rId27" Type="http://schemas.openxmlformats.org/officeDocument/2006/relationships/hyperlink" Target="https://www.cbd.int/sp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F2C4-777C-4415-B3BB-D3A5F680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27145</CharactersWithSpaces>
  <SharedDoc>false</SharedDoc>
  <HLinks>
    <vt:vector size="120" baseType="variant">
      <vt:variant>
        <vt:i4>3473449</vt:i4>
      </vt:variant>
      <vt:variant>
        <vt:i4>57</vt:i4>
      </vt:variant>
      <vt:variant>
        <vt:i4>0</vt:i4>
      </vt:variant>
      <vt:variant>
        <vt:i4>5</vt:i4>
      </vt:variant>
      <vt:variant>
        <vt:lpwstr>https://www.cbd.int/sp/</vt:lpwstr>
      </vt:variant>
      <vt:variant>
        <vt:lpwstr/>
      </vt:variant>
      <vt:variant>
        <vt:i4>1441815</vt:i4>
      </vt:variant>
      <vt:variant>
        <vt:i4>54</vt:i4>
      </vt:variant>
      <vt:variant>
        <vt:i4>0</vt:i4>
      </vt:variant>
      <vt:variant>
        <vt:i4>5</vt:i4>
      </vt:variant>
      <vt:variant>
        <vt:lpwstr>https://www.cbd.int/convention/text/</vt:lpwstr>
      </vt:variant>
      <vt:variant>
        <vt:lpwstr/>
      </vt:variant>
      <vt:variant>
        <vt:i4>5963782</vt:i4>
      </vt:variant>
      <vt:variant>
        <vt:i4>51</vt:i4>
      </vt:variant>
      <vt:variant>
        <vt:i4>0</vt:i4>
      </vt:variant>
      <vt:variant>
        <vt:i4>5</vt:i4>
      </vt:variant>
      <vt:variant>
        <vt:lpwstr>https://www.cbd.int/nr6/default.shtml</vt:lpwstr>
      </vt:variant>
      <vt:variant>
        <vt:lpwstr/>
      </vt:variant>
      <vt:variant>
        <vt:i4>5505049</vt:i4>
      </vt:variant>
      <vt:variant>
        <vt:i4>48</vt:i4>
      </vt:variant>
      <vt:variant>
        <vt:i4>0</vt:i4>
      </vt:variant>
      <vt:variant>
        <vt:i4>5</vt:i4>
      </vt:variant>
      <vt:variant>
        <vt:lpwstr>https://seea.un.org/ecosystem-accounting</vt:lpwstr>
      </vt:variant>
      <vt:variant>
        <vt:lpwstr/>
      </vt:variant>
      <vt:variant>
        <vt:i4>3670142</vt:i4>
      </vt:variant>
      <vt:variant>
        <vt:i4>45</vt:i4>
      </vt:variant>
      <vt:variant>
        <vt:i4>0</vt:i4>
      </vt:variant>
      <vt:variant>
        <vt:i4>5</vt:i4>
      </vt:variant>
      <vt:variant>
        <vt:lpwstr>https://seea.un.org/content/seea-central-framework</vt:lpwstr>
      </vt:variant>
      <vt:variant>
        <vt:lpwstr/>
      </vt:variant>
      <vt:variant>
        <vt:i4>4128813</vt:i4>
      </vt:variant>
      <vt:variant>
        <vt:i4>42</vt:i4>
      </vt:variant>
      <vt:variant>
        <vt:i4>0</vt:i4>
      </vt:variant>
      <vt:variant>
        <vt:i4>5</vt:i4>
      </vt:variant>
      <vt:variant>
        <vt:lpwstr>https://www.bipindicators.net/bip-dashboard-of-indicatorvisualisations-is-now-live</vt:lpwstr>
      </vt:variant>
      <vt:variant>
        <vt:lpwstr/>
      </vt:variant>
      <vt:variant>
        <vt:i4>2949226</vt:i4>
      </vt:variant>
      <vt:variant>
        <vt:i4>39</vt:i4>
      </vt:variant>
      <vt:variant>
        <vt:i4>0</vt:i4>
      </vt:variant>
      <vt:variant>
        <vt:i4>5</vt:i4>
      </vt:variant>
      <vt:variant>
        <vt:lpwstr>https://seea.un.org/content/global-assessment-environmental-economic-accounting</vt:lpwstr>
      </vt:variant>
      <vt:variant>
        <vt:lpwstr/>
      </vt:variant>
      <vt:variant>
        <vt:i4>1310809</vt:i4>
      </vt:variant>
      <vt:variant>
        <vt:i4>36</vt:i4>
      </vt:variant>
      <vt:variant>
        <vt:i4>0</vt:i4>
      </vt:variant>
      <vt:variant>
        <vt:i4>5</vt:i4>
      </vt:variant>
      <vt:variant>
        <vt:lpwstr>https://www.cbd.int/reports/</vt:lpwstr>
      </vt:variant>
      <vt:variant>
        <vt:lpwstr/>
      </vt:variant>
      <vt:variant>
        <vt:i4>6881335</vt:i4>
      </vt:variant>
      <vt:variant>
        <vt:i4>33</vt:i4>
      </vt:variant>
      <vt:variant>
        <vt:i4>0</vt:i4>
      </vt:variant>
      <vt:variant>
        <vt:i4>5</vt:i4>
      </vt:variant>
      <vt:variant>
        <vt:lpwstr>https://www.cbd.int/nbsap/</vt:lpwstr>
      </vt:variant>
      <vt:variant>
        <vt:lpwstr/>
      </vt:variant>
      <vt:variant>
        <vt:i4>1572866</vt:i4>
      </vt:variant>
      <vt:variant>
        <vt:i4>30</vt:i4>
      </vt:variant>
      <vt:variant>
        <vt:i4>0</vt:i4>
      </vt:variant>
      <vt:variant>
        <vt:i4>5</vt:i4>
      </vt:variant>
      <vt:variant>
        <vt:lpwstr>https://www.cbd.int/nr6/</vt:lpwstr>
      </vt:variant>
      <vt:variant>
        <vt:lpwstr/>
      </vt:variant>
      <vt:variant>
        <vt:i4>983119</vt:i4>
      </vt:variant>
      <vt:variant>
        <vt:i4>27</vt:i4>
      </vt:variant>
      <vt:variant>
        <vt:i4>0</vt:i4>
      </vt:variant>
      <vt:variant>
        <vt:i4>5</vt:i4>
      </vt:variant>
      <vt:variant>
        <vt:lpwstr>https://www.cbd.int/doc/decisions/cop-13/cop-13-dec-27-en.pdf</vt:lpwstr>
      </vt:variant>
      <vt:variant>
        <vt:lpwstr/>
      </vt:variant>
      <vt:variant>
        <vt:i4>3145750</vt:i4>
      </vt:variant>
      <vt:variant>
        <vt:i4>24</vt:i4>
      </vt:variant>
      <vt:variant>
        <vt:i4>0</vt:i4>
      </vt:variant>
      <vt:variant>
        <vt:i4>5</vt:i4>
      </vt:variant>
      <vt:variant>
        <vt:lpwstr>http://wesr.unep.org/media/docs/graphs/aggregation_methods.pdf</vt:lpwstr>
      </vt:variant>
      <vt:variant>
        <vt:lpwstr/>
      </vt:variant>
      <vt:variant>
        <vt:i4>1310809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https://www.cbd.int/reports/</vt:lpwstr>
      </vt:variant>
      <vt:variant>
        <vt:lpwstr/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>https://chm.cbd.int/search/reporting-map?filter=AICHI-TARGET-02.%20</vt:lpwstr>
      </vt:variant>
      <vt:variant>
        <vt:lpwstr/>
      </vt:variant>
      <vt:variant>
        <vt:i4>1179730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https://www.cbd.int/gbo5</vt:lpwstr>
      </vt:variant>
      <vt:variant>
        <vt:lpwstr/>
      </vt:variant>
      <vt:variant>
        <vt:i4>3145846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https://www.cbd.int/doc/c/f1e4/ab2c/ff85fe53e210872a0ceffd26/sbi-03-02-add2-en.pdf</vt:lpwstr>
      </vt:variant>
      <vt:variant>
        <vt:lpwstr/>
      </vt:variant>
      <vt:variant>
        <vt:i4>7995427</vt:i4>
      </vt:variant>
      <vt:variant>
        <vt:i4>9</vt:i4>
      </vt:variant>
      <vt:variant>
        <vt:i4>0</vt:i4>
      </vt:variant>
      <vt:variant>
        <vt:i4>5</vt:i4>
      </vt:variant>
      <vt:variant>
        <vt:lpwstr>https://chm.cbd.int/search/reporting-map?filter=AICHI-TARGET-02</vt:lpwstr>
      </vt:variant>
      <vt:variant>
        <vt:lpwstr/>
      </vt:variant>
      <vt:variant>
        <vt:i4>2228305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https://translate.google.com/translate?hl=ru&amp;prev=_t&amp;sl=en&amp;tl=ru&amp;u=https://seea.un.org/content/global-assessment-environmental-economic-accounting</vt:lpwstr>
      </vt:variant>
      <vt:variant>
        <vt:lpwstr/>
      </vt:variant>
      <vt:variant>
        <vt:i4>7733319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https://translate.google.com/translate?hl=ru&amp;prev=_t&amp;sl=en&amp;tl=ru&amp;u=https://www.cbd.int/reports/</vt:lpwstr>
      </vt:variant>
      <vt:variant>
        <vt:lpwstr/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https://translate.google.com/translate?hl=ru&amp;prev=_t&amp;sl=en&amp;tl=ru&amp;u=https://www.cbd.int/nbsap/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a.abraeva</cp:lastModifiedBy>
  <cp:revision>2</cp:revision>
  <dcterms:created xsi:type="dcterms:W3CDTF">2023-02-02T04:40:00Z</dcterms:created>
  <dcterms:modified xsi:type="dcterms:W3CDTF">2023-02-02T04:40:00Z</dcterms:modified>
</cp:coreProperties>
</file>