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55" w:rsidRPr="00600B5D" w:rsidRDefault="00765855" w:rsidP="00600B5D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b/>
          <w:sz w:val="24"/>
          <w:szCs w:val="24"/>
          <w:lang w:val="ru-RU"/>
        </w:rPr>
        <w:t>Цель 11 Обеспечение открытости, безопасности, жизнестойкости и экологической устойчивости городов и населенных пунктов</w:t>
      </w:r>
    </w:p>
    <w:p w:rsidR="00765855" w:rsidRPr="00600B5D" w:rsidRDefault="00600B5D" w:rsidP="00600B5D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Задача </w:t>
      </w:r>
      <w:r w:rsidR="00765855" w:rsidRPr="00600B5D">
        <w:rPr>
          <w:rFonts w:ascii="Times New Roman" w:hAnsi="Times New Roman" w:cs="Times New Roman"/>
          <w:b/>
          <w:sz w:val="24"/>
          <w:szCs w:val="24"/>
          <w:lang w:val="ru-RU"/>
        </w:rPr>
        <w:t>11.3</w:t>
      </w:r>
      <w:proofErr w:type="gramStart"/>
      <w:r w:rsidR="00765855" w:rsidRPr="00600B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</w:t>
      </w:r>
      <w:proofErr w:type="gramEnd"/>
      <w:r w:rsidR="00765855" w:rsidRPr="00600B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2030 году расширить масштабы открытой для всех и экологически устойчивой урбанизации и возможности для комплексного и устойчивого планирования населенных пунктов и управления ими на основе широкого участия во всех странах</w:t>
      </w:r>
    </w:p>
    <w:p w:rsidR="00765855" w:rsidRPr="00600B5D" w:rsidRDefault="00600B5D" w:rsidP="00600B5D">
      <w:pPr>
        <w:spacing w:before="100" w:beforeAutospacing="1" w:after="100" w:afterAutospacing="1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Показатель </w:t>
      </w:r>
      <w:r w:rsidR="00765855" w:rsidRPr="00600B5D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11.3.2 Доля городов, в которых регулярно и на демократической основе функционируют структуры, обеспечивающие прямое участие гражданского общества в градостроительном планировании и управлении городским хозяйством</w:t>
      </w:r>
    </w:p>
    <w:p w:rsidR="00390A6F" w:rsidRPr="00390A6F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390A6F" w:rsidRPr="002A6775" w:rsidRDefault="00390A6F" w:rsidP="00390A6F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proofErr w:type="spellStart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>Институциональная</w:t>
      </w:r>
      <w:proofErr w:type="spellEnd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>информация</w:t>
      </w:r>
      <w:proofErr w:type="spellEnd"/>
    </w:p>
    <w:p w:rsidR="00390A6F" w:rsidRPr="002A6775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600B5D" w:rsidRPr="00600B5D" w:rsidRDefault="001F1E19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b/>
          <w:sz w:val="24"/>
          <w:szCs w:val="24"/>
          <w:lang w:val="ru-RU"/>
        </w:rPr>
        <w:t>Организаци</w:t>
      </w:r>
      <w:proofErr w:type="gramStart"/>
      <w:r w:rsidRPr="00600B5D">
        <w:rPr>
          <w:rFonts w:ascii="Times New Roman" w:hAnsi="Times New Roman" w:cs="Times New Roman"/>
          <w:b/>
          <w:sz w:val="24"/>
          <w:szCs w:val="24"/>
          <w:lang w:val="ru-RU"/>
        </w:rPr>
        <w:t>я(</w:t>
      </w:r>
      <w:proofErr w:type="gramEnd"/>
      <w:r w:rsidRPr="00600B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и): </w:t>
      </w:r>
    </w:p>
    <w:p w:rsidR="001F1E19" w:rsidRDefault="001F1E19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>ООН-</w:t>
      </w:r>
      <w:proofErr w:type="spellStart"/>
      <w:r w:rsidRPr="00600B5D">
        <w:rPr>
          <w:rFonts w:ascii="Times New Roman" w:hAnsi="Times New Roman" w:cs="Times New Roman"/>
          <w:sz w:val="24"/>
          <w:szCs w:val="24"/>
          <w:lang w:val="ru-RU"/>
        </w:rPr>
        <w:t>Хабитат</w:t>
      </w:r>
      <w:proofErr w:type="spellEnd"/>
    </w:p>
    <w:p w:rsidR="00390A6F" w:rsidRPr="002A6775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90A6F" w:rsidRPr="002A6775" w:rsidRDefault="00390A6F" w:rsidP="00390A6F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Концепции </w:t>
      </w: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 </w:t>
      </w:r>
      <w:proofErr w:type="spellStart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>определения</w:t>
      </w:r>
      <w:proofErr w:type="spellEnd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390A6F" w:rsidRPr="002A6775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1F1E19" w:rsidRPr="00600B5D" w:rsidRDefault="001F1E19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b/>
          <w:sz w:val="24"/>
          <w:szCs w:val="24"/>
          <w:lang w:val="ru-RU"/>
        </w:rPr>
        <w:t>Определение:</w:t>
      </w:r>
    </w:p>
    <w:p w:rsidR="001C20F3" w:rsidRPr="00600B5D" w:rsidRDefault="00765855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>Организации гражданского общества (</w:t>
      </w:r>
      <w:r w:rsidR="001C20F3" w:rsidRPr="00600B5D">
        <w:rPr>
          <w:rFonts w:ascii="Times New Roman" w:hAnsi="Times New Roman" w:cs="Times New Roman"/>
          <w:sz w:val="24"/>
          <w:szCs w:val="24"/>
        </w:rPr>
        <w:t>CSO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) вносят свой вклад в международное развитие. Они предоставляют услуги в области развития и гуманитарную помощь, внедряют новшества в области предоставления услуг, создают местный потенциал и выступают в защиту интересов бедных слоев населения. Однако, действуя в одиночку, их воздействие ограничено по </w:t>
      </w:r>
      <w:r w:rsidR="00AC7D61" w:rsidRPr="00600B5D">
        <w:rPr>
          <w:rFonts w:ascii="Times New Roman" w:hAnsi="Times New Roman" w:cs="Times New Roman"/>
          <w:sz w:val="24"/>
          <w:szCs w:val="24"/>
          <w:lang w:val="ru-RU"/>
        </w:rPr>
        <w:t>объемам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, масштабам и устойчивости. </w:t>
      </w:r>
      <w:proofErr w:type="gramStart"/>
      <w:r w:rsidR="001C20F3" w:rsidRPr="00600B5D">
        <w:rPr>
          <w:rFonts w:ascii="Times New Roman" w:hAnsi="Times New Roman" w:cs="Times New Roman"/>
          <w:sz w:val="24"/>
          <w:szCs w:val="24"/>
        </w:rPr>
        <w:t>CSO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должны более эффективно участвовать в процессах государственной политики.</w:t>
      </w:r>
      <w:proofErr w:type="gramEnd"/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Развитие устойчивых населенных пунктов требует активного участия всех ключевых заинтересованных сторон с </w:t>
      </w:r>
      <w:proofErr w:type="spellStart"/>
      <w:r w:rsidR="00600B5D">
        <w:rPr>
          <w:rFonts w:ascii="Times New Roman" w:hAnsi="Times New Roman" w:cs="Times New Roman"/>
          <w:sz w:val="24"/>
          <w:szCs w:val="24"/>
          <w:lang w:val="ru-RU"/>
        </w:rPr>
        <w:t>уделением</w:t>
      </w:r>
      <w:proofErr w:type="spellEnd"/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особого внимания бенефициарам проектов/программ и уязвимым группам.  </w:t>
      </w:r>
    </w:p>
    <w:p w:rsidR="00AC7D61" w:rsidRPr="00600B5D" w:rsidRDefault="00765855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Поэтому местные и национальные правительства должны стремиться к тому, чтобы: </w:t>
      </w:r>
    </w:p>
    <w:p w:rsidR="00AC7D61" w:rsidRPr="00600B5D" w:rsidRDefault="00765855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a) </w:t>
      </w:r>
      <w:r w:rsidR="00B61327"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облегчать и защищать участие людей и гражданскую активность через независимые организации гражданского общества, которые могут быть </w:t>
      </w:r>
      <w:r w:rsidR="001F1E19" w:rsidRPr="00600B5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61327"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самых разных </w:t>
      </w:r>
      <w:r w:rsidR="001F1E19" w:rsidRPr="00600B5D">
        <w:rPr>
          <w:rFonts w:ascii="Times New Roman" w:hAnsi="Times New Roman" w:cs="Times New Roman"/>
          <w:sz w:val="24"/>
          <w:szCs w:val="24"/>
          <w:lang w:val="ru-RU"/>
        </w:rPr>
        <w:t>уровнях</w:t>
      </w:r>
      <w:r w:rsidR="00B61327"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- местных, национальных и международных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AC7D61" w:rsidRPr="00600B5D" w:rsidRDefault="00765855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1F1E19" w:rsidRPr="00600B5D">
        <w:rPr>
          <w:rFonts w:ascii="Times New Roman" w:hAnsi="Times New Roman" w:cs="Times New Roman"/>
          <w:sz w:val="24"/>
          <w:szCs w:val="24"/>
          <w:lang w:val="ru-RU"/>
        </w:rPr>
        <w:t>продвигать гражданские и правозащитные образовательные и обучающие программы, чтобы жители городов знали о своих правах и меняющихся ролях разных женщин, мужчин и молодых женщин и мужчин в городских условиях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AC7D61" w:rsidRPr="00600B5D" w:rsidRDefault="00765855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c) устранить барьеры, препятствующие участию социально </w:t>
      </w:r>
      <w:proofErr w:type="spellStart"/>
      <w:r w:rsidRPr="00600B5D">
        <w:rPr>
          <w:rFonts w:ascii="Times New Roman" w:hAnsi="Times New Roman" w:cs="Times New Roman"/>
          <w:sz w:val="24"/>
          <w:szCs w:val="24"/>
          <w:lang w:val="ru-RU"/>
        </w:rPr>
        <w:t>маргинализированных</w:t>
      </w:r>
      <w:proofErr w:type="spellEnd"/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групп, и содействовать </w:t>
      </w:r>
      <w:proofErr w:type="spellStart"/>
      <w:r w:rsidRPr="00600B5D">
        <w:rPr>
          <w:rFonts w:ascii="Times New Roman" w:hAnsi="Times New Roman" w:cs="Times New Roman"/>
          <w:sz w:val="24"/>
          <w:szCs w:val="24"/>
          <w:lang w:val="ru-RU"/>
        </w:rPr>
        <w:t>недискриминации</w:t>
      </w:r>
      <w:proofErr w:type="spellEnd"/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и полному и равному участию женщин, молодых мужчин и женщин и </w:t>
      </w:r>
      <w:proofErr w:type="spellStart"/>
      <w:r w:rsidRPr="00600B5D">
        <w:rPr>
          <w:rFonts w:ascii="Times New Roman" w:hAnsi="Times New Roman" w:cs="Times New Roman"/>
          <w:sz w:val="24"/>
          <w:szCs w:val="24"/>
          <w:lang w:val="ru-RU"/>
        </w:rPr>
        <w:t>маргинализированных</w:t>
      </w:r>
      <w:proofErr w:type="spellEnd"/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групп. </w:t>
      </w:r>
    </w:p>
    <w:p w:rsidR="00765855" w:rsidRPr="00600B5D" w:rsidRDefault="00765855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Для полного мониторинга этого показателя важно определить города как уникальные образования и определить, что представляют собой структуры прямого участия гражданского общества. </w:t>
      </w:r>
      <w:r w:rsidR="00A340A3" w:rsidRPr="00600B5D">
        <w:rPr>
          <w:rFonts w:ascii="Times New Roman" w:hAnsi="Times New Roman" w:cs="Times New Roman"/>
          <w:sz w:val="24"/>
          <w:szCs w:val="24"/>
          <w:lang w:val="ru-RU"/>
        </w:rPr>
        <w:t>Городское планирование и управление являются более четкими концепциями, которые разрабатывает ООН-</w:t>
      </w:r>
      <w:proofErr w:type="spellStart"/>
      <w:r w:rsidR="00A340A3" w:rsidRPr="00600B5D">
        <w:rPr>
          <w:rFonts w:ascii="Times New Roman" w:hAnsi="Times New Roman" w:cs="Times New Roman"/>
          <w:sz w:val="24"/>
          <w:szCs w:val="24"/>
          <w:lang w:val="ru-RU"/>
        </w:rPr>
        <w:t>Хабитат</w:t>
      </w:r>
      <w:proofErr w:type="spellEnd"/>
      <w:r w:rsidR="00A340A3"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для развития в течение последних нескольких десятилетий, и они хорошо сформулированы в документах городской повестки дня.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Эксперты, которые работали над методологическими разработками этого показателя, предложили следующие определения, которые помогут в работе над этим показателем.</w:t>
      </w:r>
    </w:p>
    <w:p w:rsidR="00ED5B85" w:rsidRDefault="00ED5B85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2196" w:rsidRPr="00600B5D" w:rsidRDefault="00102196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b/>
          <w:sz w:val="24"/>
          <w:szCs w:val="24"/>
          <w:lang w:val="ru-RU"/>
        </w:rPr>
        <w:t>Обоснование:</w:t>
      </w:r>
    </w:p>
    <w:p w:rsidR="00102196" w:rsidRPr="00600B5D" w:rsidRDefault="00102196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>Этот показатель измеряет прогресс и готовность выборных должностных лиц, городских руководителей и планировщиков интегрировать участие жителей и гражданского общества в городское планирование и управление на различных уровнях. Местные органы власти и правительства наряду с международным сообществом все шире признают ценность участия гражданского общества и жителей в укреплении процессов городского развития. Этот ориентированный на человека подход является ключевым в руководстве процессами городского развития для местной собственности и реализации общинных проектов на общегородском или местном уровнях.</w:t>
      </w:r>
    </w:p>
    <w:p w:rsidR="00102196" w:rsidRPr="00600B5D" w:rsidRDefault="00102196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Гражданское общество и участие общественности способствуют развитию позитивных отношений между правительством и общественностью путем эффективного общения и урегулирования конфликтов на основе сотрудничества. Во многих случаях, когда градостроительные решения принимаются без консультаций, </w:t>
      </w:r>
      <w:proofErr w:type="gramStart"/>
      <w:r w:rsidRPr="00600B5D">
        <w:rPr>
          <w:rFonts w:ascii="Times New Roman" w:hAnsi="Times New Roman" w:cs="Times New Roman"/>
          <w:sz w:val="24"/>
          <w:szCs w:val="24"/>
          <w:lang w:val="ru-RU"/>
        </w:rPr>
        <w:t>желаемые результаты не достигаются</w:t>
      </w:r>
      <w:proofErr w:type="gramEnd"/>
      <w:r w:rsidRPr="00600B5D">
        <w:rPr>
          <w:rFonts w:ascii="Times New Roman" w:hAnsi="Times New Roman" w:cs="Times New Roman"/>
          <w:sz w:val="24"/>
          <w:szCs w:val="24"/>
          <w:lang w:val="ru-RU"/>
        </w:rPr>
        <w:t>, и это оказывает негативное воздействие на общество из-за неэффективного распределения и использования ресурсов. Обеспечение учета широкого разнообразия мнений помогает лицам, принимающим решения, понять взаимосвязи и характер проблем и потенциальных решений, с которыми сталкиваются различные городские условия.</w:t>
      </w:r>
    </w:p>
    <w:p w:rsidR="00102196" w:rsidRPr="00600B5D" w:rsidRDefault="00102196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Городское развитие является отражением идеологии и национальных институтов. Участие общественности означает формирование более широкого консенсуса, что в значительной степени укрепляет политическое взаимодействие между гражданами и правительством и повышает легитимность процесса планирования и самого плана. План более эффективен, если широкая коалиция поддерживает это предложение и работает сообща над его реализацией. </w:t>
      </w:r>
    </w:p>
    <w:p w:rsidR="00102196" w:rsidRPr="00600B5D" w:rsidRDefault="00102196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Гражданское общество и участие общественности в управлении городами также свидетельствует об уважении мнения, потребностей, чаяний и активов участников. Это может повысить их энтузиазм в отношении гражданства и политики и усилить их влияние на городское планирование и общественную жизнь. Когда рассматриваются противоречивые претензии и мнения, существует гораздо более высокая вероятность того, что доверие общественности и </w:t>
      </w:r>
      <w:r w:rsidR="005F52F2" w:rsidRPr="00600B5D">
        <w:rPr>
          <w:rFonts w:ascii="Times New Roman" w:hAnsi="Times New Roman" w:cs="Times New Roman"/>
          <w:sz w:val="24"/>
          <w:szCs w:val="24"/>
          <w:lang w:val="ru-RU"/>
        </w:rPr>
        <w:t>личная заинтересованность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52F2"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>увеличатся. Это имеет более широкие последствия для построения активного, инклюзивного и справедливого общества и более инклюзивной и устойчивой городской среды.</w:t>
      </w:r>
    </w:p>
    <w:p w:rsidR="00ED5B85" w:rsidRDefault="00ED5B85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1E19" w:rsidRPr="00ED5B85" w:rsidRDefault="001F1E19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b/>
          <w:sz w:val="24"/>
          <w:szCs w:val="24"/>
          <w:lang w:val="ru-RU"/>
        </w:rPr>
        <w:t>Основные понятия:</w:t>
      </w:r>
    </w:p>
    <w:p w:rsidR="00765855" w:rsidRPr="00600B5D" w:rsidRDefault="00765855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>Многие ЦУР, связанные с городами, требуют глобального мониторинга с "городом" в качестве единицы анализа. В частности, для мониторинга ЦУР в городах необходимо согласовать глобальное/общее определение понятия "город". Стандартное определение города будет способствовать мониторингу ЦУР путем обеспечения того, чтобы изучаемые районы для пространственных городских ЦУР были стандартизированы и легко воспроизводимы, а также внесет ясность в методологии и подходы к сбору данных для поддержки связанных с землей и сельскими районами показателей. ООН-</w:t>
      </w:r>
      <w:proofErr w:type="spellStart"/>
      <w:r w:rsidRPr="00600B5D">
        <w:rPr>
          <w:rFonts w:ascii="Times New Roman" w:hAnsi="Times New Roman" w:cs="Times New Roman"/>
          <w:sz w:val="24"/>
          <w:szCs w:val="24"/>
          <w:lang w:val="ru-RU"/>
        </w:rPr>
        <w:t>Хабитат</w:t>
      </w:r>
      <w:proofErr w:type="spellEnd"/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в сотрудничестве с Нью-Йоркским университетом и объединенным исследовательским центром Европейской Комиссии приняла два определения городов.</w:t>
      </w:r>
    </w:p>
    <w:p w:rsidR="00765855" w:rsidRPr="00600B5D" w:rsidRDefault="00765855" w:rsidP="00600B5D">
      <w:pPr>
        <w:pStyle w:val="a3"/>
        <w:numPr>
          <w:ilvl w:val="0"/>
          <w:numId w:val="2"/>
        </w:numPr>
        <w:spacing w:before="100" w:beforeAutospacing="1" w:after="100" w:afterAutospacing="1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b/>
          <w:i/>
          <w:sz w:val="24"/>
          <w:szCs w:val="24"/>
          <w:lang w:val="ru-RU"/>
        </w:rPr>
        <w:t>город в соответствии с его градостроительной протяженностью (застроенное и урбанизированное открытое пространство) - нью-йоркский Университет</w:t>
      </w:r>
    </w:p>
    <w:p w:rsidR="00765855" w:rsidRPr="00600B5D" w:rsidRDefault="00A340A3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Градостроительная протяженность </w:t>
      </w:r>
      <w:r w:rsidR="00765855" w:rsidRPr="00600B5D">
        <w:rPr>
          <w:rFonts w:ascii="Times New Roman" w:hAnsi="Times New Roman" w:cs="Times New Roman"/>
          <w:sz w:val="24"/>
          <w:szCs w:val="24"/>
          <w:lang w:val="ru-RU"/>
        </w:rPr>
        <w:t>определяется как общая площадь, занятая застройкой и урбанизированн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765855"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открыто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765855"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пространств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65855" w:rsidRPr="00600B5D">
        <w:rPr>
          <w:rFonts w:ascii="Times New Roman" w:hAnsi="Times New Roman" w:cs="Times New Roman"/>
          <w:sz w:val="24"/>
          <w:szCs w:val="24"/>
          <w:lang w:val="ru-RU"/>
        </w:rPr>
        <w:t>. Площадь застройки определяется как прилегающая территория, занимаемая зданиями и другими непроницаемыми поверхностями, за исключением урбанизированных открытых пространств, как государственных, так и частных, а также пустующих земель.</w:t>
      </w:r>
    </w:p>
    <w:p w:rsidR="00765855" w:rsidRPr="00600B5D" w:rsidRDefault="00765855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Снимки </w:t>
      </w:r>
      <w:proofErr w:type="spellStart"/>
      <w:r w:rsidRPr="00600B5D">
        <w:rPr>
          <w:rFonts w:ascii="Times New Roman" w:hAnsi="Times New Roman" w:cs="Times New Roman"/>
          <w:sz w:val="24"/>
          <w:szCs w:val="24"/>
          <w:lang w:val="ru-RU"/>
        </w:rPr>
        <w:t>Landsat</w:t>
      </w:r>
      <w:proofErr w:type="spellEnd"/>
      <w:r w:rsidRPr="00600B5D">
        <w:rPr>
          <w:rStyle w:val="a6"/>
          <w:rFonts w:ascii="Times New Roman" w:hAnsi="Times New Roman" w:cs="Times New Roman"/>
          <w:sz w:val="24"/>
          <w:szCs w:val="24"/>
          <w:lang w:val="ru-RU"/>
        </w:rPr>
        <w:footnoteReference w:id="1"/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используются для идентификации и классификации пикселей застройки на 3 типа в зависимости от доли плотности застройки (урбанизации) в окружности площадью 1 км</w:t>
      </w:r>
      <w:proofErr w:type="gramStart"/>
      <w:r w:rsidRPr="00600B5D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proofErr w:type="gramEnd"/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данного здания:</w:t>
      </w:r>
    </w:p>
    <w:p w:rsidR="00765855" w:rsidRPr="00ED5B85" w:rsidRDefault="00765855" w:rsidP="00ED5B85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Городская застроенная территория: пиксели застройки, в которых плотность застройки круга пешеходного расстояния превышает 50%. </w:t>
      </w:r>
    </w:p>
    <w:p w:rsidR="00765855" w:rsidRPr="00ED5B85" w:rsidRDefault="00765855" w:rsidP="00ED5B85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Пригородные застроенная </w:t>
      </w:r>
      <w:r w:rsidR="00436926" w:rsidRPr="00ED5B85">
        <w:rPr>
          <w:rFonts w:ascii="Times New Roman" w:hAnsi="Times New Roman" w:cs="Times New Roman"/>
          <w:sz w:val="24"/>
          <w:szCs w:val="24"/>
          <w:lang w:val="ru-RU"/>
        </w:rPr>
        <w:t>территория</w:t>
      </w:r>
      <w:r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F1E19" w:rsidRPr="00ED5B85">
        <w:rPr>
          <w:rFonts w:ascii="Times New Roman" w:hAnsi="Times New Roman" w:cs="Times New Roman"/>
          <w:sz w:val="24"/>
          <w:szCs w:val="24"/>
          <w:lang w:val="ru-RU"/>
        </w:rPr>
        <w:t>пиксели застройки, в которых плотность застройки круга пешеходного расстояния между 25%-50%</w:t>
      </w:r>
      <w:r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36926" w:rsidRPr="00ED5B85">
        <w:rPr>
          <w:rFonts w:ascii="Times New Roman" w:hAnsi="Times New Roman" w:cs="Times New Roman"/>
          <w:sz w:val="24"/>
          <w:szCs w:val="24"/>
          <w:lang w:val="ru-RU"/>
        </w:rPr>
        <w:t>Он также включает в себя разделенные земли, независимо от того, явля</w:t>
      </w:r>
      <w:r w:rsidR="001F1E19" w:rsidRPr="00ED5B85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436926" w:rsidRPr="00ED5B85">
        <w:rPr>
          <w:rFonts w:ascii="Times New Roman" w:hAnsi="Times New Roman" w:cs="Times New Roman"/>
          <w:sz w:val="24"/>
          <w:szCs w:val="24"/>
          <w:lang w:val="ru-RU"/>
        </w:rPr>
        <w:t>тся ли он</w:t>
      </w:r>
      <w:r w:rsidR="001F1E19" w:rsidRPr="00ED5B8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6926"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 полностью незастроенным или нет</w:t>
      </w:r>
      <w:r w:rsidRPr="00ED5B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5855" w:rsidRPr="00ED5B85" w:rsidRDefault="00765855" w:rsidP="00ED5B85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>Сельская застроенная территория: застроенные пиксели, в которых плотность застройки круга пешеходного расстояния составляет менее 25% и которые не расположены на разделенн</w:t>
      </w:r>
      <w:r w:rsidR="00436926" w:rsidRPr="00ED5B85">
        <w:rPr>
          <w:rFonts w:ascii="Times New Roman" w:hAnsi="Times New Roman" w:cs="Times New Roman"/>
          <w:sz w:val="24"/>
          <w:szCs w:val="24"/>
          <w:lang w:val="ru-RU"/>
        </w:rPr>
        <w:t>ых землях</w:t>
      </w:r>
      <w:r w:rsidRPr="00ED5B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5855" w:rsidRPr="00ED5B85" w:rsidRDefault="00765855" w:rsidP="00ED5B85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>Урбанизированное открытое пространство (в основном относится к незастроенным районам, включая открытую сельскую местность, леса, поля, парки, незастроенные городские районы, очищенные земли) классифицируется на 3 типа:</w:t>
      </w:r>
    </w:p>
    <w:p w:rsidR="00765855" w:rsidRPr="00ED5B85" w:rsidRDefault="00A16296" w:rsidP="00ED5B85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Редконаселённое открытое пространство </w:t>
      </w:r>
      <w:r w:rsidR="00765855" w:rsidRPr="00ED5B85">
        <w:rPr>
          <w:rFonts w:ascii="Times New Roman" w:hAnsi="Times New Roman" w:cs="Times New Roman"/>
          <w:sz w:val="24"/>
          <w:szCs w:val="24"/>
          <w:lang w:val="ru-RU"/>
        </w:rPr>
        <w:t>состоит из всех пикселей открытого пространства в пределах 100 метров от городских или пригородных пикселей;</w:t>
      </w:r>
    </w:p>
    <w:p w:rsidR="00765855" w:rsidRPr="00ED5B85" w:rsidRDefault="00765855" w:rsidP="00ED5B85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>Захваченное открытое пространство состоит из всех кластеров открытого пространства, которые полностью окружены городскими и пригородными застроенными пикселями и пикселями открытого пространства вокруг них, и которые занимают площадь менее 200 гектаров; и</w:t>
      </w:r>
    </w:p>
    <w:p w:rsidR="00765855" w:rsidRPr="00ED5B85" w:rsidRDefault="00765855" w:rsidP="00ED5B85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Сельское открытое пространство состоит из всех открытых пространств, которые не являются </w:t>
      </w:r>
      <w:r w:rsidR="00A16296" w:rsidRPr="00ED5B85">
        <w:rPr>
          <w:rFonts w:ascii="Times New Roman" w:hAnsi="Times New Roman" w:cs="Times New Roman"/>
          <w:sz w:val="24"/>
          <w:szCs w:val="24"/>
          <w:lang w:val="ru-RU"/>
        </w:rPr>
        <w:t>редконаселёнными</w:t>
      </w:r>
      <w:r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 или захваченными открытыми пространствами.</w:t>
      </w:r>
    </w:p>
    <w:p w:rsidR="00765855" w:rsidRPr="00600B5D" w:rsidRDefault="00A16296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>Редконаселённое о</w:t>
      </w:r>
      <w:r w:rsidR="00765855"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ткрытое пространство и захваченное открытое пространство вместе составляют урбанизированное открытое пространство в данной области исследования. Другими словами, градостроительная протяженность состоит из всех зданий и небольших открытых пространств (&lt;200 га), которые окружены зданиями, и 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>редконаселённым открытым пространством</w:t>
      </w:r>
      <w:r w:rsidR="00765855" w:rsidRPr="00600B5D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ое </w:t>
      </w:r>
      <w:r w:rsidR="00765855" w:rsidRPr="00600B5D">
        <w:rPr>
          <w:rFonts w:ascii="Times New Roman" w:hAnsi="Times New Roman" w:cs="Times New Roman"/>
          <w:sz w:val="24"/>
          <w:szCs w:val="24"/>
          <w:lang w:val="ru-RU"/>
        </w:rPr>
        <w:t>находится в пределах 100 метров от городских и пригородных зон.</w:t>
      </w:r>
    </w:p>
    <w:p w:rsidR="00765855" w:rsidRPr="00600B5D" w:rsidRDefault="00765855" w:rsidP="00600B5D">
      <w:pPr>
        <w:pStyle w:val="a3"/>
        <w:numPr>
          <w:ilvl w:val="0"/>
          <w:numId w:val="2"/>
        </w:numPr>
        <w:spacing w:before="100" w:beforeAutospacing="1" w:after="100" w:afterAutospacing="1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b/>
          <w:i/>
          <w:sz w:val="24"/>
          <w:szCs w:val="24"/>
          <w:lang w:val="ru-RU"/>
        </w:rPr>
        <w:t>город в соответствии со степенью урбанизации (DEGURBA) - Европейская комиссия</w:t>
      </w:r>
    </w:p>
    <w:p w:rsidR="00765855" w:rsidRPr="00600B5D" w:rsidRDefault="00765855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>Степень урбанизации (DEGURBA) является классификацией, которая указывает на характер области. На основании доли населения, проживающего в 3-х различных типов кластеров, местных административных единиц (</w:t>
      </w:r>
      <w:r w:rsidR="00436926" w:rsidRPr="00600B5D">
        <w:rPr>
          <w:rFonts w:ascii="Times New Roman" w:hAnsi="Times New Roman" w:cs="Times New Roman"/>
          <w:sz w:val="24"/>
          <w:szCs w:val="24"/>
          <w:lang w:val="ru-RU"/>
        </w:rPr>
        <w:t>LAU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>) подразделяются на три вида: малонаселенной местности (сельской местности); средней плотности район</w:t>
      </w:r>
      <w:r w:rsidR="00A16296" w:rsidRPr="00600B5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(поселки и </w:t>
      </w:r>
      <w:proofErr w:type="gramStart"/>
      <w:r w:rsidRPr="00600B5D">
        <w:rPr>
          <w:rFonts w:ascii="Times New Roman" w:hAnsi="Times New Roman" w:cs="Times New Roman"/>
          <w:sz w:val="24"/>
          <w:szCs w:val="24"/>
          <w:lang w:val="ru-RU"/>
        </w:rPr>
        <w:t>пригороды</w:t>
      </w:r>
      <w:proofErr w:type="gramEnd"/>
      <w:r w:rsidRPr="00600B5D">
        <w:rPr>
          <w:rFonts w:ascii="Times New Roman" w:hAnsi="Times New Roman" w:cs="Times New Roman"/>
          <w:sz w:val="24"/>
          <w:szCs w:val="24"/>
          <w:lang w:val="ru-RU"/>
        </w:rPr>
        <w:t>/малы</w:t>
      </w:r>
      <w:r w:rsidR="00A16296" w:rsidRPr="00600B5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городски</w:t>
      </w:r>
      <w:r w:rsidR="00A16296" w:rsidRPr="00600B5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район</w:t>
      </w:r>
      <w:r w:rsidR="00A16296" w:rsidRPr="00600B5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>), и густонаселенный район (города/больш</w:t>
      </w:r>
      <w:r w:rsidR="00A16296" w:rsidRPr="00600B5D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городск</w:t>
      </w:r>
      <w:r w:rsidR="00A16296" w:rsidRPr="00600B5D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район</w:t>
      </w:r>
      <w:r w:rsidR="00A16296" w:rsidRPr="00600B5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>) по итогам 2 этапов.</w:t>
      </w:r>
    </w:p>
    <w:p w:rsidR="00F101FC" w:rsidRPr="00600B5D" w:rsidRDefault="00F101FC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>На первом этапе ячейки сетки площадью 1 км</w:t>
      </w:r>
      <w:proofErr w:type="gramStart"/>
      <w:r w:rsidRPr="00600B5D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proofErr w:type="gramEnd"/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классифицируются на один из трех следующих кластеров в соответствии с их численностью и плотностью:</w:t>
      </w:r>
    </w:p>
    <w:p w:rsidR="00F101FC" w:rsidRPr="00ED5B85" w:rsidRDefault="00F101FC" w:rsidP="00ED5B85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>Кластер высокой плотности/Городской центр: смежные ячейки сетки площадью 1 км</w:t>
      </w:r>
      <w:proofErr w:type="gramStart"/>
      <w:r w:rsidRPr="00ED5B8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proofErr w:type="gramEnd"/>
      <w:r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 с плотностью не менее 1 500 жителей на км</w:t>
      </w:r>
      <w:r w:rsidRPr="00ED5B8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 и минимальной численностью населения 50 000 человек;</w:t>
      </w:r>
    </w:p>
    <w:p w:rsidR="00F101FC" w:rsidRPr="00ED5B85" w:rsidRDefault="00F101FC" w:rsidP="00ED5B85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>Городской кластер: кластер смежных ячеек сетки на 1 км</w:t>
      </w:r>
      <w:proofErr w:type="gramStart"/>
      <w:r w:rsidRPr="00ED5B8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proofErr w:type="gramEnd"/>
      <w:r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 с плотностью не менее 300 человек на км</w:t>
      </w:r>
      <w:r w:rsidRPr="00ED5B8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 и население минимумом 5 000;</w:t>
      </w:r>
    </w:p>
    <w:p w:rsidR="00F101FC" w:rsidRPr="00ED5B85" w:rsidRDefault="00F101FC" w:rsidP="00ED5B85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>Сельская ячейка сетки: ячейка сетки вне кластеров высокой плотности и городских кластеров.</w:t>
      </w:r>
    </w:p>
    <w:p w:rsidR="0007154E" w:rsidRPr="00600B5D" w:rsidRDefault="00F101FC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>На втором этапе местные административные единицы классифицируются по одному из трех типов районов:</w:t>
      </w:r>
    </w:p>
    <w:p w:rsidR="00F101FC" w:rsidRPr="00ED5B85" w:rsidRDefault="00F101FC" w:rsidP="00ED5B8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>Густонаселенн</w:t>
      </w:r>
      <w:r w:rsidR="00A16296" w:rsidRPr="00ED5B85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 район (альтернативные названия: города или крупн</w:t>
      </w:r>
      <w:r w:rsidR="00A16296" w:rsidRPr="00ED5B85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 городск</w:t>
      </w:r>
      <w:r w:rsidR="00A16296" w:rsidRPr="00ED5B85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 район</w:t>
      </w:r>
      <w:r w:rsidR="00A16296" w:rsidRPr="00ED5B8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): </w:t>
      </w:r>
      <w:r w:rsidR="00A16296"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по крайней </w:t>
      </w:r>
      <w:proofErr w:type="gramStart"/>
      <w:r w:rsidR="00A16296" w:rsidRPr="00ED5B85">
        <w:rPr>
          <w:rFonts w:ascii="Times New Roman" w:hAnsi="Times New Roman" w:cs="Times New Roman"/>
          <w:sz w:val="24"/>
          <w:szCs w:val="24"/>
          <w:lang w:val="ru-RU"/>
        </w:rPr>
        <w:t>мере</w:t>
      </w:r>
      <w:proofErr w:type="gramEnd"/>
      <w:r w:rsidR="00A16296"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 50% живут в кластерах высокой плотности; кроме того, в густонаселенных LAU каждый кластер с высокой плотностью должен составлять не менее 75% населения</w:t>
      </w:r>
      <w:r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F31A48" w:rsidRPr="00ED5B85">
        <w:rPr>
          <w:rFonts w:ascii="Times New Roman" w:hAnsi="Times New Roman" w:cs="Times New Roman"/>
          <w:sz w:val="24"/>
          <w:szCs w:val="24"/>
          <w:lang w:val="ru-RU"/>
        </w:rPr>
        <w:t>это также гарантирует, что все кластеры высокой плотности представлены, по крайней мере, одним густонаселенным LAU, даже когда этот кластер составляет менее 50% населения этого LAU</w:t>
      </w:r>
      <w:r w:rsidRPr="00ED5B8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95B38" w:rsidRPr="00ED5B85" w:rsidRDefault="00F101FC" w:rsidP="00ED5B8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>Промежуточная плотность населения (альтернативное название: города и пригороды или малые городские районы): менее 50% населения живет в сельских ячейках сетки и менее 50% живут в кластерах высокой плотности;</w:t>
      </w:r>
      <w:r w:rsidR="00795B38"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101FC" w:rsidRPr="00ED5B85" w:rsidRDefault="00F101FC" w:rsidP="00ED5B85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>Малонаселенная область (альтернативное название: сельская местность): более 50% населения живет в сельских ячейках сетки.</w:t>
      </w:r>
    </w:p>
    <w:p w:rsidR="00ED5B85" w:rsidRDefault="00ED5B85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01FC" w:rsidRPr="00600B5D" w:rsidRDefault="00F101FC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b/>
          <w:sz w:val="24"/>
          <w:szCs w:val="24"/>
          <w:lang w:val="ru-RU"/>
        </w:rPr>
        <w:t>Другие понятия</w:t>
      </w:r>
    </w:p>
    <w:p w:rsidR="00F101FC" w:rsidRPr="00600B5D" w:rsidRDefault="00F101FC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b/>
          <w:sz w:val="24"/>
          <w:szCs w:val="24"/>
          <w:lang w:val="ru-RU"/>
        </w:rPr>
        <w:t>Демократическое участие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>: структуры позволяют и поощряют участие гражданского общества, представляющего различные слои общества, что позволяет обеспечить равное представительство всех членов общества с равными правами на участие и голосовани</w:t>
      </w:r>
      <w:r w:rsidR="00F31A48" w:rsidRPr="00600B5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101FC" w:rsidRPr="00600B5D" w:rsidRDefault="00F101FC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b/>
          <w:sz w:val="24"/>
          <w:szCs w:val="24"/>
          <w:lang w:val="ru-RU"/>
        </w:rPr>
        <w:t>Прямое участие: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структуры позволяют и поощряют доступ гражданского общества и его активное участие в процессе принятия решений без посредников на каждом этапе процесса городского планирования и управления.</w:t>
      </w:r>
    </w:p>
    <w:p w:rsidR="00F101FC" w:rsidRPr="00600B5D" w:rsidRDefault="00F101FC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Регулярное участие: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структуры позволяют и поощряют участие гражданского общества в процессах городского планирования и управления на каждом этапе и не реже одного раза в шесть месяцев.</w:t>
      </w:r>
    </w:p>
    <w:p w:rsidR="00F101FC" w:rsidRPr="00600B5D" w:rsidRDefault="00ED5B85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Маргинализированные</w:t>
      </w:r>
      <w:proofErr w:type="spellEnd"/>
      <w:r w:rsidR="00F101FC" w:rsidRPr="00600B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группы:</w:t>
      </w:r>
      <w:r w:rsidR="00F101FC"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группы людей, которые традиционно не имеют равного права голоса в процессах управления. К ним относятся, в частности, женщины, молодые мужчины и женщины, общины с низким уровнем дохода, этнические меньшинства, религиозные меньшинства, инвалиды, пожилые люди, а также меньшинства и мигранты, занимающиеся вопросами сексуальной и гендерной идентичности.</w:t>
      </w:r>
    </w:p>
    <w:p w:rsidR="00F101FC" w:rsidRPr="00600B5D" w:rsidRDefault="00F101FC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b/>
          <w:sz w:val="24"/>
          <w:szCs w:val="24"/>
          <w:lang w:val="ru-RU"/>
        </w:rPr>
        <w:t>Структуры: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любая формальная структура, допускающая участие гражданского общества. </w:t>
      </w:r>
      <w:proofErr w:type="gramStart"/>
      <w:r w:rsidRPr="00600B5D">
        <w:rPr>
          <w:rFonts w:ascii="Times New Roman" w:hAnsi="Times New Roman" w:cs="Times New Roman"/>
          <w:sz w:val="24"/>
          <w:szCs w:val="24"/>
          <w:lang w:val="ru-RU"/>
        </w:rPr>
        <w:t>Это может включать, но не ограничивается национальн</w:t>
      </w:r>
      <w:r w:rsidR="00F31A48" w:rsidRPr="00600B5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>м или местн</w:t>
      </w:r>
      <w:r w:rsidR="00F31A48" w:rsidRPr="00600B5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>м законодательств</w:t>
      </w:r>
      <w:r w:rsidR="00F31A48" w:rsidRPr="00600B5D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>, политик</w:t>
      </w:r>
      <w:r w:rsidR="00F31A48" w:rsidRPr="00600B5D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>, заседания</w:t>
      </w:r>
      <w:r w:rsidR="00F31A48" w:rsidRPr="00600B5D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Совета, сайты, выборы, ящики для предложений, рассмотрения апелляций, срок для планирования, предложения и т. д. </w:t>
      </w:r>
      <w:proofErr w:type="gramEnd"/>
    </w:p>
    <w:p w:rsidR="00F101FC" w:rsidRPr="00600B5D" w:rsidRDefault="00F101FC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b/>
          <w:sz w:val="24"/>
          <w:szCs w:val="24"/>
          <w:lang w:val="ru-RU"/>
        </w:rPr>
        <w:t>Гражданское общество: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объединение неправительственных организаций, общинных групп, общинных организаций, региональных представительных групп, союзов, научно-исследовательских институтов, аналитических центров, профессиональных организаций, некоммерческих спортивных и культурных групп и любых других групп, представляющих интересы и волю членов и более широкого сообщества. </w:t>
      </w:r>
    </w:p>
    <w:p w:rsidR="00F101FC" w:rsidRPr="00600B5D" w:rsidRDefault="00F101FC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b/>
          <w:sz w:val="24"/>
          <w:szCs w:val="24"/>
          <w:lang w:val="ru-RU"/>
        </w:rPr>
        <w:t>Городское управление: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должностные лица, включая выборных должностных лиц и государственных служащих, которые отвечают за городское управление во всех секторах, таких, как дороги, водоснабжение, санитария, энергетика, общественные места, земельные участки и т.д.</w:t>
      </w:r>
    </w:p>
    <w:p w:rsidR="00F101FC" w:rsidRPr="00600B5D" w:rsidRDefault="00795B38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b/>
          <w:sz w:val="24"/>
          <w:szCs w:val="24"/>
          <w:lang w:val="ru-RU"/>
        </w:rPr>
        <w:t>Учет городского бюджета</w:t>
      </w:r>
      <w:r w:rsidR="00F101FC" w:rsidRPr="00600B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F101FC" w:rsidRPr="00600B5D">
        <w:rPr>
          <w:rFonts w:ascii="Times New Roman" w:hAnsi="Times New Roman" w:cs="Times New Roman"/>
          <w:sz w:val="24"/>
          <w:szCs w:val="24"/>
          <w:lang w:val="ru-RU"/>
        </w:rPr>
        <w:t>процесс, посредством которого деньги выделяются различным секторам городского управления, включая дороги, водоснабжение, санитарию, энергетику, общественные места, земельные участки и т.д.</w:t>
      </w:r>
    </w:p>
    <w:p w:rsidR="00F101FC" w:rsidRPr="00600B5D" w:rsidRDefault="00795B38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b/>
          <w:sz w:val="24"/>
          <w:szCs w:val="24"/>
          <w:lang w:val="ru-RU"/>
        </w:rPr>
        <w:t>Градостроительство, включая проектирование и соглашения</w:t>
      </w:r>
      <w:r w:rsidR="00F101FC" w:rsidRPr="00600B5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F101FC"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технический и политический процесс, касающийся освоения и использования земель, использования природной среды и т.д. Проектирование включает в себя комплексное и специфическое проектирование общественных пространств, а также определение зонирования и землепользования. Соглашения касаются конкретных контрактов/соглашений с различными группами в отношении к своей земле, например, группы коренного населения, особо охраняемых природных средах и т. д.</w:t>
      </w:r>
    </w:p>
    <w:p w:rsidR="00ED5B85" w:rsidRDefault="00ED5B85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0A6F" w:rsidRDefault="00390A6F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0A6F" w:rsidRDefault="00390A6F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31A48" w:rsidRPr="00600B5D" w:rsidRDefault="00F31A48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Комментарии и ограничения:</w:t>
      </w:r>
    </w:p>
    <w:p w:rsidR="00F31A48" w:rsidRPr="00600B5D" w:rsidRDefault="00F31A48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измеряет наличие структур для участия гражданского общества в городском планировании и управлении, что является отражением структуры голосов граждан/участия. Тот факт, что оценку проводят информированные оценщики, может привести к возникновению расхождений. Эти предубеждения и расхождения были рассмотрены на экспериментальных этапах, и до сих пор опыт показывает, что незначительные различия не столь велики, как мы ожидали.  В целом оценки оценщиков иногда не отражают полного анализа эффективности или доступности этих структур в целом, но дают представление о том, как эти оценщики оценивают </w:t>
      </w:r>
      <w:proofErr w:type="spellStart"/>
      <w:r w:rsidRPr="00600B5D">
        <w:rPr>
          <w:rFonts w:ascii="Times New Roman" w:hAnsi="Times New Roman" w:cs="Times New Roman"/>
          <w:sz w:val="24"/>
          <w:szCs w:val="24"/>
          <w:lang w:val="ru-RU"/>
        </w:rPr>
        <w:t>инклюзивность</w:t>
      </w:r>
      <w:proofErr w:type="spellEnd"/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и открытость этих структур с учетом участия граждан и гражданского общества. Изменения в данных будут изучаться на предмет внутригородских различий и </w:t>
      </w:r>
      <w:proofErr w:type="spellStart"/>
      <w:r w:rsidRPr="00600B5D">
        <w:rPr>
          <w:rFonts w:ascii="Times New Roman" w:hAnsi="Times New Roman" w:cs="Times New Roman"/>
          <w:sz w:val="24"/>
          <w:szCs w:val="24"/>
          <w:lang w:val="ru-RU"/>
        </w:rPr>
        <w:t>внутристрановых</w:t>
      </w:r>
      <w:proofErr w:type="spellEnd"/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различий с течением времени, чтобы понять больше источников для различий и внутренней согласованности.</w:t>
      </w:r>
    </w:p>
    <w:p w:rsidR="00F31A48" w:rsidRPr="00600B5D" w:rsidRDefault="00F31A48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В рамках гражданского общества существует множество типов субъектов, включая гражданские общества, возглавляемые отдельными лицами, общинными группами, адвокатами, корпорациями и фондами.  Аналогичным образом, существует много различных мнений в отношении актуальности и важности участия гражданского общества, особенно, возможно, среди различных групп, перечисленных выше, и для этих различных структур на городском уровне, которые могут быть доступны для участия или нет. </w:t>
      </w:r>
    </w:p>
    <w:p w:rsidR="00F31A48" w:rsidRPr="00600B5D" w:rsidRDefault="00F31A48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>Наконец, участие гражданского общества в городском планировании и управлении предполагает дублирование направлений и целей, а также сочетание запланированных и непредсказуемых элементов.   Продвижение к измерительной системе призвано помочь разобраться в теориях и путях – не устанавливать жесткие границы, а скорее помочь как городским управленцам, так и сообществам лучше понять, чего они пытаются достичь, и как им это сделать.</w:t>
      </w:r>
    </w:p>
    <w:p w:rsidR="00390A6F" w:rsidRPr="002A6775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90A6F" w:rsidRPr="002A6775" w:rsidRDefault="00390A6F" w:rsidP="00390A6F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proofErr w:type="spellStart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>Методология</w:t>
      </w:r>
      <w:proofErr w:type="spellEnd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390A6F" w:rsidRPr="002A6775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F101FC" w:rsidRPr="00ED5B85" w:rsidRDefault="00F101FC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b/>
          <w:sz w:val="24"/>
          <w:szCs w:val="24"/>
          <w:lang w:val="ru-RU"/>
        </w:rPr>
        <w:t>Метод расчета</w:t>
      </w:r>
      <w:r w:rsidR="00ED5B8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F101FC" w:rsidRPr="00600B5D" w:rsidRDefault="00F101FC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Для оценки наличия структур прямого участия гражданского общества в городском планировании и управлении на городском уровне будет использоваться оценочный подход для оценки имеющихся структур участия гражданского общества в городском планировании и управлении, как это было оценено пятью (5) местными экспертами из правительства, научных кругов, гражданского общества и международных организаций. Выявление и отбор этих 5 местных оценщиков/экспертов будет осуществляться местными группами городских </w:t>
      </w:r>
      <w:r w:rsidR="00102196" w:rsidRPr="00600B5D">
        <w:rPr>
          <w:rFonts w:ascii="Times New Roman" w:hAnsi="Times New Roman" w:cs="Times New Roman"/>
          <w:sz w:val="24"/>
          <w:szCs w:val="24"/>
          <w:lang w:val="ru-RU"/>
        </w:rPr>
        <w:t>наблюдательных советов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, которые имеются во многих городах. В </w:t>
      </w:r>
      <w:r w:rsidR="00102196" w:rsidRPr="00600B5D">
        <w:rPr>
          <w:rFonts w:ascii="Times New Roman" w:hAnsi="Times New Roman" w:cs="Times New Roman"/>
          <w:sz w:val="24"/>
          <w:szCs w:val="24"/>
          <w:lang w:val="ru-RU"/>
        </w:rPr>
        <w:t>пилотных проектах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, эти 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городские </w:t>
      </w:r>
      <w:r w:rsidR="00102196" w:rsidRPr="00600B5D">
        <w:rPr>
          <w:rFonts w:ascii="Times New Roman" w:hAnsi="Times New Roman" w:cs="Times New Roman"/>
          <w:sz w:val="24"/>
          <w:szCs w:val="24"/>
          <w:lang w:val="ru-RU"/>
        </w:rPr>
        <w:t>советы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, как местные </w:t>
      </w:r>
      <w:r w:rsidR="00102196" w:rsidRPr="00600B5D">
        <w:rPr>
          <w:rFonts w:ascii="Times New Roman" w:hAnsi="Times New Roman" w:cs="Times New Roman"/>
          <w:sz w:val="24"/>
          <w:szCs w:val="24"/>
          <w:lang w:val="ru-RU"/>
        </w:rPr>
        <w:t>кураторы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городских данных на уровне города </w:t>
      </w:r>
      <w:r w:rsidR="00102196" w:rsidRPr="00600B5D">
        <w:rPr>
          <w:rFonts w:ascii="Times New Roman" w:hAnsi="Times New Roman" w:cs="Times New Roman"/>
          <w:sz w:val="24"/>
          <w:szCs w:val="24"/>
          <w:lang w:val="ru-RU"/>
        </w:rPr>
        <w:t>имеют возможность координировать оценки, и проверять на непротиворечивость соответствующие локальные данные, решения и баллы, выставленные экспертами, которые направляют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101FC" w:rsidRPr="00600B5D" w:rsidRDefault="00F101FC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Для измерения и проверки наличия структур, обеспечивающих участие гражданского общества в управлении городским хозяйством, будет использоваться вопросник с 4-балльной шкалой </w:t>
      </w:r>
      <w:proofErr w:type="spellStart"/>
      <w:r w:rsidRPr="00600B5D">
        <w:rPr>
          <w:rFonts w:ascii="Times New Roman" w:hAnsi="Times New Roman" w:cs="Times New Roman"/>
          <w:sz w:val="24"/>
          <w:szCs w:val="24"/>
          <w:lang w:val="ru-RU"/>
        </w:rPr>
        <w:t>Лайкерта</w:t>
      </w:r>
      <w:proofErr w:type="spellEnd"/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586F" w:rsidRPr="00600B5D">
        <w:rPr>
          <w:rFonts w:ascii="Times New Roman" w:hAnsi="Times New Roman" w:cs="Times New Roman"/>
          <w:sz w:val="24"/>
          <w:szCs w:val="24"/>
          <w:lang w:val="ru-RU"/>
        </w:rPr>
        <w:t>(«Полностью не согласен», «Не согласен», «Согласен», «Полностью согласен»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). Как эксперты, мы согласились с тем, что эти структуры рассматриваются через четыре основных элемента, и они были оценены в завершенных пилотных </w:t>
      </w:r>
      <w:r w:rsidR="00102196" w:rsidRPr="00600B5D">
        <w:rPr>
          <w:rFonts w:ascii="Times New Roman" w:hAnsi="Times New Roman" w:cs="Times New Roman"/>
          <w:sz w:val="24"/>
          <w:szCs w:val="24"/>
          <w:lang w:val="ru-RU"/>
        </w:rPr>
        <w:t>проектах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 образом:</w:t>
      </w:r>
    </w:p>
    <w:p w:rsidR="00256DDC" w:rsidRPr="00ED5B85" w:rsidRDefault="00256DDC" w:rsidP="00ED5B85">
      <w:pPr>
        <w:pStyle w:val="a3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>Существуют ли структуры для участия гражданского общества в городском планировании, включая проекты и соглашения, которые являются прямыми, регулярными и демократическими?</w:t>
      </w:r>
    </w:p>
    <w:p w:rsidR="00256DDC" w:rsidRPr="00ED5B85" w:rsidRDefault="00256DDC" w:rsidP="00ED5B85">
      <w:pPr>
        <w:pStyle w:val="a3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>Существуют ли структуры для участия гражданского общества в принятии решений по городскому бюджету на местном уровне, которые являются прямыми, регулярными и демократическими?</w:t>
      </w:r>
    </w:p>
    <w:p w:rsidR="00256DDC" w:rsidRPr="00ED5B85" w:rsidRDefault="00256DDC" w:rsidP="00ED5B85">
      <w:pPr>
        <w:pStyle w:val="a3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>Существуют ли прямые, регулярные и демократические структуры оценки и обратной связи с гражданским обществом эффективности управления городским хозяйством?</w:t>
      </w:r>
    </w:p>
    <w:p w:rsidR="00256DDC" w:rsidRPr="00ED5B85" w:rsidRDefault="00256DDC" w:rsidP="00ED5B85">
      <w:pPr>
        <w:pStyle w:val="a3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Способствуют ли эти структуры участию женщин, молодых мужчин и женщин и/или других </w:t>
      </w:r>
      <w:proofErr w:type="spellStart"/>
      <w:r w:rsidRPr="00ED5B85">
        <w:rPr>
          <w:rFonts w:ascii="Times New Roman" w:hAnsi="Times New Roman" w:cs="Times New Roman"/>
          <w:sz w:val="24"/>
          <w:szCs w:val="24"/>
          <w:lang w:val="ru-RU"/>
        </w:rPr>
        <w:t>маргинализированных</w:t>
      </w:r>
      <w:proofErr w:type="spellEnd"/>
      <w:r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 групп?</w:t>
      </w:r>
    </w:p>
    <w:p w:rsidR="00F101FC" w:rsidRPr="00600B5D" w:rsidRDefault="00256DDC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Оценщики оценивают каждый из вопросов по шкале </w:t>
      </w:r>
      <w:proofErr w:type="spellStart"/>
      <w:r w:rsidRPr="00600B5D">
        <w:rPr>
          <w:rFonts w:ascii="Times New Roman" w:hAnsi="Times New Roman" w:cs="Times New Roman"/>
          <w:sz w:val="24"/>
          <w:szCs w:val="24"/>
          <w:lang w:val="ru-RU"/>
        </w:rPr>
        <w:t>Лайкерта</w:t>
      </w:r>
      <w:proofErr w:type="spellEnd"/>
      <w:r w:rsidRPr="00600B5D">
        <w:rPr>
          <w:rFonts w:ascii="Times New Roman" w:hAnsi="Times New Roman" w:cs="Times New Roman"/>
          <w:sz w:val="24"/>
          <w:szCs w:val="24"/>
          <w:lang w:val="ru-RU"/>
        </w:rPr>
        <w:t>, как показано ниже:</w:t>
      </w:r>
    </w:p>
    <w:p w:rsidR="00F101FC" w:rsidRPr="00600B5D" w:rsidRDefault="00256DDC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>1-Полностью не согласен, 2-Не согласен, 3-Согласен, 4-Полностью согласен</w:t>
      </w:r>
    </w:p>
    <w:tbl>
      <w:tblPr>
        <w:tblW w:w="514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4436"/>
        <w:gridCol w:w="1701"/>
        <w:gridCol w:w="1391"/>
        <w:gridCol w:w="1147"/>
        <w:gridCol w:w="1491"/>
      </w:tblGrid>
      <w:tr w:rsidR="00256DDC" w:rsidRPr="00600B5D" w:rsidTr="00256DDC">
        <w:trPr>
          <w:trHeight w:val="20"/>
        </w:trPr>
        <w:tc>
          <w:tcPr>
            <w:tcW w:w="2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B5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84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B5D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proofErr w:type="spellEnd"/>
            <w:r w:rsidRPr="00600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B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00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B5D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spellEnd"/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0B5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9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B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00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B5D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spellEnd"/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0B5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1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B5D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spellEnd"/>
            <w:r w:rsidRPr="00600B5D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74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B5D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proofErr w:type="spellEnd"/>
            <w:r w:rsidRPr="00600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B5D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spellEnd"/>
            <w:r w:rsidRPr="00600B5D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</w:tr>
      <w:tr w:rsidR="00256DDC" w:rsidRPr="00390A6F" w:rsidTr="00256DDC">
        <w:trPr>
          <w:trHeight w:val="20"/>
        </w:trPr>
        <w:tc>
          <w:tcPr>
            <w:tcW w:w="219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Существуют ли структуры для участия гражданского общества в городском планировании, включая проекты и соглашения, которые являются прямыми, регулярными и демократичными?</w:t>
            </w:r>
          </w:p>
        </w:tc>
        <w:tc>
          <w:tcPr>
            <w:tcW w:w="849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56DDC" w:rsidRPr="00390A6F" w:rsidTr="00256DDC">
        <w:trPr>
          <w:trHeight w:val="20"/>
        </w:trPr>
        <w:tc>
          <w:tcPr>
            <w:tcW w:w="219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Существуют ли структуры для участия гражданского общества в принятии решений по городскому бюджету, которые являются прямыми, регулярными и демократическими?</w:t>
            </w:r>
          </w:p>
        </w:tc>
        <w:tc>
          <w:tcPr>
            <w:tcW w:w="849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56DDC" w:rsidRPr="00390A6F" w:rsidTr="00256DDC">
        <w:trPr>
          <w:trHeight w:val="20"/>
        </w:trPr>
        <w:tc>
          <w:tcPr>
            <w:tcW w:w="219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Существуют ли прямые, регулярные и демократические структуры оценки и обратной связи с гражданским обществом эффективности управления городским хозяйством?</w:t>
            </w:r>
          </w:p>
        </w:tc>
        <w:tc>
          <w:tcPr>
            <w:tcW w:w="849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56DDC" w:rsidRPr="00390A6F" w:rsidTr="00256DDC">
        <w:trPr>
          <w:trHeight w:val="20"/>
        </w:trPr>
        <w:tc>
          <w:tcPr>
            <w:tcW w:w="219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Способствуют ли эти структуры участию женщин, молодых мужчин и женщин и/или других </w:t>
            </w:r>
            <w:proofErr w:type="spellStart"/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маргинализированных</w:t>
            </w:r>
            <w:proofErr w:type="spellEnd"/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групп?</w:t>
            </w:r>
          </w:p>
        </w:tc>
        <w:tc>
          <w:tcPr>
            <w:tcW w:w="849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DDC" w:rsidRPr="00600B5D" w:rsidRDefault="00256DDC" w:rsidP="00600B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56DDC" w:rsidRPr="00600B5D" w:rsidRDefault="00256DDC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6DDC" w:rsidRPr="00600B5D" w:rsidRDefault="00256DDC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Шкала </w:t>
      </w:r>
      <w:proofErr w:type="spellStart"/>
      <w:r w:rsidRPr="00600B5D">
        <w:rPr>
          <w:rFonts w:ascii="Times New Roman" w:hAnsi="Times New Roman" w:cs="Times New Roman"/>
          <w:sz w:val="24"/>
          <w:szCs w:val="24"/>
          <w:lang w:val="ru-RU"/>
        </w:rPr>
        <w:t>Лайкерта</w:t>
      </w:r>
      <w:proofErr w:type="spellEnd"/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используйте следующие рекомендации для оценивания:</w:t>
      </w:r>
    </w:p>
    <w:p w:rsidR="00256DDC" w:rsidRPr="00ED5B85" w:rsidRDefault="00256DDC" w:rsidP="00ED5B85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Полностью не </w:t>
      </w:r>
      <w:proofErr w:type="gramStart"/>
      <w:r w:rsidRPr="00ED5B85">
        <w:rPr>
          <w:rFonts w:ascii="Times New Roman" w:hAnsi="Times New Roman" w:cs="Times New Roman"/>
          <w:b/>
          <w:sz w:val="24"/>
          <w:szCs w:val="24"/>
          <w:lang w:val="ru-RU"/>
        </w:rPr>
        <w:t>согласен</w:t>
      </w:r>
      <w:proofErr w:type="gramEnd"/>
      <w:r w:rsidRPr="00ED5B85">
        <w:rPr>
          <w:rFonts w:ascii="Times New Roman" w:hAnsi="Times New Roman" w:cs="Times New Roman"/>
          <w:sz w:val="24"/>
          <w:szCs w:val="24"/>
          <w:lang w:val="ru-RU"/>
        </w:rPr>
        <w:t>: отсутствуют структуры или имеющиеся структуры, не допускающие прямого, регулярного или демократического участия гражданского общества.</w:t>
      </w:r>
    </w:p>
    <w:p w:rsidR="00256DDC" w:rsidRPr="00ED5B85" w:rsidRDefault="00256DDC" w:rsidP="00ED5B85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 </w:t>
      </w:r>
      <w:proofErr w:type="gramStart"/>
      <w:r w:rsidRPr="00ED5B85">
        <w:rPr>
          <w:rFonts w:ascii="Times New Roman" w:hAnsi="Times New Roman" w:cs="Times New Roman"/>
          <w:b/>
          <w:sz w:val="24"/>
          <w:szCs w:val="24"/>
          <w:lang w:val="ru-RU"/>
        </w:rPr>
        <w:t>согласен</w:t>
      </w:r>
      <w:proofErr w:type="gramEnd"/>
      <w:r w:rsidRPr="00ED5B85">
        <w:rPr>
          <w:rFonts w:ascii="Times New Roman" w:hAnsi="Times New Roman" w:cs="Times New Roman"/>
          <w:sz w:val="24"/>
          <w:szCs w:val="24"/>
          <w:lang w:val="ru-RU"/>
        </w:rPr>
        <w:t>: существуют структуры, допускающие участие гражданского общества, но они являются лишь частично прямыми, регулярными и демократическими; или же они являются лишь структурами прямого, регулярного или демократического характера.</w:t>
      </w:r>
    </w:p>
    <w:p w:rsidR="00256DDC" w:rsidRPr="00ED5B85" w:rsidRDefault="00256DDC" w:rsidP="00ED5B85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5B85">
        <w:rPr>
          <w:rFonts w:ascii="Times New Roman" w:hAnsi="Times New Roman" w:cs="Times New Roman"/>
          <w:b/>
          <w:sz w:val="24"/>
          <w:szCs w:val="24"/>
          <w:lang w:val="ru-RU"/>
        </w:rPr>
        <w:t>Согласен</w:t>
      </w:r>
      <w:proofErr w:type="gramEnd"/>
      <w:r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: существуют структуры, которые позволяют и поощряют прямое и/или регулярное и/или демократическое участие гражданского общества, но не все три. </w:t>
      </w:r>
    </w:p>
    <w:p w:rsidR="00256DDC" w:rsidRPr="00ED5B85" w:rsidRDefault="00256DDC" w:rsidP="00ED5B85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Полностью </w:t>
      </w:r>
      <w:proofErr w:type="gramStart"/>
      <w:r w:rsidRPr="00ED5B85">
        <w:rPr>
          <w:rFonts w:ascii="Times New Roman" w:hAnsi="Times New Roman" w:cs="Times New Roman"/>
          <w:b/>
          <w:sz w:val="24"/>
          <w:szCs w:val="24"/>
          <w:lang w:val="ru-RU"/>
        </w:rPr>
        <w:t>согласен</w:t>
      </w:r>
      <w:proofErr w:type="gramEnd"/>
      <w:r w:rsidRPr="00ED5B85">
        <w:rPr>
          <w:rFonts w:ascii="Times New Roman" w:hAnsi="Times New Roman" w:cs="Times New Roman"/>
          <w:sz w:val="24"/>
          <w:szCs w:val="24"/>
          <w:lang w:val="ru-RU"/>
        </w:rPr>
        <w:t>: существуют структуры, которые позволяют и поощряют участие гражданского общества, которое является полностью прямым, регулярным и демократическим.</w:t>
      </w:r>
    </w:p>
    <w:p w:rsidR="00256DDC" w:rsidRPr="00600B5D" w:rsidRDefault="00256DDC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После того, как каждая из пяти (5) категорий оценивается, как показано в таблице выше, одним оценщиком, вычисляется общий Средний балл одного оценщика. Затем различные баллы оценщиков </w:t>
      </w:r>
      <w:r w:rsidRPr="00ED5B85">
        <w:rPr>
          <w:rFonts w:ascii="Times New Roman" w:hAnsi="Times New Roman" w:cs="Times New Roman"/>
          <w:b/>
          <w:sz w:val="24"/>
          <w:szCs w:val="24"/>
          <w:lang w:val="ru-RU"/>
        </w:rPr>
        <w:t>усредняются</w:t>
      </w: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для вычисления окончательного балла для каждого города.</w:t>
      </w:r>
    </w:p>
    <w:p w:rsidR="00256DDC" w:rsidRPr="00600B5D" w:rsidRDefault="00256DDC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Для определения доли городов, имеющих структуру прямого участия гражданского общества в городском планировании и управлении, которая действует регулярно и демократично, будет использоваться средняя точка по шкале </w:t>
      </w:r>
      <w:proofErr w:type="spellStart"/>
      <w:r w:rsidRPr="00600B5D">
        <w:rPr>
          <w:rFonts w:ascii="Times New Roman" w:hAnsi="Times New Roman" w:cs="Times New Roman"/>
          <w:sz w:val="24"/>
          <w:szCs w:val="24"/>
          <w:lang w:val="ru-RU"/>
        </w:rPr>
        <w:t>Лайкерта</w:t>
      </w:r>
      <w:proofErr w:type="spellEnd"/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2,5. Значением показателя является доля городов с общим счетом, превышающим среднюю точку.</w:t>
      </w:r>
    </w:p>
    <w:p w:rsidR="00256DDC" w:rsidRPr="00600B5D" w:rsidRDefault="00256DDC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>В результате, если для оценки в данной стране выбрано N городов, а n-количество городов с баллами, превышающими среднюю точку, то значение показателя будет рассчитываться как:</w:t>
      </w:r>
    </w:p>
    <w:p w:rsidR="00256DDC" w:rsidRPr="00ED5B85" w:rsidRDefault="00ED5B85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ru-RU"/>
          </w:rPr>
          <m:t>Значение показателя=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256DDC" w:rsidRPr="00ED5B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56DDC" w:rsidRPr="00ED5B85">
        <w:rPr>
          <w:rFonts w:ascii="Times New Roman" w:hAnsi="Times New Roman" w:cs="Times New Roman"/>
          <w:sz w:val="24"/>
          <w:szCs w:val="24"/>
          <w:lang w:val="ru-RU"/>
        </w:rPr>
        <w:t>(выражается в процентах)</w:t>
      </w:r>
    </w:p>
    <w:p w:rsidR="00256DDC" w:rsidRPr="00600B5D" w:rsidRDefault="00256DDC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lastRenderedPageBreak/>
        <w:t>Следует отметить, что число городов, в которых будет проводиться оценка, может быть определено с использованием подхода Национальной выборки городов. Этот подход поможет составить выборку городов с использованием надежных статистических и научных методологий, основанных на нескольких соответствующих критериях/характеристиках конкретных городов, которые охватывают конкретные контексты стран, обеспечивая, чтобы выборка была репрезентативной для территории, географии, размера, истории и т. д.</w:t>
      </w:r>
    </w:p>
    <w:p w:rsidR="00ED5B85" w:rsidRDefault="00ED5B85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6FA8" w:rsidRPr="00ED5B85" w:rsidRDefault="00606FA8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B5D">
        <w:rPr>
          <w:rFonts w:ascii="Times New Roman" w:hAnsi="Times New Roman" w:cs="Times New Roman"/>
          <w:b/>
          <w:sz w:val="24"/>
          <w:szCs w:val="24"/>
          <w:lang w:val="ru-RU"/>
        </w:rPr>
        <w:t>Дезагрегация</w:t>
      </w:r>
      <w:r w:rsidR="00ED5B85">
        <w:rPr>
          <w:rFonts w:ascii="Times New Roman" w:hAnsi="Times New Roman" w:cs="Times New Roman"/>
          <w:b/>
          <w:sz w:val="24"/>
          <w:szCs w:val="24"/>
        </w:rPr>
        <w:t>:</w:t>
      </w:r>
    </w:p>
    <w:p w:rsidR="00606FA8" w:rsidRPr="00600B5D" w:rsidRDefault="00606FA8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>Потенциальная Дезагрегация:</w:t>
      </w:r>
    </w:p>
    <w:p w:rsidR="00606FA8" w:rsidRPr="00ED5B85" w:rsidRDefault="00606FA8" w:rsidP="00ED5B85">
      <w:pPr>
        <w:pStyle w:val="a3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D5B85">
        <w:rPr>
          <w:rFonts w:ascii="Times New Roman" w:hAnsi="Times New Roman" w:cs="Times New Roman"/>
          <w:sz w:val="24"/>
          <w:szCs w:val="24"/>
          <w:lang w:val="ru-RU"/>
        </w:rPr>
        <w:t>Дезагрегирование</w:t>
      </w:r>
      <w:proofErr w:type="spellEnd"/>
      <w:r w:rsidRPr="00ED5B85">
        <w:rPr>
          <w:rFonts w:ascii="Times New Roman" w:hAnsi="Times New Roman" w:cs="Times New Roman"/>
          <w:sz w:val="24"/>
          <w:szCs w:val="24"/>
          <w:lang w:val="ru-RU"/>
        </w:rPr>
        <w:t xml:space="preserve"> по городским характеристикам</w:t>
      </w:r>
    </w:p>
    <w:p w:rsidR="00606FA8" w:rsidRPr="00ED5B85" w:rsidRDefault="00606FA8" w:rsidP="00ED5B85">
      <w:pPr>
        <w:pStyle w:val="a3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>Регулярностью участия</w:t>
      </w:r>
    </w:p>
    <w:p w:rsidR="00606FA8" w:rsidRPr="00ED5B85" w:rsidRDefault="00606FA8" w:rsidP="00ED5B85">
      <w:pPr>
        <w:pStyle w:val="a3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>По характеру и типологии существующих структур</w:t>
      </w:r>
    </w:p>
    <w:p w:rsidR="005F52F2" w:rsidRPr="00600B5D" w:rsidRDefault="005F52F2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b/>
          <w:sz w:val="24"/>
          <w:szCs w:val="24"/>
          <w:lang w:val="ru-RU"/>
        </w:rPr>
        <w:t>Обработка отсутствующих значений:</w:t>
      </w:r>
    </w:p>
    <w:p w:rsidR="005F52F2" w:rsidRPr="00600B5D" w:rsidRDefault="005F52F2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>Ожидается, что через 2-4 года после 2015 года все страны будут представлять более полную отчетность по этому показателю, основанному на городах.</w:t>
      </w:r>
    </w:p>
    <w:p w:rsidR="00ED5B85" w:rsidRPr="00390A6F" w:rsidRDefault="00ED5B85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52F2" w:rsidRPr="00600B5D" w:rsidRDefault="005F52F2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b/>
          <w:sz w:val="24"/>
          <w:szCs w:val="24"/>
          <w:lang w:val="ru-RU"/>
        </w:rPr>
        <w:t>Региональные показатели:</w:t>
      </w:r>
    </w:p>
    <w:p w:rsidR="005F52F2" w:rsidRPr="00600B5D" w:rsidRDefault="005F52F2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>Глобальный мониторинг и отчетность осуществляются под руководством ООН-</w:t>
      </w:r>
      <w:proofErr w:type="spellStart"/>
      <w:r w:rsidRPr="00600B5D">
        <w:rPr>
          <w:rFonts w:ascii="Times New Roman" w:hAnsi="Times New Roman" w:cs="Times New Roman"/>
          <w:sz w:val="24"/>
          <w:szCs w:val="24"/>
          <w:lang w:val="ru-RU"/>
        </w:rPr>
        <w:t>Хабитат</w:t>
      </w:r>
      <w:proofErr w:type="spellEnd"/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при поддержке других партнеров и региональных комиссий. Все региональные оценки будут проверены при поддержке национальных статистических организаций.</w:t>
      </w:r>
    </w:p>
    <w:p w:rsidR="00ED5B85" w:rsidRPr="00390A6F" w:rsidRDefault="00ED5B85" w:rsidP="00ED5B8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5B85" w:rsidRPr="00ED5B85" w:rsidRDefault="00ED5B85" w:rsidP="00ED5B8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b/>
          <w:sz w:val="24"/>
          <w:szCs w:val="24"/>
          <w:lang w:val="ru-RU"/>
        </w:rPr>
        <w:t>Источники расхождений:</w:t>
      </w:r>
    </w:p>
    <w:p w:rsidR="00ED5B85" w:rsidRPr="00ED5B85" w:rsidRDefault="00ED5B85" w:rsidP="00ED5B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>Информация недоступна.</w:t>
      </w:r>
    </w:p>
    <w:p w:rsidR="00ED5B85" w:rsidRPr="00390A6F" w:rsidRDefault="00ED5B85" w:rsidP="00ED5B8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5B85" w:rsidRPr="00ED5B85" w:rsidRDefault="00ED5B85" w:rsidP="00ED5B8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b/>
          <w:sz w:val="24"/>
          <w:szCs w:val="24"/>
          <w:lang w:val="ru-RU"/>
        </w:rPr>
        <w:t>Методы и руководства, доступные странам для сбора данных на национальном уровне:</w:t>
      </w:r>
    </w:p>
    <w:p w:rsidR="00ED5B85" w:rsidRPr="00ED5B85" w:rsidRDefault="00ED5B85" w:rsidP="00ED5B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>Информация недоступна.</w:t>
      </w:r>
    </w:p>
    <w:p w:rsidR="00ED5B85" w:rsidRPr="00390A6F" w:rsidRDefault="00ED5B85" w:rsidP="00ED5B8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5B85" w:rsidRPr="00ED5B85" w:rsidRDefault="00ED5B85" w:rsidP="00ED5B8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Гарантия качества</w:t>
      </w:r>
    </w:p>
    <w:p w:rsidR="00ED5B85" w:rsidRPr="00ED5B85" w:rsidRDefault="00ED5B85" w:rsidP="00ED5B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sz w:val="24"/>
          <w:szCs w:val="24"/>
          <w:lang w:val="ru-RU"/>
        </w:rPr>
        <w:t>Информация недоступна.</w:t>
      </w:r>
    </w:p>
    <w:p w:rsidR="00390A6F" w:rsidRPr="002A6775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390A6F" w:rsidRPr="002A6775" w:rsidRDefault="00390A6F" w:rsidP="00390A6F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390A6F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Источники данных </w:t>
      </w:r>
    </w:p>
    <w:p w:rsidR="00390A6F" w:rsidRPr="00390A6F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ED5B85" w:rsidRPr="00ED5B85" w:rsidRDefault="00ED5B85" w:rsidP="00ED5B8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b/>
          <w:sz w:val="24"/>
          <w:szCs w:val="24"/>
          <w:lang w:val="ru-RU"/>
        </w:rPr>
        <w:t>Источники и процесс сбора данных:</w:t>
      </w:r>
    </w:p>
    <w:p w:rsidR="00606FA8" w:rsidRPr="00390A6F" w:rsidRDefault="006F67F6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0B5D">
        <w:rPr>
          <w:rFonts w:ascii="Times New Roman" w:hAnsi="Times New Roman" w:cs="Times New Roman"/>
          <w:sz w:val="24"/>
          <w:szCs w:val="24"/>
          <w:lang w:val="ru-RU"/>
        </w:rPr>
        <w:t>Оценщики</w:t>
      </w:r>
      <w:r w:rsidR="00606FA8"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изучат структуры на городском уровне, при этом данные, агрегированные с городских уровней для национальных средних показателей через местные национальные статистические системы, созданные и возглавляемые национальными статистическими учреждениями.</w:t>
      </w:r>
      <w:proofErr w:type="gramEnd"/>
    </w:p>
    <w:p w:rsidR="00390A6F" w:rsidRPr="002A6775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90A6F" w:rsidRPr="002A6775" w:rsidRDefault="00390A6F" w:rsidP="00390A6F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proofErr w:type="spellStart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>Доступность</w:t>
      </w:r>
      <w:proofErr w:type="spellEnd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>данных</w:t>
      </w:r>
      <w:proofErr w:type="spellEnd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390A6F" w:rsidRPr="002A6775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5F52F2" w:rsidRPr="00ED5B85" w:rsidRDefault="005F52F2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b/>
          <w:sz w:val="24"/>
          <w:szCs w:val="24"/>
          <w:lang w:val="ru-RU"/>
        </w:rPr>
        <w:t>Описание:</w:t>
      </w:r>
    </w:p>
    <w:p w:rsidR="00606FA8" w:rsidRPr="00600B5D" w:rsidRDefault="00606FA8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В отдельных странах/городах имеются данные по некоторым компонентам: по регионам Африки: </w:t>
      </w:r>
      <w:proofErr w:type="gramStart"/>
      <w:r w:rsidRPr="00600B5D">
        <w:rPr>
          <w:rFonts w:ascii="Times New Roman" w:hAnsi="Times New Roman" w:cs="Times New Roman"/>
          <w:sz w:val="24"/>
          <w:szCs w:val="24"/>
          <w:lang w:val="ru-RU"/>
        </w:rPr>
        <w:t>Египет (Каир), Мавритания (</w:t>
      </w:r>
      <w:proofErr w:type="spellStart"/>
      <w:r w:rsidRPr="00600B5D">
        <w:rPr>
          <w:rFonts w:ascii="Times New Roman" w:hAnsi="Times New Roman" w:cs="Times New Roman"/>
          <w:sz w:val="24"/>
          <w:szCs w:val="24"/>
          <w:lang w:val="ru-RU"/>
        </w:rPr>
        <w:t>Тевраг-зейна</w:t>
      </w:r>
      <w:proofErr w:type="spellEnd"/>
      <w:r w:rsidRPr="00600B5D">
        <w:rPr>
          <w:rFonts w:ascii="Times New Roman" w:hAnsi="Times New Roman" w:cs="Times New Roman"/>
          <w:sz w:val="24"/>
          <w:szCs w:val="24"/>
          <w:lang w:val="ru-RU"/>
        </w:rPr>
        <w:t>), Мозамбик (</w:t>
      </w:r>
      <w:proofErr w:type="spellStart"/>
      <w:r w:rsidRPr="00600B5D">
        <w:rPr>
          <w:rFonts w:ascii="Times New Roman" w:hAnsi="Times New Roman" w:cs="Times New Roman"/>
          <w:sz w:val="24"/>
          <w:szCs w:val="24"/>
          <w:lang w:val="ru-RU"/>
        </w:rPr>
        <w:t>Матола</w:t>
      </w:r>
      <w:proofErr w:type="spellEnd"/>
      <w:r w:rsidRPr="00600B5D">
        <w:rPr>
          <w:rFonts w:ascii="Times New Roman" w:hAnsi="Times New Roman" w:cs="Times New Roman"/>
          <w:sz w:val="24"/>
          <w:szCs w:val="24"/>
          <w:lang w:val="ru-RU"/>
        </w:rPr>
        <w:t>), Сенегал (Дакар), Марокко (Касабланка), Танзания, Намибия, Малави</w:t>
      </w:r>
      <w:proofErr w:type="gramEnd"/>
    </w:p>
    <w:p w:rsidR="00606FA8" w:rsidRPr="00600B5D" w:rsidRDefault="00606FA8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В Европейском регионе: </w:t>
      </w:r>
      <w:proofErr w:type="gramStart"/>
      <w:r w:rsidRPr="00600B5D">
        <w:rPr>
          <w:rFonts w:ascii="Times New Roman" w:hAnsi="Times New Roman" w:cs="Times New Roman"/>
          <w:sz w:val="24"/>
          <w:szCs w:val="24"/>
          <w:lang w:val="ru-RU"/>
        </w:rPr>
        <w:t>Испания (Барселона), Великобритания (</w:t>
      </w:r>
      <w:proofErr w:type="spellStart"/>
      <w:r w:rsidRPr="00600B5D">
        <w:rPr>
          <w:rFonts w:ascii="Times New Roman" w:hAnsi="Times New Roman" w:cs="Times New Roman"/>
          <w:sz w:val="24"/>
          <w:szCs w:val="24"/>
          <w:lang w:val="ru-RU"/>
        </w:rPr>
        <w:t>Стэнфордский</w:t>
      </w:r>
      <w:proofErr w:type="spellEnd"/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городской совет), Франция (коммуна </w:t>
      </w:r>
      <w:proofErr w:type="spellStart"/>
      <w:r w:rsidRPr="00600B5D">
        <w:rPr>
          <w:rFonts w:ascii="Times New Roman" w:hAnsi="Times New Roman" w:cs="Times New Roman"/>
          <w:sz w:val="24"/>
          <w:szCs w:val="24"/>
          <w:lang w:val="ru-RU"/>
        </w:rPr>
        <w:t>plaine</w:t>
      </w:r>
      <w:proofErr w:type="spellEnd"/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), Бельгия (Брюссель), Берлин (Германия), </w:t>
      </w:r>
      <w:proofErr w:type="spellStart"/>
      <w:r w:rsidRPr="00600B5D">
        <w:rPr>
          <w:rFonts w:ascii="Times New Roman" w:hAnsi="Times New Roman" w:cs="Times New Roman"/>
          <w:sz w:val="24"/>
          <w:szCs w:val="24"/>
          <w:lang w:val="ru-RU"/>
        </w:rPr>
        <w:t>Нантер</w:t>
      </w:r>
      <w:proofErr w:type="spellEnd"/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(Франция), Ирландия, Исландия</w:t>
      </w:r>
      <w:proofErr w:type="gramEnd"/>
    </w:p>
    <w:p w:rsidR="00606FA8" w:rsidRPr="00600B5D" w:rsidRDefault="00606FA8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>В Латинской Америке имеются данные по отдельным городам Бразилии и Колумбии.</w:t>
      </w:r>
    </w:p>
    <w:p w:rsidR="00606FA8" w:rsidRPr="00600B5D" w:rsidRDefault="00606FA8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>К числу других стран, по которым планируется представить данные по городам, относятся Индия (</w:t>
      </w:r>
      <w:proofErr w:type="spellStart"/>
      <w:r w:rsidRPr="00600B5D">
        <w:rPr>
          <w:rFonts w:ascii="Times New Roman" w:hAnsi="Times New Roman" w:cs="Times New Roman"/>
          <w:sz w:val="24"/>
          <w:szCs w:val="24"/>
          <w:lang w:val="ru-RU"/>
        </w:rPr>
        <w:t>Бангалор</w:t>
      </w:r>
      <w:proofErr w:type="spellEnd"/>
      <w:r w:rsidRPr="00600B5D">
        <w:rPr>
          <w:rFonts w:ascii="Times New Roman" w:hAnsi="Times New Roman" w:cs="Times New Roman"/>
          <w:sz w:val="24"/>
          <w:szCs w:val="24"/>
          <w:lang w:val="ru-RU"/>
        </w:rPr>
        <w:t>), Южная Африка (несколько городов), Швеция, Соединенное Королевство (отдельные города) и Кения (5 отдельных графств).</w:t>
      </w:r>
    </w:p>
    <w:p w:rsidR="00390A6F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390A6F" w:rsidRPr="00390A6F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390A6F" w:rsidRPr="002A6775" w:rsidRDefault="00390A6F" w:rsidP="00390A6F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proofErr w:type="spellStart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Календарь</w:t>
      </w:r>
      <w:proofErr w:type="spellEnd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390A6F" w:rsidRPr="002A6775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5F52F2" w:rsidRPr="00ED5B85" w:rsidRDefault="005F52F2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5B85">
        <w:rPr>
          <w:rFonts w:ascii="Times New Roman" w:hAnsi="Times New Roman" w:cs="Times New Roman"/>
          <w:b/>
          <w:sz w:val="24"/>
          <w:szCs w:val="24"/>
          <w:lang w:val="ru-RU"/>
        </w:rPr>
        <w:t>Сбор данных:</w:t>
      </w:r>
    </w:p>
    <w:p w:rsidR="005F52F2" w:rsidRPr="00600B5D" w:rsidRDefault="005F52F2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>Мониторинг показателя может повторяться через регулярные промежутки времени в четыре (3) года, с учетом четырех (4) отчетных пунктов до 2030 года.</w:t>
      </w:r>
    </w:p>
    <w:p w:rsidR="00390A6F" w:rsidRPr="002A6775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90A6F" w:rsidRPr="002A6775" w:rsidRDefault="00390A6F" w:rsidP="00390A6F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proofErr w:type="spellStart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>Поставщики</w:t>
      </w:r>
      <w:proofErr w:type="spellEnd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>данных</w:t>
      </w:r>
      <w:proofErr w:type="spellEnd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390A6F" w:rsidRPr="002A6775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5F52F2" w:rsidRPr="00600B5D" w:rsidRDefault="005F52F2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>Национальные статистические управления</w:t>
      </w:r>
    </w:p>
    <w:p w:rsidR="00390A6F" w:rsidRPr="002A6775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90A6F" w:rsidRPr="002A6775" w:rsidRDefault="00390A6F" w:rsidP="00390A6F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proofErr w:type="spellStart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>Составители</w:t>
      </w:r>
      <w:proofErr w:type="spellEnd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>данных</w:t>
      </w:r>
      <w:proofErr w:type="spellEnd"/>
    </w:p>
    <w:p w:rsidR="00390A6F" w:rsidRPr="002A6775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5F52F2" w:rsidRPr="00600B5D" w:rsidRDefault="005F52F2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0B5D">
        <w:rPr>
          <w:rFonts w:ascii="Times New Roman" w:hAnsi="Times New Roman" w:cs="Times New Roman"/>
          <w:sz w:val="24"/>
          <w:szCs w:val="24"/>
          <w:lang w:val="ru-RU"/>
        </w:rPr>
        <w:t>ООН-</w:t>
      </w:r>
      <w:proofErr w:type="spellStart"/>
      <w:r w:rsidRPr="00600B5D">
        <w:rPr>
          <w:rFonts w:ascii="Times New Roman" w:hAnsi="Times New Roman" w:cs="Times New Roman"/>
          <w:sz w:val="24"/>
          <w:szCs w:val="24"/>
          <w:lang w:val="ru-RU"/>
        </w:rPr>
        <w:t>Хабитат</w:t>
      </w:r>
      <w:proofErr w:type="spellEnd"/>
    </w:p>
    <w:p w:rsidR="00606FA8" w:rsidRPr="00390A6F" w:rsidRDefault="00606FA8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0B5D">
        <w:rPr>
          <w:rFonts w:ascii="Times New Roman" w:hAnsi="Times New Roman" w:cs="Times New Roman"/>
          <w:sz w:val="24"/>
          <w:szCs w:val="24"/>
          <w:lang w:val="ru-RU"/>
        </w:rPr>
        <w:t>ООН-</w:t>
      </w:r>
      <w:proofErr w:type="spellStart"/>
      <w:r w:rsidRPr="00600B5D">
        <w:rPr>
          <w:rFonts w:ascii="Times New Roman" w:hAnsi="Times New Roman" w:cs="Times New Roman"/>
          <w:sz w:val="24"/>
          <w:szCs w:val="24"/>
          <w:lang w:val="ru-RU"/>
        </w:rPr>
        <w:t>Хабитат</w:t>
      </w:r>
      <w:proofErr w:type="spellEnd"/>
      <w:r w:rsidRPr="00600B5D">
        <w:rPr>
          <w:rFonts w:ascii="Times New Roman" w:hAnsi="Times New Roman" w:cs="Times New Roman"/>
          <w:sz w:val="24"/>
          <w:szCs w:val="24"/>
          <w:lang w:val="ru-RU"/>
        </w:rPr>
        <w:t xml:space="preserve"> и другие партнеры оказывают поддержку различным компонентам (системы, разработка инструментов и укрепление потенциала и т.д.</w:t>
      </w:r>
      <w:proofErr w:type="gramEnd"/>
    </w:p>
    <w:p w:rsidR="00390A6F" w:rsidRPr="002A6775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90A6F" w:rsidRPr="002A6775" w:rsidRDefault="00390A6F" w:rsidP="00390A6F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proofErr w:type="spellStart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>Ссылки</w:t>
      </w:r>
      <w:proofErr w:type="spellEnd"/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390A6F" w:rsidRPr="002A6775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BE2C59" w:rsidRPr="00600B5D" w:rsidRDefault="00BE2C59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B5D">
        <w:rPr>
          <w:rFonts w:ascii="Times New Roman" w:hAnsi="Times New Roman" w:cs="Times New Roman"/>
          <w:sz w:val="24"/>
          <w:szCs w:val="24"/>
        </w:rPr>
        <w:t>UN-Habitat.</w:t>
      </w:r>
      <w:proofErr w:type="gramEnd"/>
      <w:r w:rsidRPr="00600B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B5D">
        <w:rPr>
          <w:rFonts w:ascii="Times New Roman" w:hAnsi="Times New Roman" w:cs="Times New Roman"/>
          <w:sz w:val="24"/>
          <w:szCs w:val="24"/>
        </w:rPr>
        <w:t>Planning Sustainable Cities: Global Report on Human Settlements 2009.</w:t>
      </w:r>
      <w:proofErr w:type="gramEnd"/>
      <w:r w:rsidRPr="00600B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B5D">
        <w:rPr>
          <w:rFonts w:ascii="Times New Roman" w:hAnsi="Times New Roman" w:cs="Times New Roman"/>
          <w:sz w:val="24"/>
          <w:szCs w:val="24"/>
        </w:rPr>
        <w:t>Pages 93-109.</w:t>
      </w:r>
      <w:proofErr w:type="gramEnd"/>
    </w:p>
    <w:p w:rsidR="00BE2C59" w:rsidRDefault="00BE2C59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B5D">
        <w:rPr>
          <w:rFonts w:ascii="Times New Roman" w:hAnsi="Times New Roman" w:cs="Times New Roman"/>
          <w:sz w:val="24"/>
          <w:szCs w:val="24"/>
        </w:rPr>
        <w:t>Ziari</w:t>
      </w:r>
      <w:proofErr w:type="spellEnd"/>
      <w:r w:rsidRPr="0060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5D">
        <w:rPr>
          <w:rFonts w:ascii="Times New Roman" w:hAnsi="Times New Roman" w:cs="Times New Roman"/>
          <w:sz w:val="24"/>
          <w:szCs w:val="24"/>
        </w:rPr>
        <w:t>Keramat</w:t>
      </w:r>
      <w:proofErr w:type="spellEnd"/>
      <w:r w:rsidRPr="00600B5D"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 w:rsidRPr="00600B5D">
        <w:rPr>
          <w:rFonts w:ascii="Times New Roman" w:hAnsi="Times New Roman" w:cs="Times New Roman"/>
          <w:sz w:val="24"/>
          <w:szCs w:val="24"/>
        </w:rPr>
        <w:t>Nikpay</w:t>
      </w:r>
      <w:proofErr w:type="spellEnd"/>
      <w:r w:rsidRPr="0060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5D">
        <w:rPr>
          <w:rFonts w:ascii="Times New Roman" w:hAnsi="Times New Roman" w:cs="Times New Roman"/>
          <w:sz w:val="24"/>
          <w:szCs w:val="24"/>
        </w:rPr>
        <w:t>Vahid</w:t>
      </w:r>
      <w:proofErr w:type="spellEnd"/>
      <w:r w:rsidRPr="00600B5D">
        <w:rPr>
          <w:rFonts w:ascii="Times New Roman" w:hAnsi="Times New Roman" w:cs="Times New Roman"/>
          <w:sz w:val="24"/>
          <w:szCs w:val="24"/>
        </w:rPr>
        <w:t xml:space="preserve">, Hosseini Ali. Measuring The Level Of Public Participation In Urban Management Based On The Urban Good Governing Pattern: A Case Study Of </w:t>
      </w:r>
      <w:proofErr w:type="spellStart"/>
      <w:r w:rsidRPr="00600B5D">
        <w:rPr>
          <w:rFonts w:ascii="Times New Roman" w:hAnsi="Times New Roman" w:cs="Times New Roman"/>
          <w:sz w:val="24"/>
          <w:szCs w:val="24"/>
        </w:rPr>
        <w:t>Yasouj</w:t>
      </w:r>
      <w:proofErr w:type="spellEnd"/>
      <w:r w:rsidRPr="00600B5D">
        <w:rPr>
          <w:rFonts w:ascii="Times New Roman" w:hAnsi="Times New Roman" w:cs="Times New Roman"/>
          <w:sz w:val="24"/>
          <w:szCs w:val="24"/>
        </w:rPr>
        <w:t>. Housing and Rural Environment   Spring 2013, Volume 32, Number 141; Page(S) 69 To 86.</w:t>
      </w:r>
    </w:p>
    <w:p w:rsidR="00390A6F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390A6F" w:rsidRPr="00390A6F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390A6F" w:rsidRPr="002A6775" w:rsidRDefault="00390A6F" w:rsidP="00390A6F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390A6F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lastRenderedPageBreak/>
        <w:t xml:space="preserve">Связанные показатели </w:t>
      </w:r>
    </w:p>
    <w:p w:rsidR="00390A6F" w:rsidRPr="002A6775" w:rsidRDefault="00390A6F" w:rsidP="00390A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ED5B85" w:rsidRPr="00ED5B85" w:rsidRDefault="00481343" w:rsidP="00600B5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Нет данных.</w:t>
      </w:r>
    </w:p>
    <w:sectPr w:rsidR="00ED5B85" w:rsidRPr="00ED5B85">
      <w:headerReference w:type="defaul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E5" w:rsidRDefault="00FA1EE5" w:rsidP="00765855">
      <w:pPr>
        <w:spacing w:after="0" w:line="240" w:lineRule="auto"/>
      </w:pPr>
      <w:r>
        <w:separator/>
      </w:r>
    </w:p>
  </w:endnote>
  <w:endnote w:type="continuationSeparator" w:id="0">
    <w:p w:rsidR="00FA1EE5" w:rsidRDefault="00FA1EE5" w:rsidP="0076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E5" w:rsidRDefault="00FA1EE5" w:rsidP="00765855">
      <w:pPr>
        <w:spacing w:after="0" w:line="240" w:lineRule="auto"/>
      </w:pPr>
      <w:r>
        <w:separator/>
      </w:r>
    </w:p>
  </w:footnote>
  <w:footnote w:type="continuationSeparator" w:id="0">
    <w:p w:rsidR="00FA1EE5" w:rsidRDefault="00FA1EE5" w:rsidP="00765855">
      <w:pPr>
        <w:spacing w:after="0" w:line="240" w:lineRule="auto"/>
      </w:pPr>
      <w:r>
        <w:continuationSeparator/>
      </w:r>
    </w:p>
  </w:footnote>
  <w:footnote w:id="1">
    <w:p w:rsidR="00765855" w:rsidRPr="00765855" w:rsidRDefault="00765855" w:rsidP="00765855">
      <w:pPr>
        <w:pStyle w:val="a4"/>
        <w:jc w:val="both"/>
        <w:rPr>
          <w:lang w:val="ru-RU"/>
        </w:rPr>
      </w:pPr>
      <w:r>
        <w:rPr>
          <w:rStyle w:val="a6"/>
        </w:rPr>
        <w:footnoteRef/>
      </w:r>
      <w:r w:rsidRPr="00765855">
        <w:rPr>
          <w:lang w:val="ru-RU"/>
        </w:rPr>
        <w:t xml:space="preserve"> </w:t>
      </w:r>
      <w:r w:rsidRPr="00765855">
        <w:rPr>
          <w:rFonts w:ascii="Times New Roman" w:hAnsi="Times New Roman" w:cs="Times New Roman"/>
          <w:lang w:val="ru-RU"/>
        </w:rPr>
        <w:t>Снимки Landsat состоят из нескольких спектральных полос, которые могут быть использованы для идентификации непроницаемых поверхностей, примерно соответствующих застроенным районам, что позволяет классифицировать их с помощью алгоритмов с помощью человека в три класса с высокой степенью точности.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A3" w:rsidRPr="00865D99" w:rsidRDefault="001879A3" w:rsidP="001879A3">
    <w:pPr>
      <w:pStyle w:val="a9"/>
      <w:jc w:val="right"/>
      <w:rPr>
        <w:rFonts w:ascii="Times New Roman" w:hAnsi="Times New Roman" w:cs="Times New Roman"/>
        <w:i/>
        <w:sz w:val="24"/>
        <w:szCs w:val="24"/>
        <w:lang w:val="ru-RU"/>
      </w:rPr>
    </w:pPr>
    <w:r w:rsidRPr="00865D99">
      <w:rPr>
        <w:rFonts w:ascii="Times New Roman" w:hAnsi="Times New Roman" w:cs="Times New Roman"/>
        <w:i/>
        <w:sz w:val="24"/>
        <w:szCs w:val="24"/>
        <w:lang w:val="ru-RU"/>
      </w:rPr>
      <w:t>Неофициальный перевод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3E6"/>
    <w:multiLevelType w:val="hybridMultilevel"/>
    <w:tmpl w:val="3316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50492"/>
    <w:multiLevelType w:val="hybridMultilevel"/>
    <w:tmpl w:val="1D3E2A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B4B16"/>
    <w:multiLevelType w:val="hybridMultilevel"/>
    <w:tmpl w:val="ADD65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0233D"/>
    <w:multiLevelType w:val="hybridMultilevel"/>
    <w:tmpl w:val="B3F66514"/>
    <w:lvl w:ilvl="0" w:tplc="5BDA45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50C808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B4809"/>
    <w:multiLevelType w:val="hybridMultilevel"/>
    <w:tmpl w:val="A3EC08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F7D5F"/>
    <w:multiLevelType w:val="hybridMultilevel"/>
    <w:tmpl w:val="FFA6511A"/>
    <w:lvl w:ilvl="0" w:tplc="5BDA45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517EF"/>
    <w:multiLevelType w:val="hybridMultilevel"/>
    <w:tmpl w:val="ECB6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40059"/>
    <w:multiLevelType w:val="hybridMultilevel"/>
    <w:tmpl w:val="FC4200A4"/>
    <w:lvl w:ilvl="0" w:tplc="5BDA45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E042D"/>
    <w:multiLevelType w:val="hybridMultilevel"/>
    <w:tmpl w:val="D004D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51B28"/>
    <w:multiLevelType w:val="hybridMultilevel"/>
    <w:tmpl w:val="E6086A32"/>
    <w:lvl w:ilvl="0" w:tplc="04190017">
      <w:start w:val="1"/>
      <w:numFmt w:val="lowerLetter"/>
      <w:lvlText w:val="%1)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0">
    <w:nsid w:val="62AE70EA"/>
    <w:multiLevelType w:val="hybridMultilevel"/>
    <w:tmpl w:val="4330D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205CB"/>
    <w:multiLevelType w:val="hybridMultilevel"/>
    <w:tmpl w:val="B91C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F7FDE"/>
    <w:multiLevelType w:val="hybridMultilevel"/>
    <w:tmpl w:val="8874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EA443A"/>
    <w:multiLevelType w:val="hybridMultilevel"/>
    <w:tmpl w:val="30BACE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4166B"/>
    <w:multiLevelType w:val="hybridMultilevel"/>
    <w:tmpl w:val="8F0C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304E2"/>
    <w:multiLevelType w:val="hybridMultilevel"/>
    <w:tmpl w:val="09F671B8"/>
    <w:lvl w:ilvl="0" w:tplc="5BDA45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3"/>
  </w:num>
  <w:num w:numId="5">
    <w:abstractNumId w:val="5"/>
  </w:num>
  <w:num w:numId="6">
    <w:abstractNumId w:val="15"/>
  </w:num>
  <w:num w:numId="7">
    <w:abstractNumId w:val="7"/>
  </w:num>
  <w:num w:numId="8">
    <w:abstractNumId w:val="14"/>
  </w:num>
  <w:num w:numId="9">
    <w:abstractNumId w:val="11"/>
  </w:num>
  <w:num w:numId="10">
    <w:abstractNumId w:val="10"/>
  </w:num>
  <w:num w:numId="11">
    <w:abstractNumId w:val="8"/>
  </w:num>
  <w:num w:numId="12">
    <w:abstractNumId w:val="6"/>
  </w:num>
  <w:num w:numId="13">
    <w:abstractNumId w:val="4"/>
  </w:num>
  <w:num w:numId="14">
    <w:abstractNumId w:val="1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B8"/>
    <w:rsid w:val="0007154E"/>
    <w:rsid w:val="00102196"/>
    <w:rsid w:val="001879A3"/>
    <w:rsid w:val="001973A0"/>
    <w:rsid w:val="001C20F3"/>
    <w:rsid w:val="001F1E19"/>
    <w:rsid w:val="00256DDC"/>
    <w:rsid w:val="00390A6F"/>
    <w:rsid w:val="00436926"/>
    <w:rsid w:val="00481343"/>
    <w:rsid w:val="00593423"/>
    <w:rsid w:val="005F46B8"/>
    <w:rsid w:val="005F52F2"/>
    <w:rsid w:val="00600B5D"/>
    <w:rsid w:val="00606FA8"/>
    <w:rsid w:val="006F67F6"/>
    <w:rsid w:val="00765855"/>
    <w:rsid w:val="00795B38"/>
    <w:rsid w:val="00865D99"/>
    <w:rsid w:val="009A586F"/>
    <w:rsid w:val="00A16296"/>
    <w:rsid w:val="00A340A3"/>
    <w:rsid w:val="00A83DFE"/>
    <w:rsid w:val="00AC7D61"/>
    <w:rsid w:val="00B61327"/>
    <w:rsid w:val="00BE2C59"/>
    <w:rsid w:val="00E37C40"/>
    <w:rsid w:val="00ED5B85"/>
    <w:rsid w:val="00F101FC"/>
    <w:rsid w:val="00F31A48"/>
    <w:rsid w:val="00FA1EE5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85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6585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85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6585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5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DD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879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79A3"/>
  </w:style>
  <w:style w:type="paragraph" w:styleId="ab">
    <w:name w:val="footer"/>
    <w:basedOn w:val="a"/>
    <w:link w:val="ac"/>
    <w:uiPriority w:val="99"/>
    <w:unhideWhenUsed/>
    <w:rsid w:val="001879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7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85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6585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85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6585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5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DD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879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79A3"/>
  </w:style>
  <w:style w:type="paragraph" w:styleId="ab">
    <w:name w:val="footer"/>
    <w:basedOn w:val="a"/>
    <w:link w:val="ac"/>
    <w:uiPriority w:val="99"/>
    <w:unhideWhenUsed/>
    <w:rsid w:val="001879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ECD91-BEF1-47EB-8102-2B451EF7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13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Комкова Наталья Алексеевна</dc:creator>
  <cp:lastModifiedBy>Агзамова Вероника Радиковна</cp:lastModifiedBy>
  <cp:revision>11</cp:revision>
  <dcterms:created xsi:type="dcterms:W3CDTF">2018-08-02T13:40:00Z</dcterms:created>
  <dcterms:modified xsi:type="dcterms:W3CDTF">2019-04-16T13:06:00Z</dcterms:modified>
</cp:coreProperties>
</file>