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78726E">
      <w:pPr>
        <w:pBdr>
          <w:top w:val="nil"/>
          <w:left w:val="nil"/>
          <w:bottom w:val="nil"/>
          <w:right w:val="nil"/>
          <w:between w:val="nil"/>
          <w:bar w:val="nil"/>
        </w:pBdr>
        <w:spacing w:after="0"/>
        <w:rPr>
          <w:rFonts w:eastAsia="Arial Unicode MS"/>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A343D5">
        <w:rPr>
          <w:rFonts w:eastAsia="Arial Unicode MS"/>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a</w:t>
      </w:r>
      <w:r w:rsidRPr="00A343D5">
        <w:rPr>
          <w:rFonts w:eastAsia="Arial Unicode MS"/>
          <w:b/>
          <w:szCs w:val="24"/>
          <w:bdr w:val="nil"/>
          <w:lang w:eastAsia="ru-RU"/>
        </w:rPr>
        <w:t>. Цель</w:t>
      </w:r>
    </w:p>
    <w:p w:rsidR="00067E3E" w:rsidRPr="0020339C" w:rsidRDefault="00780F08" w:rsidP="0016743D">
      <w:pPr>
        <w:pBdr>
          <w:top w:val="nil"/>
          <w:left w:val="nil"/>
          <w:bottom w:val="nil"/>
          <w:right w:val="nil"/>
          <w:between w:val="nil"/>
          <w:bar w:val="nil"/>
        </w:pBdr>
        <w:spacing w:after="0"/>
      </w:pPr>
      <w:r w:rsidRPr="00A343D5">
        <w:rPr>
          <w:rFonts w:eastAsia="Arial Unicode MS"/>
          <w:szCs w:val="24"/>
          <w:bdr w:val="nil"/>
          <w:lang w:eastAsia="ru-RU"/>
        </w:rPr>
        <w:t xml:space="preserve">Цель </w:t>
      </w:r>
      <w:r w:rsidR="00935B97">
        <w:rPr>
          <w:rFonts w:eastAsia="Arial Unicode MS"/>
          <w:szCs w:val="24"/>
          <w:bdr w:val="nil"/>
          <w:lang w:eastAsia="ru-RU"/>
        </w:rPr>
        <w:t>1</w:t>
      </w:r>
      <w:r w:rsidR="00147D02" w:rsidRPr="00147D02">
        <w:rPr>
          <w:rFonts w:eastAsia="Arial Unicode MS"/>
          <w:szCs w:val="24"/>
          <w:bdr w:val="nil"/>
          <w:lang w:eastAsia="ru-RU"/>
        </w:rPr>
        <w:t>2</w:t>
      </w:r>
      <w:r w:rsidRPr="00A343D5">
        <w:rPr>
          <w:rFonts w:eastAsia="Arial Unicode MS"/>
          <w:szCs w:val="24"/>
          <w:bdr w:val="nil"/>
          <w:lang w:eastAsia="ru-RU"/>
        </w:rPr>
        <w:t xml:space="preserve">: </w:t>
      </w:r>
      <w:r w:rsidR="00147D02" w:rsidRPr="00147D02">
        <w:t>Обеспечение перехода к рациональным моделям потребления и производства</w:t>
      </w:r>
      <w:r w:rsidR="008E3E58">
        <w:t>.</w:t>
      </w:r>
    </w:p>
    <w:p w:rsidR="003143BC" w:rsidRPr="00A343D5" w:rsidRDefault="003143BC" w:rsidP="0016743D">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b</w:t>
      </w:r>
      <w:r w:rsidRPr="00A343D5">
        <w:rPr>
          <w:rFonts w:eastAsia="Arial Unicode MS"/>
          <w:b/>
          <w:szCs w:val="24"/>
          <w:bdr w:val="nil"/>
          <w:lang w:eastAsia="ru-RU"/>
        </w:rPr>
        <w:t>. Задача</w:t>
      </w:r>
    </w:p>
    <w:p w:rsidR="002F63E5" w:rsidRPr="00F8384B" w:rsidRDefault="00935B97" w:rsidP="00A343D5">
      <w:pPr>
        <w:pBdr>
          <w:top w:val="nil"/>
          <w:left w:val="nil"/>
          <w:bottom w:val="nil"/>
          <w:right w:val="nil"/>
          <w:between w:val="nil"/>
          <w:bar w:val="nil"/>
        </w:pBdr>
        <w:spacing w:after="0"/>
        <w:rPr>
          <w:szCs w:val="24"/>
        </w:rPr>
      </w:pPr>
      <w:r>
        <w:rPr>
          <w:szCs w:val="24"/>
        </w:rPr>
        <w:t>1</w:t>
      </w:r>
      <w:r w:rsidR="00147D02" w:rsidRPr="00147D02">
        <w:rPr>
          <w:szCs w:val="24"/>
        </w:rPr>
        <w:t>2</w:t>
      </w:r>
      <w:r w:rsidR="00780F08" w:rsidRPr="00A343D5">
        <w:rPr>
          <w:szCs w:val="24"/>
        </w:rPr>
        <w:t>.</w:t>
      </w:r>
      <w:r w:rsidR="008E3E58">
        <w:rPr>
          <w:szCs w:val="24"/>
        </w:rPr>
        <w:t xml:space="preserve">7. </w:t>
      </w:r>
      <w:r w:rsidR="008E3E58" w:rsidRPr="008E3E58">
        <w:rPr>
          <w:szCs w:val="24"/>
        </w:rPr>
        <w:t>Содействовать обеспечению устойчивой практики государственных закупок в соответствии с национальными стратегиями и приоритетами</w:t>
      </w:r>
      <w:r w:rsidR="008E3E58">
        <w:rPr>
          <w:szCs w:val="24"/>
        </w:rPr>
        <w:t>.</w:t>
      </w:r>
    </w:p>
    <w:p w:rsidR="003143BC" w:rsidRPr="00A343D5" w:rsidRDefault="003143BC"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0.с. Показатель</w:t>
      </w:r>
    </w:p>
    <w:p w:rsidR="00067E3E" w:rsidRPr="00F8384B" w:rsidRDefault="003143BC" w:rsidP="006677B0">
      <w:pPr>
        <w:pBdr>
          <w:top w:val="nil"/>
          <w:left w:val="nil"/>
          <w:bottom w:val="nil"/>
          <w:right w:val="nil"/>
          <w:between w:val="nil"/>
          <w:bar w:val="nil"/>
        </w:pBdr>
        <w:spacing w:after="0"/>
        <w:rPr>
          <w:szCs w:val="24"/>
        </w:rPr>
      </w:pPr>
      <w:r w:rsidRPr="00A343D5">
        <w:rPr>
          <w:szCs w:val="24"/>
        </w:rPr>
        <w:t xml:space="preserve">Показатель </w:t>
      </w:r>
      <w:r w:rsidR="00935B97">
        <w:rPr>
          <w:szCs w:val="24"/>
        </w:rPr>
        <w:t>1</w:t>
      </w:r>
      <w:r w:rsidR="00147D02" w:rsidRPr="00147D02">
        <w:rPr>
          <w:szCs w:val="24"/>
        </w:rPr>
        <w:t>2</w:t>
      </w:r>
      <w:r w:rsidR="00780F08" w:rsidRPr="00A343D5">
        <w:rPr>
          <w:szCs w:val="24"/>
        </w:rPr>
        <w:t>.</w:t>
      </w:r>
      <w:r w:rsidR="008E3E58">
        <w:rPr>
          <w:szCs w:val="24"/>
        </w:rPr>
        <w:t>7</w:t>
      </w:r>
      <w:r w:rsidR="00465587">
        <w:rPr>
          <w:szCs w:val="24"/>
        </w:rPr>
        <w:t>.</w:t>
      </w:r>
      <w:r w:rsidR="00067E3E" w:rsidRPr="00067E3E">
        <w:rPr>
          <w:szCs w:val="24"/>
        </w:rPr>
        <w:t>1</w:t>
      </w:r>
      <w:r w:rsidR="006677B0">
        <w:rPr>
          <w:szCs w:val="24"/>
        </w:rPr>
        <w:t>.</w:t>
      </w:r>
      <w:r w:rsidR="008E3E58" w:rsidRPr="008E3E58">
        <w:rPr>
          <w:szCs w:val="24"/>
        </w:rPr>
        <w:t>Степень внедрения стратегий и планов действий по экологизации государственных закупок</w:t>
      </w:r>
      <w:r w:rsidR="008E3E58">
        <w:rPr>
          <w:szCs w:val="24"/>
        </w:rPr>
        <w:t>.</w:t>
      </w:r>
    </w:p>
    <w:p w:rsidR="003143BC" w:rsidRDefault="003143BC" w:rsidP="006677B0">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d</w:t>
      </w:r>
      <w:r w:rsidRPr="00A343D5">
        <w:rPr>
          <w:rFonts w:eastAsia="Arial Unicode MS"/>
          <w:b/>
          <w:szCs w:val="24"/>
          <w:bdr w:val="nil"/>
          <w:lang w:eastAsia="ru-RU"/>
        </w:rPr>
        <w:t xml:space="preserve">. </w:t>
      </w:r>
      <w:r w:rsidR="00A41B68" w:rsidRPr="00A343D5">
        <w:rPr>
          <w:rFonts w:eastAsia="Arial Unicode MS"/>
          <w:b/>
          <w:szCs w:val="24"/>
          <w:bdr w:val="nil"/>
          <w:lang w:eastAsia="ru-RU"/>
        </w:rPr>
        <w:t>Ряд</w:t>
      </w:r>
      <w:r w:rsidR="00704A8D" w:rsidRPr="00A343D5">
        <w:rPr>
          <w:rFonts w:eastAsia="Arial Unicode MS"/>
          <w:b/>
          <w:szCs w:val="24"/>
          <w:bdr w:val="nil"/>
          <w:lang w:eastAsia="ru-RU"/>
        </w:rPr>
        <w:t xml:space="preserve"> данных</w:t>
      </w:r>
    </w:p>
    <w:p w:rsidR="002540B1" w:rsidRPr="002540B1" w:rsidRDefault="002540B1" w:rsidP="002540B1">
      <w:pPr>
        <w:pStyle w:val="a0"/>
        <w:rPr>
          <w:lang w:eastAsia="ru-RU"/>
        </w:rPr>
      </w:pPr>
    </w:p>
    <w:p w:rsidR="00C8596F" w:rsidRPr="00A343D5"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e</w:t>
      </w:r>
      <w:r w:rsidRPr="00A343D5">
        <w:rPr>
          <w:rFonts w:eastAsia="Arial Unicode MS"/>
          <w:b/>
          <w:szCs w:val="24"/>
          <w:bdr w:val="nil"/>
          <w:lang w:eastAsia="ru-RU"/>
        </w:rPr>
        <w:t xml:space="preserve">. Обновление данных </w:t>
      </w:r>
    </w:p>
    <w:p w:rsidR="00C8596F" w:rsidRPr="00A343D5" w:rsidRDefault="008E3E58" w:rsidP="00A343D5">
      <w:pPr>
        <w:pBdr>
          <w:top w:val="nil"/>
          <w:left w:val="nil"/>
          <w:bottom w:val="nil"/>
          <w:right w:val="nil"/>
          <w:between w:val="nil"/>
          <w:bar w:val="nil"/>
        </w:pBdr>
        <w:tabs>
          <w:tab w:val="left" w:pos="284"/>
        </w:tabs>
        <w:spacing w:after="0"/>
        <w:rPr>
          <w:rFonts w:eastAsia="Arial Unicode MS"/>
          <w:szCs w:val="24"/>
          <w:bdr w:val="nil"/>
          <w:lang w:eastAsia="ru-RU"/>
        </w:rPr>
      </w:pPr>
      <w:r>
        <w:rPr>
          <w:rFonts w:eastAsia="Arial Unicode MS"/>
          <w:szCs w:val="24"/>
          <w:bdr w:val="nil"/>
          <w:lang w:eastAsia="ru-RU"/>
        </w:rPr>
        <w:t>Июль</w:t>
      </w:r>
      <w:r w:rsidR="008501F4">
        <w:rPr>
          <w:rFonts w:eastAsia="Arial Unicode MS"/>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f</w:t>
      </w:r>
      <w:r w:rsidRPr="00A343D5">
        <w:rPr>
          <w:rFonts w:eastAsia="Arial Unicode MS"/>
          <w:b/>
          <w:szCs w:val="24"/>
          <w:bdr w:val="nil"/>
          <w:lang w:eastAsia="ru-RU"/>
        </w:rPr>
        <w:t xml:space="preserve">. Связанные показатели </w:t>
      </w:r>
    </w:p>
    <w:p w:rsidR="008E3E58" w:rsidRDefault="008E3E58" w:rsidP="00A343D5">
      <w:pPr>
        <w:pBdr>
          <w:top w:val="nil"/>
          <w:left w:val="nil"/>
          <w:bottom w:val="nil"/>
          <w:right w:val="nil"/>
          <w:between w:val="nil"/>
          <w:bar w:val="nil"/>
        </w:pBdr>
        <w:tabs>
          <w:tab w:val="left" w:pos="284"/>
        </w:tabs>
        <w:spacing w:after="0"/>
        <w:rPr>
          <w:rStyle w:val="tlid-translation"/>
          <w:szCs w:val="24"/>
        </w:rPr>
      </w:pPr>
      <w:r>
        <w:rPr>
          <w:rStyle w:val="tlid-translation"/>
          <w:szCs w:val="24"/>
        </w:rPr>
        <w:t>12.1.1.</w:t>
      </w:r>
    </w:p>
    <w:p w:rsidR="00A91FDE" w:rsidRPr="008501F4" w:rsidRDefault="00E33CA8" w:rsidP="00A343D5">
      <w:pPr>
        <w:pBdr>
          <w:top w:val="nil"/>
          <w:left w:val="nil"/>
          <w:bottom w:val="nil"/>
          <w:right w:val="nil"/>
          <w:between w:val="nil"/>
          <w:bar w:val="nil"/>
        </w:pBdr>
        <w:tabs>
          <w:tab w:val="left" w:pos="284"/>
        </w:tabs>
        <w:spacing w:after="0"/>
        <w:rPr>
          <w:rFonts w:eastAsia="Arial Unicode MS"/>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g</w:t>
      </w:r>
      <w:r w:rsidRPr="00A343D5">
        <w:rPr>
          <w:rFonts w:eastAsia="Arial Unicode MS"/>
          <w:b/>
          <w:szCs w:val="24"/>
          <w:bdr w:val="nil"/>
          <w:lang w:eastAsia="ru-RU"/>
        </w:rPr>
        <w:t>. Международные организации, ответственные за глобальный мониторинг</w:t>
      </w:r>
    </w:p>
    <w:p w:rsidR="00032707" w:rsidRPr="00F212F5" w:rsidRDefault="00032707" w:rsidP="00032707">
      <w:bookmarkStart w:id="0" w:name="_Toc37932744"/>
      <w:bookmarkStart w:id="1" w:name="_Toc36813072"/>
      <w:bookmarkStart w:id="2" w:name="_Toc36812685"/>
      <w:bookmarkStart w:id="3" w:name="_Toc36812572"/>
      <w:bookmarkStart w:id="4" w:name="_Toc36655609"/>
      <w:r w:rsidRPr="00032707">
        <w:t>Программа ООН по окружающей среде (ЮНЕП)</w:t>
      </w:r>
      <w:r w:rsidR="008E3E58">
        <w:t>.</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F212F5" w:rsidRDefault="00F212F5" w:rsidP="00F212F5">
      <w:pPr>
        <w:rPr>
          <w:rStyle w:val="tlid-translation"/>
          <w:szCs w:val="24"/>
        </w:rPr>
      </w:pPr>
      <w:r w:rsidRPr="00F212F5">
        <w:rPr>
          <w:rStyle w:val="tlid-translation"/>
          <w:szCs w:val="24"/>
        </w:rPr>
        <w:t>Программа</w:t>
      </w:r>
      <w:r w:rsidR="008E3E58">
        <w:rPr>
          <w:rStyle w:val="tlid-translation"/>
          <w:szCs w:val="24"/>
        </w:rPr>
        <w:t xml:space="preserve"> ООН по окружающей среде (ЮНЕП).</w:t>
      </w:r>
    </w:p>
    <w:p w:rsidR="0018458D" w:rsidRPr="0053082C" w:rsidRDefault="00957A62" w:rsidP="0018458D">
      <w:pPr>
        <w:pStyle w:val="MHeader"/>
        <w:rPr>
          <w:b/>
          <w:color w:val="auto"/>
          <w:sz w:val="24"/>
          <w:lang w:val="ru-RU"/>
        </w:rPr>
      </w:pPr>
      <w:r w:rsidRPr="0053082C">
        <w:rPr>
          <w:b/>
          <w:color w:val="auto"/>
          <w:sz w:val="24"/>
          <w:lang w:val="ru-RU"/>
        </w:rPr>
        <w:t xml:space="preserve">2. Определения, </w:t>
      </w:r>
      <w:r w:rsidR="00A41B68" w:rsidRPr="0053082C">
        <w:rPr>
          <w:b/>
          <w:color w:val="auto"/>
          <w:sz w:val="24"/>
          <w:lang w:val="ru-RU"/>
        </w:rPr>
        <w:t>понятия</w:t>
      </w:r>
      <w:r w:rsidRPr="0053082C">
        <w:rPr>
          <w:b/>
          <w:color w:val="auto"/>
          <w:sz w:val="24"/>
          <w:lang w:val="ru-RU"/>
        </w:rPr>
        <w:t xml:space="preserve"> и классификации</w:t>
      </w:r>
    </w:p>
    <w:p w:rsidR="004C5B65" w:rsidRPr="002B557F" w:rsidRDefault="004C5B65" w:rsidP="008E3E58">
      <w:pPr>
        <w:pStyle w:val="afa"/>
        <w:spacing w:before="0" w:line="276" w:lineRule="auto"/>
        <w:rPr>
          <w:rFonts w:cs="Times New Roman"/>
          <w:szCs w:val="28"/>
          <w:u w:val="single"/>
          <w:lang w:val="ru-RU"/>
        </w:rPr>
      </w:pPr>
      <w:r w:rsidRPr="002B557F">
        <w:rPr>
          <w:rFonts w:cs="Times New Roman"/>
          <w:szCs w:val="28"/>
          <w:u w:val="single"/>
          <w:lang w:val="ru-RU"/>
        </w:rPr>
        <w:t>Определения:</w:t>
      </w:r>
    </w:p>
    <w:p w:rsidR="008E3E58" w:rsidRPr="002B557F" w:rsidRDefault="008E3E58" w:rsidP="008E3E58">
      <w:pPr>
        <w:pStyle w:val="afa"/>
        <w:spacing w:before="0" w:line="276" w:lineRule="auto"/>
        <w:rPr>
          <w:rFonts w:cs="Times New Roman"/>
          <w:szCs w:val="28"/>
          <w:lang w:val="ru-RU"/>
        </w:rPr>
      </w:pPr>
      <w:r>
        <w:rPr>
          <w:rFonts w:cs="Times New Roman"/>
          <w:szCs w:val="28"/>
          <w:lang w:val="ru-RU"/>
        </w:rPr>
        <w:t>Данный</w:t>
      </w:r>
      <w:r w:rsidRPr="008E3E58">
        <w:rPr>
          <w:rFonts w:cs="Times New Roman"/>
          <w:szCs w:val="28"/>
          <w:lang w:val="ru-RU"/>
        </w:rPr>
        <w:t xml:space="preserve"> показатель измеряет число стран, реализующих политику и планы действий в области устойчивых государственных закупок (</w:t>
      </w:r>
      <w:r w:rsidRPr="008E3E58">
        <w:rPr>
          <w:rFonts w:cs="Times New Roman"/>
          <w:szCs w:val="28"/>
        </w:rPr>
        <w:t>SPP</w:t>
      </w:r>
      <w:r w:rsidRPr="008E3E58">
        <w:rPr>
          <w:rFonts w:cs="Times New Roman"/>
          <w:szCs w:val="28"/>
          <w:lang w:val="ru-RU"/>
        </w:rPr>
        <w:t>), путем оценки степени реализации</w:t>
      </w:r>
      <w:r>
        <w:rPr>
          <w:rFonts w:cs="Times New Roman"/>
          <w:szCs w:val="28"/>
          <w:lang w:val="ru-RU"/>
        </w:rPr>
        <w:t xml:space="preserve"> политики</w:t>
      </w:r>
      <w:r w:rsidRPr="008E3E58">
        <w:rPr>
          <w:rFonts w:cs="Times New Roman"/>
          <w:szCs w:val="28"/>
          <w:lang w:val="ru-RU"/>
        </w:rPr>
        <w:t xml:space="preserve"> с помощью индекса. </w:t>
      </w:r>
      <w:r w:rsidRPr="002B557F">
        <w:rPr>
          <w:rFonts w:cs="Times New Roman"/>
          <w:szCs w:val="28"/>
          <w:lang w:val="ru-RU"/>
        </w:rPr>
        <w:t>Для составления индекса страны самостоятельно оценивают следующие основные элементы:</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 Нормативно-правовая база в области государственных закупок</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 xml:space="preserve">- Практическая поддержка, оказанная для реализации </w:t>
      </w:r>
      <w:r w:rsidRPr="008E3E58">
        <w:rPr>
          <w:rFonts w:cs="Times New Roman"/>
          <w:szCs w:val="28"/>
        </w:rPr>
        <w:t>SPP</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 xml:space="preserve">- Приоритетные продукты </w:t>
      </w:r>
      <w:r w:rsidRPr="008E3E58">
        <w:rPr>
          <w:rFonts w:cs="Times New Roman"/>
          <w:szCs w:val="28"/>
        </w:rPr>
        <w:t>SPP</w:t>
      </w:r>
      <w:r w:rsidRPr="002B557F">
        <w:rPr>
          <w:rFonts w:cs="Times New Roman"/>
          <w:szCs w:val="28"/>
          <w:lang w:val="ru-RU"/>
        </w:rPr>
        <w:t xml:space="preserve"> и соответствующие критерии устойчивых закупок</w:t>
      </w:r>
    </w:p>
    <w:p w:rsidR="008E3E58" w:rsidRPr="008E3E58" w:rsidRDefault="008E3E58" w:rsidP="008E3E58">
      <w:pPr>
        <w:pStyle w:val="afa"/>
        <w:spacing w:before="0" w:line="276" w:lineRule="auto"/>
        <w:rPr>
          <w:rFonts w:cs="Times New Roman"/>
          <w:szCs w:val="28"/>
        </w:rPr>
      </w:pPr>
      <w:r w:rsidRPr="008E3E58">
        <w:rPr>
          <w:rFonts w:cs="Times New Roman"/>
          <w:szCs w:val="28"/>
        </w:rPr>
        <w:t>- Наличиесистемымониторинга SPP</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 xml:space="preserve">- Измерение фактического результата </w:t>
      </w:r>
      <w:r w:rsidRPr="008E3E58">
        <w:rPr>
          <w:rFonts w:cs="Times New Roman"/>
          <w:szCs w:val="28"/>
        </w:rPr>
        <w:t>SPP</w:t>
      </w:r>
      <w:r w:rsidRPr="002B557F">
        <w:rPr>
          <w:rFonts w:cs="Times New Roman"/>
          <w:szCs w:val="28"/>
          <w:lang w:val="ru-RU"/>
        </w:rPr>
        <w:t>.</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 xml:space="preserve">Более подробная информация представлена в прилагаемой “Методологии индекса </w:t>
      </w:r>
      <w:r w:rsidRPr="008E3E58">
        <w:rPr>
          <w:rFonts w:cs="Times New Roman"/>
          <w:szCs w:val="28"/>
        </w:rPr>
        <w:t>SPP</w:t>
      </w:r>
      <w:r w:rsidRPr="002B557F">
        <w:rPr>
          <w:rFonts w:cs="Times New Roman"/>
          <w:szCs w:val="28"/>
          <w:lang w:val="ru-RU"/>
        </w:rPr>
        <w:t>” (пересмотрена в феврале 2021 года).</w:t>
      </w:r>
    </w:p>
    <w:p w:rsidR="008E3E58" w:rsidRPr="002B557F" w:rsidRDefault="008E3E58" w:rsidP="008E3E58">
      <w:pPr>
        <w:pStyle w:val="afa"/>
        <w:spacing w:before="0" w:line="276" w:lineRule="auto"/>
        <w:rPr>
          <w:rFonts w:cs="Times New Roman"/>
          <w:szCs w:val="28"/>
          <w:u w:val="single"/>
          <w:lang w:val="ru-RU"/>
        </w:rPr>
      </w:pPr>
      <w:r w:rsidRPr="002B557F">
        <w:rPr>
          <w:rFonts w:cs="Times New Roman"/>
          <w:szCs w:val="28"/>
          <w:u w:val="single"/>
          <w:lang w:val="ru-RU"/>
        </w:rPr>
        <w:t>Понятия:</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Устойчивые государственные закупки (</w:t>
      </w:r>
      <w:r w:rsidRPr="008E3E58">
        <w:rPr>
          <w:rFonts w:cs="Times New Roman"/>
          <w:szCs w:val="28"/>
        </w:rPr>
        <w:t>SPP</w:t>
      </w:r>
      <w:r w:rsidRPr="002B557F">
        <w:rPr>
          <w:rFonts w:cs="Times New Roman"/>
          <w:szCs w:val="28"/>
          <w:lang w:val="ru-RU"/>
        </w:rPr>
        <w:t xml:space="preserve">): Устойчивые государственные закупки - это “Процесс, посредством которого общественные организации удовлетворяют свои потребности в товарах, услугах, работах и коммунальных услугах таким образом, чтобы обеспечить соотношение цены и качества на протяжении всего жизненного цикла с точки зрения получения выгод не только для организации, но и для общества и экономики, при этом значительно снижая негативное воздействие на окружающую среду”. (Определение, </w:t>
      </w:r>
      <w:r w:rsidRPr="002B557F">
        <w:rPr>
          <w:rFonts w:cs="Times New Roman"/>
          <w:szCs w:val="28"/>
          <w:lang w:val="ru-RU"/>
        </w:rPr>
        <w:lastRenderedPageBreak/>
        <w:t xml:space="preserve">обновленное Консультативным комитетом с участием многих заинтересованных сторон Программы </w:t>
      </w:r>
      <w:r w:rsidRPr="008E3E58">
        <w:rPr>
          <w:rFonts w:cs="Times New Roman"/>
          <w:szCs w:val="28"/>
        </w:rPr>
        <w:t>SPP</w:t>
      </w:r>
      <w:r w:rsidRPr="002B557F">
        <w:rPr>
          <w:rFonts w:cs="Times New Roman"/>
          <w:szCs w:val="28"/>
          <w:lang w:val="ru-RU"/>
        </w:rPr>
        <w:t xml:space="preserve"> 10</w:t>
      </w:r>
      <w:r w:rsidRPr="008E3E58">
        <w:rPr>
          <w:rFonts w:cs="Times New Roman"/>
          <w:szCs w:val="28"/>
        </w:rPr>
        <w:t>YFP</w:t>
      </w:r>
      <w:r w:rsidRPr="002B557F">
        <w:rPr>
          <w:rFonts w:cs="Times New Roman"/>
          <w:szCs w:val="28"/>
          <w:lang w:val="ru-RU"/>
        </w:rPr>
        <w:t>)</w:t>
      </w:r>
    </w:p>
    <w:p w:rsidR="008E3E58" w:rsidRPr="002B557F" w:rsidRDefault="008E3E58" w:rsidP="008E3E58">
      <w:pPr>
        <w:pStyle w:val="afa"/>
        <w:spacing w:before="0" w:line="276" w:lineRule="auto"/>
        <w:rPr>
          <w:rFonts w:cs="Times New Roman"/>
          <w:szCs w:val="28"/>
          <w:lang w:val="ru-RU"/>
        </w:rPr>
      </w:pPr>
    </w:p>
    <w:p w:rsidR="008E3E58" w:rsidRPr="002B557F" w:rsidRDefault="008E3E58" w:rsidP="008E3E58">
      <w:pPr>
        <w:pStyle w:val="afa"/>
        <w:spacing w:before="0" w:line="276" w:lineRule="auto"/>
        <w:rPr>
          <w:rFonts w:cs="Times New Roman"/>
          <w:szCs w:val="28"/>
          <w:lang w:val="ru-RU"/>
        </w:rPr>
      </w:pPr>
      <w:r w:rsidRPr="00D8639D">
        <w:rPr>
          <w:rFonts w:cs="Times New Roman"/>
          <w:i/>
          <w:szCs w:val="28"/>
          <w:lang w:val="ru-RU"/>
        </w:rPr>
        <w:t>План действий по устойчивым государственным закупкам:</w:t>
      </w:r>
      <w:r w:rsidR="00D8639D">
        <w:rPr>
          <w:rFonts w:cs="Times New Roman"/>
          <w:szCs w:val="28"/>
          <w:lang w:val="ru-RU"/>
        </w:rPr>
        <w:t>«</w:t>
      </w:r>
      <w:r w:rsidRPr="00D8639D">
        <w:rPr>
          <w:rFonts w:cs="Times New Roman"/>
          <w:szCs w:val="28"/>
          <w:lang w:val="ru-RU"/>
        </w:rPr>
        <w:t>План действий по устойчивым государственным закупкам (</w:t>
      </w:r>
      <w:r w:rsidRPr="008E3E58">
        <w:rPr>
          <w:rFonts w:cs="Times New Roman"/>
          <w:szCs w:val="28"/>
        </w:rPr>
        <w:t>SPP</w:t>
      </w:r>
      <w:r w:rsidRPr="00D8639D">
        <w:rPr>
          <w:rFonts w:cs="Times New Roman"/>
          <w:szCs w:val="28"/>
          <w:lang w:val="ru-RU"/>
        </w:rPr>
        <w:t>) представляет собой программный документ, в котором излагаются приоритеты и действия, которые государственный орган приме</w:t>
      </w:r>
      <w:r w:rsidR="00D8639D" w:rsidRPr="00D8639D">
        <w:rPr>
          <w:rFonts w:cs="Times New Roman"/>
          <w:szCs w:val="28"/>
          <w:lang w:val="ru-RU"/>
        </w:rPr>
        <w:t xml:space="preserve">т для поддержки реализации </w:t>
      </w:r>
      <w:r w:rsidR="00D8639D">
        <w:rPr>
          <w:rFonts w:cs="Times New Roman"/>
          <w:szCs w:val="28"/>
        </w:rPr>
        <w:t>SPP</w:t>
      </w:r>
      <w:r w:rsidR="00D8639D" w:rsidRPr="00D8639D">
        <w:rPr>
          <w:rFonts w:cs="Times New Roman"/>
          <w:szCs w:val="28"/>
          <w:lang w:val="ru-RU"/>
        </w:rPr>
        <w:t>.</w:t>
      </w:r>
      <w:r w:rsidRPr="008E3E58">
        <w:rPr>
          <w:rFonts w:cs="Times New Roman"/>
          <w:szCs w:val="28"/>
          <w:lang w:val="ru-RU"/>
        </w:rPr>
        <w:t xml:space="preserve">Планы, как правило,должны учитывать экономические, экологические и социальные аспекты </w:t>
      </w:r>
      <w:r w:rsidRPr="008E3E58">
        <w:rPr>
          <w:rFonts w:cs="Times New Roman"/>
          <w:szCs w:val="28"/>
        </w:rPr>
        <w:t>SPP</w:t>
      </w:r>
      <w:r w:rsidRPr="008E3E58">
        <w:rPr>
          <w:rFonts w:cs="Times New Roman"/>
          <w:szCs w:val="28"/>
          <w:lang w:val="ru-RU"/>
        </w:rPr>
        <w:t xml:space="preserve"> и признавать потенциал </w:t>
      </w:r>
      <w:r w:rsidRPr="008E3E58">
        <w:rPr>
          <w:rFonts w:cs="Times New Roman"/>
          <w:szCs w:val="28"/>
        </w:rPr>
        <w:t>SPP</w:t>
      </w:r>
      <w:r w:rsidRPr="008E3E58">
        <w:rPr>
          <w:rFonts w:cs="Times New Roman"/>
          <w:szCs w:val="28"/>
          <w:lang w:val="ru-RU"/>
        </w:rPr>
        <w:t xml:space="preserve"> для реализации ЦУР</w:t>
      </w:r>
      <w:r w:rsidR="00D8639D">
        <w:rPr>
          <w:rFonts w:cs="Times New Roman"/>
          <w:szCs w:val="28"/>
          <w:lang w:val="ru-RU"/>
        </w:rPr>
        <w:t>»</w:t>
      </w:r>
      <w:r w:rsidRPr="008E3E58">
        <w:rPr>
          <w:rFonts w:cs="Times New Roman"/>
          <w:szCs w:val="28"/>
          <w:lang w:val="ru-RU"/>
        </w:rPr>
        <w:t xml:space="preserve">. </w:t>
      </w:r>
      <w:r w:rsidRPr="002B557F">
        <w:rPr>
          <w:rFonts w:cs="Times New Roman"/>
          <w:szCs w:val="28"/>
          <w:lang w:val="ru-RU"/>
        </w:rPr>
        <w:t>В некоторых случаях план действий страны может быть сосредоточен на одном аспекте устойчивости, будь то экологический (например, план действий по “зеленым” государственным закупкам), социальный (например, ссылка на права человека, справедливую торговлю, акцент на трудоустройстве меньшинств и т.д.) или экономический (например, содействие участию МСП в тендерах, акцент на трудоустройстве меньшинств и т.д.).</w:t>
      </w:r>
    </w:p>
    <w:p w:rsidR="008E3E58" w:rsidRPr="002B557F" w:rsidRDefault="008E3E58" w:rsidP="008E3E58">
      <w:pPr>
        <w:pStyle w:val="afa"/>
        <w:spacing w:before="0" w:line="276" w:lineRule="auto"/>
        <w:rPr>
          <w:rFonts w:cs="Times New Roman"/>
          <w:szCs w:val="28"/>
          <w:lang w:val="ru-RU"/>
        </w:rPr>
      </w:pPr>
      <w:r w:rsidRPr="002B557F">
        <w:rPr>
          <w:rFonts w:cs="Times New Roman"/>
          <w:i/>
          <w:szCs w:val="28"/>
          <w:lang w:val="ru-RU"/>
        </w:rPr>
        <w:t>Оптимальное соотношение цены и качества</w:t>
      </w:r>
      <w:r w:rsidRPr="002B557F">
        <w:rPr>
          <w:rFonts w:cs="Times New Roman"/>
          <w:szCs w:val="28"/>
          <w:lang w:val="ru-RU"/>
        </w:rPr>
        <w:t>: может быть определено как “оптимальное сочетание стоимости и качества в течение всего срока службы для удовлетворения требований конечного пользователя".</w:t>
      </w:r>
    </w:p>
    <w:p w:rsidR="008E3E58" w:rsidRPr="002B557F" w:rsidRDefault="008E3E58" w:rsidP="008E3E58">
      <w:pPr>
        <w:pStyle w:val="afa"/>
        <w:spacing w:before="0" w:line="276" w:lineRule="auto"/>
        <w:rPr>
          <w:rFonts w:cs="Times New Roman"/>
          <w:szCs w:val="28"/>
          <w:lang w:val="ru-RU"/>
        </w:rPr>
      </w:pPr>
      <w:r w:rsidRPr="002B557F">
        <w:rPr>
          <w:rFonts w:cs="Times New Roman"/>
          <w:i/>
          <w:szCs w:val="28"/>
          <w:lang w:val="ru-RU"/>
        </w:rPr>
        <w:t>Стоимость жизненного цикла (</w:t>
      </w:r>
      <w:r w:rsidRPr="00D8639D">
        <w:rPr>
          <w:rFonts w:cs="Times New Roman"/>
          <w:i/>
          <w:szCs w:val="28"/>
        </w:rPr>
        <w:t>LCC</w:t>
      </w:r>
      <w:r w:rsidRPr="002B557F">
        <w:rPr>
          <w:rFonts w:cs="Times New Roman"/>
          <w:i/>
          <w:szCs w:val="28"/>
          <w:lang w:val="ru-RU"/>
        </w:rPr>
        <w:t>):</w:t>
      </w:r>
      <w:r w:rsidRPr="002B557F">
        <w:rPr>
          <w:rFonts w:cs="Times New Roman"/>
          <w:szCs w:val="28"/>
          <w:lang w:val="ru-RU"/>
        </w:rPr>
        <w:t xml:space="preserve"> используется для оценки затрат, которые могут не быть отражены в цене покупки продукта, работы или услуги и которые будут понесены в течение их срока службы.</w:t>
      </w:r>
    </w:p>
    <w:p w:rsidR="008E3E58" w:rsidRPr="00D8639D" w:rsidRDefault="00D8639D" w:rsidP="008E3E58">
      <w:pPr>
        <w:pStyle w:val="afa"/>
        <w:spacing w:before="0" w:line="276" w:lineRule="auto"/>
        <w:rPr>
          <w:rFonts w:cs="Times New Roman"/>
          <w:szCs w:val="28"/>
          <w:lang w:val="ru-RU"/>
        </w:rPr>
      </w:pPr>
      <w:r w:rsidRPr="00D8639D">
        <w:rPr>
          <w:rFonts w:cs="Times New Roman"/>
          <w:i/>
          <w:szCs w:val="28"/>
        </w:rPr>
        <w:t>MEAT</w:t>
      </w:r>
      <w:r w:rsidR="008E3E58" w:rsidRPr="00D8639D">
        <w:rPr>
          <w:rFonts w:cs="Times New Roman"/>
          <w:i/>
          <w:szCs w:val="28"/>
          <w:lang w:val="ru-RU"/>
        </w:rPr>
        <w:t>:</w:t>
      </w:r>
      <w:r w:rsidR="008E3E58" w:rsidRPr="00D8639D">
        <w:rPr>
          <w:rFonts w:cs="Times New Roman"/>
          <w:szCs w:val="28"/>
          <w:lang w:val="ru-RU"/>
        </w:rPr>
        <w:t xml:space="preserve"> Наиболее экономически выгодный тендерный критерий позволяет организации-заказчику учитывать критерии, которые отражают качественные, технические и устойчивые аспекты представления тендерной заявки, а также цену при принятии решения о присуждении.</w:t>
      </w:r>
    </w:p>
    <w:p w:rsidR="008E3E58" w:rsidRPr="002B557F" w:rsidRDefault="008E3E58" w:rsidP="008E3E58">
      <w:pPr>
        <w:pStyle w:val="afa"/>
        <w:spacing w:before="0" w:line="276" w:lineRule="auto"/>
        <w:rPr>
          <w:rFonts w:cs="Times New Roman"/>
          <w:szCs w:val="28"/>
          <w:lang w:val="ru-RU"/>
        </w:rPr>
      </w:pPr>
      <w:r w:rsidRPr="002B557F">
        <w:rPr>
          <w:rFonts w:cs="Times New Roman"/>
          <w:szCs w:val="28"/>
          <w:lang w:val="ru-RU"/>
        </w:rPr>
        <w:t xml:space="preserve">Более подробную информацию об этом и их контекстуализации можно найти в прилагаемом документе “Методология индекса </w:t>
      </w:r>
      <w:r w:rsidRPr="008E3E58">
        <w:rPr>
          <w:rFonts w:cs="Times New Roman"/>
          <w:szCs w:val="28"/>
        </w:rPr>
        <w:t>SPP</w:t>
      </w:r>
      <w:r w:rsidRPr="002B557F">
        <w:rPr>
          <w:rFonts w:cs="Times New Roman"/>
          <w:szCs w:val="28"/>
          <w:lang w:val="ru-RU"/>
        </w:rPr>
        <w:t>”.</w:t>
      </w:r>
    </w:p>
    <w:p w:rsidR="00407E4E" w:rsidRPr="006C10F0" w:rsidRDefault="00407E4E" w:rsidP="00C013D8">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Единицаизмерения</w:t>
      </w:r>
    </w:p>
    <w:p w:rsidR="00D8639D" w:rsidRPr="002B557F" w:rsidRDefault="00D8639D" w:rsidP="00D8639D">
      <w:pPr>
        <w:pStyle w:val="afa"/>
        <w:rPr>
          <w:rFonts w:eastAsia="Calibri"/>
          <w:lang w:val="ru-RU"/>
        </w:rPr>
      </w:pPr>
      <w:r w:rsidRPr="002B557F">
        <w:rPr>
          <w:rFonts w:eastAsia="Calibri"/>
          <w:lang w:val="ru-RU"/>
        </w:rPr>
        <w:t xml:space="preserve">Единицей измерения показателя ЦУР 12.7.1. является число стран, реализующих политику и планы действий в области </w:t>
      </w:r>
      <w:r w:rsidRPr="00D8639D">
        <w:rPr>
          <w:rFonts w:eastAsia="Calibri"/>
        </w:rPr>
        <w:t>SPP</w:t>
      </w:r>
      <w:r w:rsidRPr="002B557F">
        <w:rPr>
          <w:rFonts w:eastAsia="Calibri"/>
          <w:lang w:val="ru-RU"/>
        </w:rPr>
        <w:t>.</w:t>
      </w:r>
    </w:p>
    <w:p w:rsidR="000A229E" w:rsidRPr="00067E3E" w:rsidRDefault="000A229E" w:rsidP="00D8639D">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D8639D" w:rsidRPr="00D8639D" w:rsidRDefault="00D8639D" w:rsidP="00D8639D">
      <w:pPr>
        <w:pStyle w:val="afa"/>
        <w:spacing w:line="276" w:lineRule="auto"/>
        <w:rPr>
          <w:rFonts w:eastAsia="Calibri"/>
          <w:lang w:val="ru-RU"/>
        </w:rPr>
      </w:pPr>
      <w:r w:rsidRPr="00D8639D">
        <w:rPr>
          <w:rFonts w:eastAsia="Calibri"/>
          <w:lang w:val="ru-RU"/>
        </w:rPr>
        <w:t xml:space="preserve">На основе контактного списка координаторов, определенного при составлении страновых информационных бюллетеней </w:t>
      </w:r>
      <w:r w:rsidRPr="00D8639D">
        <w:rPr>
          <w:rFonts w:eastAsia="Calibri"/>
        </w:rPr>
        <w:t>SPP</w:t>
      </w:r>
      <w:r w:rsidRPr="00D8639D">
        <w:rPr>
          <w:rFonts w:eastAsia="Calibri"/>
          <w:lang w:val="ru-RU"/>
        </w:rPr>
        <w:t xml:space="preserve"> 2017 года и 10-летней рамочной программы "Одна планета" по моделям устойчив</w:t>
      </w:r>
      <w:r>
        <w:rPr>
          <w:rFonts w:eastAsia="Calibri"/>
          <w:lang w:val="ru-RU"/>
        </w:rPr>
        <w:t xml:space="preserve">ого потребления и производства, </w:t>
      </w:r>
      <w:r w:rsidRPr="00D8639D">
        <w:rPr>
          <w:rFonts w:eastAsia="Calibri"/>
          <w:lang w:val="ru-RU"/>
        </w:rPr>
        <w:t>с сентября по ноябрь 2020 года были установлены контакты с предста</w:t>
      </w:r>
      <w:r>
        <w:rPr>
          <w:rFonts w:eastAsia="Calibri"/>
          <w:lang w:val="ru-RU"/>
        </w:rPr>
        <w:t xml:space="preserve">вителями более чем 70 стран для </w:t>
      </w:r>
      <w:r w:rsidRPr="00D8639D">
        <w:rPr>
          <w:rFonts w:eastAsia="Calibri"/>
          <w:lang w:val="ru-RU"/>
        </w:rPr>
        <w:t xml:space="preserve">определения соответствующих координаторов для сбора данных </w:t>
      </w:r>
      <w:r>
        <w:rPr>
          <w:rFonts w:eastAsia="Calibri"/>
          <w:lang w:val="ru-RU"/>
        </w:rPr>
        <w:t xml:space="preserve">по </w:t>
      </w:r>
      <w:r w:rsidRPr="00D8639D">
        <w:rPr>
          <w:rFonts w:eastAsia="Calibri"/>
          <w:lang w:val="ru-RU"/>
        </w:rPr>
        <w:t>ЦУР 12.7.1.</w:t>
      </w:r>
    </w:p>
    <w:p w:rsidR="00D8639D" w:rsidRPr="00D8639D" w:rsidRDefault="00D8639D" w:rsidP="00D8639D">
      <w:pPr>
        <w:pStyle w:val="afa"/>
        <w:spacing w:line="276" w:lineRule="auto"/>
        <w:rPr>
          <w:rFonts w:eastAsia="Calibri"/>
          <w:lang w:val="ru-RU"/>
        </w:rPr>
      </w:pPr>
      <w:r w:rsidRPr="00D8639D">
        <w:rPr>
          <w:rFonts w:eastAsia="Calibri"/>
          <w:lang w:val="ru-RU"/>
        </w:rPr>
        <w:t>Последнее обновление: июль 2021 года</w:t>
      </w:r>
    </w:p>
    <w:p w:rsidR="00D8639D" w:rsidRPr="00D8639D" w:rsidRDefault="00D8639D" w:rsidP="00D8639D">
      <w:pPr>
        <w:pStyle w:val="afa"/>
        <w:spacing w:line="276" w:lineRule="auto"/>
        <w:rPr>
          <w:rFonts w:eastAsia="Calibri"/>
          <w:lang w:val="ru-RU"/>
        </w:rPr>
      </w:pPr>
      <w:r w:rsidRPr="00D8639D">
        <w:rPr>
          <w:rFonts w:eastAsia="Calibri"/>
          <w:lang w:val="ru-RU"/>
        </w:rPr>
        <w:t>В результате этого процесса 55+ национальных правительств и 8 субнациональных правительств (отчитывающихсянезависимо от своего национального правительства) создали конкретную группу или назначили со</w:t>
      </w:r>
      <w:r>
        <w:rPr>
          <w:rFonts w:eastAsia="Calibri"/>
          <w:lang w:val="ru-RU"/>
        </w:rPr>
        <w:t xml:space="preserve">ответствующего координатора для </w:t>
      </w:r>
      <w:r w:rsidRPr="00D8639D">
        <w:rPr>
          <w:rFonts w:eastAsia="Calibri"/>
          <w:lang w:val="ru-RU"/>
        </w:rPr>
        <w:t>отчет</w:t>
      </w:r>
      <w:r>
        <w:rPr>
          <w:rFonts w:eastAsia="Calibri"/>
          <w:lang w:val="ru-RU"/>
        </w:rPr>
        <w:t>а</w:t>
      </w:r>
      <w:r w:rsidRPr="00D8639D">
        <w:rPr>
          <w:rFonts w:eastAsia="Calibri"/>
          <w:lang w:val="ru-RU"/>
        </w:rPr>
        <w:t xml:space="preserve"> по показателю ЦУР 12.7.1, чаще всего исходящий либо от Национальных агентств по </w:t>
      </w:r>
      <w:r>
        <w:rPr>
          <w:rFonts w:eastAsia="Calibri"/>
          <w:lang w:val="ru-RU"/>
        </w:rPr>
        <w:lastRenderedPageBreak/>
        <w:t xml:space="preserve">закупкам, </w:t>
      </w:r>
      <w:r w:rsidRPr="00D8639D">
        <w:rPr>
          <w:rFonts w:eastAsia="Calibri"/>
          <w:lang w:val="ru-RU"/>
        </w:rPr>
        <w:t>Минис</w:t>
      </w:r>
      <w:r>
        <w:rPr>
          <w:rFonts w:eastAsia="Calibri"/>
          <w:lang w:val="ru-RU"/>
        </w:rPr>
        <w:t>терства финансов или</w:t>
      </w:r>
      <w:r w:rsidRPr="00D8639D">
        <w:rPr>
          <w:rFonts w:eastAsia="Calibri"/>
          <w:lang w:val="ru-RU"/>
        </w:rPr>
        <w:t xml:space="preserve"> Министерства окружающей среды. В более редких случаях Координаторработает в Статистических департаментах, отвечающих за отчетность по ЦУР на национальном уровне.</w:t>
      </w:r>
    </w:p>
    <w:p w:rsidR="00D8639D" w:rsidRPr="00D8639D" w:rsidRDefault="00D8639D" w:rsidP="00D8639D">
      <w:pPr>
        <w:pStyle w:val="afa"/>
        <w:spacing w:line="276" w:lineRule="auto"/>
        <w:rPr>
          <w:rFonts w:eastAsia="Calibri"/>
          <w:lang w:val="ru-RU"/>
        </w:rPr>
      </w:pPr>
      <w:r w:rsidRPr="00D8639D">
        <w:rPr>
          <w:rFonts w:eastAsia="Calibri"/>
          <w:lang w:val="ru-RU"/>
        </w:rPr>
        <w:t xml:space="preserve">Опрос </w:t>
      </w:r>
      <w:r>
        <w:rPr>
          <w:rFonts w:eastAsia="Calibri"/>
          <w:lang w:val="ru-RU"/>
        </w:rPr>
        <w:t xml:space="preserve">по </w:t>
      </w:r>
      <w:r w:rsidRPr="00D8639D">
        <w:rPr>
          <w:rFonts w:eastAsia="Calibri"/>
          <w:lang w:val="ru-RU"/>
        </w:rPr>
        <w:t xml:space="preserve">ЦУР 12.7.1 был разослан </w:t>
      </w:r>
      <w:r>
        <w:rPr>
          <w:rFonts w:eastAsia="Calibri"/>
          <w:lang w:val="ru-RU"/>
        </w:rPr>
        <w:t>данным</w:t>
      </w:r>
      <w:r w:rsidRPr="00D8639D">
        <w:rPr>
          <w:rFonts w:eastAsia="Calibri"/>
          <w:lang w:val="ru-RU"/>
        </w:rPr>
        <w:t xml:space="preserve"> координационным центрам, и в результате</w:t>
      </w:r>
      <w:r>
        <w:rPr>
          <w:rFonts w:eastAsia="Calibri"/>
          <w:lang w:val="ru-RU"/>
        </w:rPr>
        <w:t xml:space="preserve"> были получены материалы от </w:t>
      </w:r>
      <w:r w:rsidRPr="00D8639D">
        <w:rPr>
          <w:rFonts w:eastAsia="Calibri"/>
          <w:lang w:val="ru-RU"/>
        </w:rPr>
        <w:t>40 национальных/федеральных правительств (некоторые из которых включали также субнацио</w:t>
      </w:r>
      <w:r>
        <w:rPr>
          <w:rFonts w:eastAsia="Calibri"/>
          <w:lang w:val="ru-RU"/>
        </w:rPr>
        <w:t>нальные данные из провинций или муниципалитетов</w:t>
      </w:r>
      <w:r w:rsidRPr="00D8639D">
        <w:rPr>
          <w:rFonts w:eastAsia="Calibri"/>
          <w:lang w:val="ru-RU"/>
        </w:rPr>
        <w:t>). 8 субнациональны</w:t>
      </w:r>
      <w:r>
        <w:rPr>
          <w:rFonts w:eastAsia="Calibri"/>
          <w:lang w:val="ru-RU"/>
        </w:rPr>
        <w:t>х правительств</w:t>
      </w:r>
      <w:r w:rsidRPr="00D8639D">
        <w:rPr>
          <w:rFonts w:eastAsia="Calibri"/>
          <w:lang w:val="ru-RU"/>
        </w:rPr>
        <w:t xml:space="preserve"> также</w:t>
      </w:r>
      <w:r>
        <w:rPr>
          <w:rFonts w:eastAsia="Calibri"/>
          <w:lang w:val="ru-RU"/>
        </w:rPr>
        <w:t xml:space="preserve"> представили независимый отчет</w:t>
      </w:r>
      <w:r w:rsidRPr="00D8639D">
        <w:rPr>
          <w:rFonts w:eastAsia="Calibri"/>
          <w:lang w:val="ru-RU"/>
        </w:rPr>
        <w:t xml:space="preserve"> о своих усилиях по реализации политики и плана действий в области </w:t>
      </w:r>
      <w:r w:rsidRPr="00D8639D">
        <w:rPr>
          <w:rFonts w:eastAsia="Calibri"/>
        </w:rPr>
        <w:t>SPP</w:t>
      </w:r>
      <w:r>
        <w:rPr>
          <w:rFonts w:eastAsia="Calibri"/>
          <w:lang w:val="ru-RU"/>
        </w:rPr>
        <w:t>.</w:t>
      </w:r>
    </w:p>
    <w:p w:rsidR="00995788" w:rsidRPr="00A343D5" w:rsidRDefault="000A229E" w:rsidP="00D8639D">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rsidR="00FC058A" w:rsidRDefault="00FC058A" w:rsidP="00FC058A">
      <w:r>
        <w:t>Все отдельные компоненты должны собираться из одного и того же источника, т. е. координационного центра, назначенного для представления отчета по показателю ЦУР 12.7.1., или координационного центра ЦУР, каждые два года, начиная с 2021 года.</w:t>
      </w:r>
    </w:p>
    <w:p w:rsidR="00FC058A" w:rsidRDefault="00FC058A" w:rsidP="00215F5C">
      <w:r>
        <w:t>Для облегчения процесса сбора данных и составления отчетов был разработан инструмент расчета на основе MicrosoftExcel® для сбора входных данных, а также инструкций по составлению отчетов в формате PDF и часто задаваемых вопросов. Эта форма на основе Excel® предоставляет набор ответов на каждый вопрос, которые должны быть документально подтверждены (программным документом, руководящими принципами закупок, включая критерии устойчивости, разрешающее законодательство, тренинги, зеленые контракты и т.д.).</w:t>
      </w:r>
    </w:p>
    <w:p w:rsidR="009E707C" w:rsidRPr="00215F5C" w:rsidRDefault="009E707C" w:rsidP="00215F5C">
      <w:pPr>
        <w:pStyle w:val="MHeader2"/>
        <w:spacing w:line="276" w:lineRule="auto"/>
        <w:rPr>
          <w:b/>
          <w:color w:val="auto"/>
          <w:sz w:val="24"/>
          <w:szCs w:val="24"/>
          <w:lang w:val="ru-RU"/>
        </w:rPr>
      </w:pPr>
      <w:r w:rsidRPr="00215F5C">
        <w:rPr>
          <w:b/>
          <w:color w:val="auto"/>
          <w:sz w:val="24"/>
          <w:szCs w:val="24"/>
          <w:lang w:val="ru-RU"/>
        </w:rPr>
        <w:t>3.</w:t>
      </w:r>
      <w:r w:rsidR="00900860" w:rsidRPr="00215F5C">
        <w:rPr>
          <w:b/>
          <w:color w:val="auto"/>
          <w:sz w:val="24"/>
          <w:szCs w:val="24"/>
          <w:lang w:val="ru-RU"/>
        </w:rPr>
        <w:t>с</w:t>
      </w:r>
      <w:r w:rsidRPr="00215F5C">
        <w:rPr>
          <w:b/>
          <w:color w:val="auto"/>
          <w:sz w:val="24"/>
          <w:szCs w:val="24"/>
          <w:lang w:val="ru-RU"/>
        </w:rPr>
        <w:t>.Календарь сбора данных</w:t>
      </w:r>
    </w:p>
    <w:p w:rsidR="00FC058A" w:rsidRPr="002B557F" w:rsidRDefault="00FC058A" w:rsidP="00215F5C">
      <w:pPr>
        <w:pStyle w:val="afa"/>
        <w:spacing w:line="276" w:lineRule="auto"/>
        <w:rPr>
          <w:lang w:val="ru-RU"/>
        </w:rPr>
      </w:pPr>
      <w:r w:rsidRPr="002B557F">
        <w:rPr>
          <w:lang w:val="ru-RU"/>
        </w:rPr>
        <w:t>Первый сбор данных: ноябрь 2020 года – февраль 2021 года для реализации политики и планов действий в области устойчивых государственных закупок на 2018-2020 годы. Следующие мероприятия по сбору данных: ноябрь-декабрь 2021 года, и далее в двухгодичном режиме.</w:t>
      </w:r>
    </w:p>
    <w:p w:rsidR="000A229E" w:rsidRDefault="009E707C" w:rsidP="00215F5C">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FC058A" w:rsidRPr="002B557F" w:rsidRDefault="00FC058A" w:rsidP="00215F5C">
      <w:pPr>
        <w:pStyle w:val="afa"/>
        <w:spacing w:line="276" w:lineRule="auto"/>
        <w:rPr>
          <w:rFonts w:eastAsia="Calibri"/>
          <w:lang w:val="ru-RU"/>
        </w:rPr>
      </w:pPr>
      <w:r w:rsidRPr="002B557F">
        <w:rPr>
          <w:rFonts w:eastAsia="Calibri"/>
          <w:lang w:val="ru-RU"/>
        </w:rPr>
        <w:t>Сбор данных за 2020 год: данные будут опубликованы в марте 2021 года.</w:t>
      </w:r>
    </w:p>
    <w:p w:rsidR="000A229E" w:rsidRPr="00A343D5" w:rsidRDefault="000A229E" w:rsidP="00215F5C">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FC058A" w:rsidRPr="002B557F" w:rsidRDefault="00FC058A" w:rsidP="00215F5C">
      <w:pPr>
        <w:pStyle w:val="afa"/>
        <w:spacing w:line="276" w:lineRule="auto"/>
        <w:rPr>
          <w:rFonts w:eastAsia="Calibri"/>
          <w:lang w:val="ru-RU"/>
        </w:rPr>
      </w:pPr>
      <w:r w:rsidRPr="002B557F">
        <w:rPr>
          <w:rFonts w:eastAsia="Calibri"/>
          <w:lang w:val="ru-RU"/>
        </w:rPr>
        <w:t>ЦУР 12.7. Координаторы, назначенные правительствами.</w:t>
      </w:r>
    </w:p>
    <w:p w:rsidR="000A229E" w:rsidRPr="00A343D5" w:rsidRDefault="000A229E" w:rsidP="00215F5C">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215F5C" w:rsidRPr="002B557F" w:rsidRDefault="00215F5C" w:rsidP="00215F5C">
      <w:pPr>
        <w:pStyle w:val="afa"/>
        <w:spacing w:before="0" w:line="276" w:lineRule="auto"/>
        <w:rPr>
          <w:rFonts w:eastAsia="Calibri"/>
          <w:lang w:val="ru-RU"/>
        </w:rPr>
      </w:pPr>
      <w:r w:rsidRPr="002B557F">
        <w:rPr>
          <w:rFonts w:eastAsia="Calibri"/>
          <w:lang w:val="ru-RU"/>
        </w:rPr>
        <w:t>Программа Организации Объединенных Наций по окружающей среде (ЮНЕП).</w:t>
      </w:r>
    </w:p>
    <w:p w:rsidR="000A229E" w:rsidRDefault="000A229E" w:rsidP="00215F5C">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215F5C" w:rsidRPr="000D1230" w:rsidRDefault="00215F5C" w:rsidP="00215F5C">
      <w:pPr>
        <w:pStyle w:val="afa"/>
        <w:spacing w:before="0" w:line="276" w:lineRule="auto"/>
        <w:rPr>
          <w:lang w:val="ru-RU"/>
        </w:rPr>
      </w:pPr>
      <w:r w:rsidRPr="000D1230">
        <w:rPr>
          <w:lang w:val="ru-RU"/>
        </w:rPr>
        <w:t xml:space="preserve">ЮНЕП была назначена </w:t>
      </w:r>
      <w:r>
        <w:rPr>
          <w:lang w:val="ru-RU"/>
        </w:rPr>
        <w:t>гарантом</w:t>
      </w:r>
      <w:r w:rsidRPr="000D1230">
        <w:rPr>
          <w:lang w:val="ru-RU"/>
        </w:rPr>
        <w:t xml:space="preserve"> ЦУР 12 и показателя ЦУР 12.7.1.</w:t>
      </w:r>
    </w:p>
    <w:p w:rsidR="002E15F9" w:rsidRDefault="002E15F9" w:rsidP="00215F5C">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0D1230" w:rsidRPr="000D1230" w:rsidRDefault="000D1230" w:rsidP="000D1230">
      <w:pPr>
        <w:pStyle w:val="afa"/>
        <w:spacing w:line="276" w:lineRule="auto"/>
        <w:rPr>
          <w:rFonts w:eastAsia="Calibri"/>
          <w:lang w:val="ru-RU"/>
        </w:rPr>
      </w:pPr>
      <w:r w:rsidRPr="002B557F">
        <w:rPr>
          <w:rFonts w:eastAsia="Calibri"/>
          <w:lang w:val="ru-RU"/>
        </w:rPr>
        <w:t xml:space="preserve">Государственные закупки обладают огромной покупательной способностью, составляя в среднем 12 процентов валового внутреннего продукта (ВВП) в странах ОЭСР и до 30 процентов ВВП во многих развивающихся странах. Использование этой покупательной способности путем покупки более устойчивых товаров и услуг может помочь направить рынки в сторону устойчивости, уменьшить негативное воздействие организации, а также </w:t>
      </w:r>
      <w:r w:rsidRPr="002B557F">
        <w:rPr>
          <w:rFonts w:eastAsia="Calibri"/>
          <w:lang w:val="ru-RU"/>
        </w:rPr>
        <w:lastRenderedPageBreak/>
        <w:t>принести положительные выгоды для окружающей среды и общества. Продвижение практики устойчивых государственных закупок (</w:t>
      </w:r>
      <w:r w:rsidRPr="000D1230">
        <w:rPr>
          <w:rFonts w:eastAsia="Calibri"/>
        </w:rPr>
        <w:t>SPP</w:t>
      </w:r>
      <w:r w:rsidRPr="002B557F">
        <w:rPr>
          <w:rFonts w:eastAsia="Calibri"/>
          <w:lang w:val="ru-RU"/>
        </w:rPr>
        <w:t xml:space="preserve">) признано ключевым стратегическим компонентом глобальных усилий по достижению более устойчивых моделей потребления и производства. </w:t>
      </w:r>
      <w:r w:rsidRPr="000D1230">
        <w:rPr>
          <w:rFonts w:eastAsia="Calibri"/>
          <w:lang w:val="ru-RU"/>
        </w:rPr>
        <w:t xml:space="preserve">Заинтересованные стороны </w:t>
      </w:r>
      <w:r w:rsidRPr="000D1230">
        <w:rPr>
          <w:rFonts w:eastAsia="Calibri"/>
        </w:rPr>
        <w:t>SPP</w:t>
      </w:r>
      <w:r w:rsidRPr="000D1230">
        <w:rPr>
          <w:rFonts w:eastAsia="Calibri"/>
          <w:lang w:val="ru-RU"/>
        </w:rPr>
        <w:t xml:space="preserve"> уже </w:t>
      </w:r>
      <w:r>
        <w:rPr>
          <w:rFonts w:eastAsia="Calibri"/>
          <w:lang w:val="ru-RU"/>
        </w:rPr>
        <w:t>на протяжении долгого времени</w:t>
      </w:r>
      <w:r w:rsidRPr="000D1230">
        <w:rPr>
          <w:rFonts w:eastAsia="Calibri"/>
          <w:lang w:val="ru-RU"/>
        </w:rPr>
        <w:t xml:space="preserve"> запрашивают достоверную и актуальную информацию о деятельности и организациях, участвующих в </w:t>
      </w:r>
      <w:r w:rsidRPr="000D1230">
        <w:rPr>
          <w:rFonts w:eastAsia="Calibri"/>
        </w:rPr>
        <w:t>SPP</w:t>
      </w:r>
      <w:r w:rsidRPr="000D1230">
        <w:rPr>
          <w:rFonts w:eastAsia="Calibri"/>
          <w:lang w:val="ru-RU"/>
        </w:rPr>
        <w:t>.</w:t>
      </w:r>
    </w:p>
    <w:p w:rsidR="000D1230" w:rsidRPr="002B557F" w:rsidRDefault="000D1230" w:rsidP="000D1230">
      <w:pPr>
        <w:pStyle w:val="afa"/>
        <w:spacing w:line="276" w:lineRule="auto"/>
        <w:rPr>
          <w:rFonts w:eastAsia="Calibri"/>
          <w:lang w:val="ru-RU"/>
        </w:rPr>
      </w:pPr>
      <w:r w:rsidRPr="002B557F">
        <w:rPr>
          <w:rFonts w:eastAsia="Calibri"/>
          <w:lang w:val="ru-RU"/>
        </w:rPr>
        <w:t xml:space="preserve">Поскольку очень немногие страны способны измерить долю своих государственных закупок, которые являются экологически чистыми или устойчивыми, методология вместо этого пытается оценить средства и усилия, которые страны направляют на реализацию политики </w:t>
      </w:r>
      <w:r w:rsidRPr="000D1230">
        <w:rPr>
          <w:rFonts w:eastAsia="Calibri"/>
        </w:rPr>
        <w:t>SPP</w:t>
      </w:r>
      <w:r w:rsidRPr="002B557F">
        <w:rPr>
          <w:rFonts w:eastAsia="Calibri"/>
          <w:lang w:val="ru-RU"/>
        </w:rPr>
        <w:t xml:space="preserve"> или национальных программ </w:t>
      </w:r>
      <w:r w:rsidRPr="000D1230">
        <w:rPr>
          <w:rFonts w:eastAsia="Calibri"/>
        </w:rPr>
        <w:t>SPP</w:t>
      </w:r>
      <w:r w:rsidRPr="002B557F">
        <w:rPr>
          <w:rFonts w:eastAsia="Calibri"/>
          <w:lang w:val="ru-RU"/>
        </w:rPr>
        <w:t xml:space="preserve">. Страны, набравшие баллы выше определенного порога, будут считаться странами-исполнителями </w:t>
      </w:r>
      <w:r w:rsidRPr="000D1230">
        <w:rPr>
          <w:rFonts w:eastAsia="Calibri"/>
        </w:rPr>
        <w:t>SPP</w:t>
      </w:r>
      <w:r w:rsidRPr="002B557F">
        <w:rPr>
          <w:rFonts w:eastAsia="Calibri"/>
          <w:lang w:val="ru-RU"/>
        </w:rPr>
        <w:t>.</w:t>
      </w:r>
    </w:p>
    <w:p w:rsidR="002E15F9" w:rsidRPr="00A343D5" w:rsidRDefault="002E15F9" w:rsidP="000D1230">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2B557F" w:rsidRPr="002B557F" w:rsidRDefault="002B557F" w:rsidP="002B557F">
      <w:pPr>
        <w:pStyle w:val="afa"/>
        <w:spacing w:line="276" w:lineRule="auto"/>
        <w:rPr>
          <w:rStyle w:val="tlid-translation"/>
          <w:rFonts w:eastAsia="Calibri" w:cs="Times New Roman"/>
          <w:szCs w:val="24"/>
          <w:lang w:val="ru-RU" w:eastAsia="en-US"/>
        </w:rPr>
      </w:pPr>
      <w:r w:rsidRPr="002B557F">
        <w:rPr>
          <w:rStyle w:val="tlid-translation"/>
          <w:rFonts w:eastAsia="Calibri" w:cs="Times New Roman"/>
          <w:szCs w:val="24"/>
          <w:lang w:val="ru-RU" w:eastAsia="en-US"/>
        </w:rPr>
        <w:t xml:space="preserve">Индекс направлен на измерение не только SPP, но также GPP (Зеленые государственные закупки) и SRPP (Социально-ответственные государственные закупки). Однако SPP, GPP и SRPP могут </w:t>
      </w:r>
      <w:r>
        <w:rPr>
          <w:rStyle w:val="tlid-translation"/>
          <w:rFonts w:eastAsia="Calibri" w:cs="Times New Roman"/>
          <w:szCs w:val="24"/>
          <w:lang w:val="ru-RU" w:eastAsia="en-US"/>
        </w:rPr>
        <w:t>рассматриваться</w:t>
      </w:r>
      <w:r w:rsidRPr="002B557F">
        <w:rPr>
          <w:rStyle w:val="tlid-translation"/>
          <w:rFonts w:eastAsia="Calibri" w:cs="Times New Roman"/>
          <w:szCs w:val="24"/>
          <w:lang w:val="ru-RU" w:eastAsia="en-US"/>
        </w:rPr>
        <w:t xml:space="preserve"> по-разному в зависимости от страны. Они могут выступать в качестве компонента всеобъемлющих политик, таких как стратегии устойчивого развития, дорожные карты зеленой экономики и т.д.Они также могут быть р</w:t>
      </w:r>
      <w:r>
        <w:rPr>
          <w:rStyle w:val="tlid-translation"/>
          <w:rFonts w:eastAsia="Calibri" w:cs="Times New Roman"/>
          <w:szCs w:val="24"/>
          <w:lang w:val="ru-RU" w:eastAsia="en-US"/>
        </w:rPr>
        <w:t>ассмотерны в рамках</w:t>
      </w:r>
      <w:r w:rsidRPr="002B557F">
        <w:rPr>
          <w:rStyle w:val="tlid-translation"/>
          <w:rFonts w:eastAsia="Calibri" w:cs="Times New Roman"/>
          <w:szCs w:val="24"/>
          <w:lang w:val="ru-RU" w:eastAsia="en-US"/>
        </w:rPr>
        <w:t xml:space="preserve"> плана действий или политики SPP или с помощью регулирующих средств, таких как конкретные положения в правовой базе государственных закупок.</w:t>
      </w:r>
    </w:p>
    <w:p w:rsidR="002B557F" w:rsidRPr="002B557F" w:rsidRDefault="002B557F" w:rsidP="002B557F">
      <w:pPr>
        <w:pStyle w:val="afa"/>
        <w:spacing w:line="276" w:lineRule="auto"/>
        <w:rPr>
          <w:rStyle w:val="tlid-translation"/>
          <w:rFonts w:eastAsia="Calibri" w:cs="Times New Roman"/>
          <w:szCs w:val="24"/>
          <w:lang w:val="ru-RU" w:eastAsia="en-US"/>
        </w:rPr>
      </w:pPr>
      <w:r w:rsidRPr="002B557F">
        <w:rPr>
          <w:rStyle w:val="tlid-translation"/>
          <w:rFonts w:eastAsia="Calibri" w:cs="Times New Roman"/>
          <w:szCs w:val="24"/>
          <w:lang w:val="ru-RU" w:eastAsia="en-US"/>
        </w:rPr>
        <w:t xml:space="preserve">Основные проблемы, с которыми пришлось столкнуться при разработке </w:t>
      </w:r>
      <w:r>
        <w:rPr>
          <w:rStyle w:val="tlid-translation"/>
          <w:rFonts w:eastAsia="Calibri" w:cs="Times New Roman"/>
          <w:szCs w:val="24"/>
          <w:lang w:val="ru-RU" w:eastAsia="en-US"/>
        </w:rPr>
        <w:t>данного</w:t>
      </w:r>
      <w:r w:rsidRPr="002B557F">
        <w:rPr>
          <w:rStyle w:val="tlid-translation"/>
          <w:rFonts w:eastAsia="Calibri" w:cs="Times New Roman"/>
          <w:szCs w:val="24"/>
          <w:lang w:val="ru-RU" w:eastAsia="en-US"/>
        </w:rPr>
        <w:t xml:space="preserve"> индикатора:</w:t>
      </w:r>
    </w:p>
    <w:p w:rsidR="002B557F" w:rsidRPr="002B557F" w:rsidRDefault="002B557F" w:rsidP="002B557F">
      <w:pPr>
        <w:pStyle w:val="afa"/>
        <w:spacing w:line="276" w:lineRule="auto"/>
        <w:rPr>
          <w:rStyle w:val="tlid-translation"/>
          <w:rFonts w:eastAsia="Calibri" w:cs="Times New Roman"/>
          <w:szCs w:val="24"/>
          <w:lang w:val="ru-RU" w:eastAsia="en-US"/>
        </w:rPr>
      </w:pPr>
      <w:r w:rsidRPr="002B557F">
        <w:rPr>
          <w:rStyle w:val="tlid-translation"/>
          <w:rFonts w:eastAsia="Calibri" w:cs="Times New Roman"/>
          <w:szCs w:val="24"/>
          <w:lang w:val="ru-RU" w:eastAsia="en-US"/>
        </w:rPr>
        <w:t xml:space="preserve">- Данные о доле устойчивых государственных закупок недоступны из-за отсутствия </w:t>
      </w:r>
      <w:r>
        <w:rPr>
          <w:rStyle w:val="tlid-translation"/>
          <w:rFonts w:eastAsia="Calibri" w:cs="Times New Roman"/>
          <w:szCs w:val="24"/>
          <w:lang w:val="ru-RU" w:eastAsia="en-US"/>
        </w:rPr>
        <w:t>консенсусакасательно того</w:t>
      </w:r>
      <w:r w:rsidRPr="002B557F">
        <w:rPr>
          <w:rStyle w:val="tlid-translation"/>
          <w:rFonts w:eastAsia="Calibri" w:cs="Times New Roman"/>
          <w:szCs w:val="24"/>
          <w:lang w:val="ru-RU" w:eastAsia="en-US"/>
        </w:rPr>
        <w:t>, какие продукты являются экологически чистыми или устойчивыми, а также из-за того, что данные очень часто не классифицируются с точки зрения объемов и стоимости закупленных продуктов.</w:t>
      </w:r>
    </w:p>
    <w:p w:rsidR="002B557F" w:rsidRPr="002B557F" w:rsidRDefault="002B557F" w:rsidP="002B557F">
      <w:pPr>
        <w:pStyle w:val="afa"/>
        <w:spacing w:line="276" w:lineRule="auto"/>
        <w:rPr>
          <w:rStyle w:val="tlid-translation"/>
          <w:rFonts w:eastAsia="Calibri" w:cs="Times New Roman"/>
          <w:szCs w:val="24"/>
          <w:lang w:val="ru-RU" w:eastAsia="en-US"/>
        </w:rPr>
      </w:pPr>
      <w:r w:rsidRPr="002B557F">
        <w:rPr>
          <w:rStyle w:val="tlid-translation"/>
          <w:rFonts w:eastAsia="Calibri" w:cs="Times New Roman"/>
          <w:szCs w:val="24"/>
          <w:lang w:val="ru-RU" w:eastAsia="en-US"/>
        </w:rPr>
        <w:t xml:space="preserve">- Другое ограничение связано с существованием нескольких уровней и компонентов государственных закупок: центральное правительство, провинции в странах с федеративным управлением, муниципальный уровень, государственные предприятия, больницы, оборона и т. </w:t>
      </w:r>
      <w:r>
        <w:rPr>
          <w:rStyle w:val="tlid-translation"/>
          <w:rFonts w:eastAsia="Calibri" w:cs="Times New Roman"/>
          <w:szCs w:val="24"/>
          <w:lang w:val="ru-RU" w:eastAsia="en-US"/>
        </w:rPr>
        <w:t>д</w:t>
      </w:r>
      <w:r w:rsidRPr="002B557F">
        <w:rPr>
          <w:rStyle w:val="tlid-translation"/>
          <w:rFonts w:eastAsia="Calibri" w:cs="Times New Roman"/>
          <w:szCs w:val="24"/>
          <w:lang w:val="ru-RU" w:eastAsia="en-US"/>
        </w:rPr>
        <w:t>. Данные о закупках из этих различных секторов очень часто не агрегируются.</w:t>
      </w:r>
    </w:p>
    <w:p w:rsidR="002B557F" w:rsidRPr="002B557F" w:rsidRDefault="002B557F" w:rsidP="002B557F">
      <w:pPr>
        <w:pStyle w:val="afa"/>
        <w:spacing w:line="276" w:lineRule="auto"/>
        <w:rPr>
          <w:rStyle w:val="tlid-translation"/>
          <w:rFonts w:eastAsia="Calibri" w:cs="Times New Roman"/>
          <w:szCs w:val="24"/>
          <w:lang w:val="ru-RU" w:eastAsia="en-US"/>
        </w:rPr>
      </w:pPr>
      <w:r w:rsidRPr="002B557F">
        <w:rPr>
          <w:rStyle w:val="tlid-translation"/>
          <w:rFonts w:eastAsia="Calibri" w:cs="Times New Roman"/>
          <w:szCs w:val="24"/>
          <w:lang w:val="ru-RU" w:eastAsia="en-US"/>
        </w:rPr>
        <w:t>- Кроме того, контракты ниже определенного порога не отслеживаются.</w:t>
      </w:r>
    </w:p>
    <w:p w:rsidR="002B557F" w:rsidRDefault="002B557F" w:rsidP="002B557F">
      <w:pPr>
        <w:pStyle w:val="afa"/>
        <w:spacing w:line="276" w:lineRule="auto"/>
        <w:rPr>
          <w:rStyle w:val="tlid-translation"/>
          <w:rFonts w:eastAsia="Calibri" w:cs="Times New Roman"/>
          <w:szCs w:val="24"/>
          <w:lang w:val="ru-RU" w:eastAsia="en-US"/>
        </w:rPr>
      </w:pPr>
      <w:r w:rsidRPr="002B557F">
        <w:rPr>
          <w:rStyle w:val="tlid-translation"/>
          <w:rFonts w:eastAsia="Calibri" w:cs="Times New Roman"/>
          <w:szCs w:val="24"/>
          <w:lang w:val="ru-RU" w:eastAsia="en-US"/>
        </w:rPr>
        <w:t xml:space="preserve">В результате и в соответствии с комментарием в разделе «Обоснование» было решено сосредоточиться на субиндикаторах процесса, которые будут измерять средства и усилия, которые страны вкладывают в реализацию своих планов, политики и программ </w:t>
      </w:r>
      <w:r w:rsidR="00A3202D">
        <w:rPr>
          <w:rStyle w:val="tlid-translation"/>
          <w:rFonts w:eastAsia="Calibri" w:cs="Times New Roman"/>
          <w:szCs w:val="24"/>
          <w:lang w:val="ru-RU" w:eastAsia="en-US"/>
        </w:rPr>
        <w:t>SPP</w:t>
      </w:r>
      <w:r w:rsidRPr="002B557F">
        <w:rPr>
          <w:rStyle w:val="tlid-translation"/>
          <w:rFonts w:eastAsia="Calibri" w:cs="Times New Roman"/>
          <w:szCs w:val="24"/>
          <w:lang w:val="ru-RU" w:eastAsia="en-US"/>
        </w:rPr>
        <w:t>.</w:t>
      </w:r>
    </w:p>
    <w:p w:rsidR="00D273C6" w:rsidRPr="008E3E58" w:rsidRDefault="002E15F9" w:rsidP="002B557F">
      <w:pPr>
        <w:pStyle w:val="MHeader2"/>
        <w:spacing w:line="276" w:lineRule="auto"/>
        <w:rPr>
          <w:color w:val="auto"/>
          <w:sz w:val="24"/>
          <w:szCs w:val="24"/>
          <w:lang w:val="ru-RU"/>
        </w:rPr>
      </w:pPr>
      <w:r w:rsidRPr="008E3E58">
        <w:rPr>
          <w:color w:val="auto"/>
          <w:sz w:val="24"/>
          <w:szCs w:val="24"/>
          <w:lang w:val="ru-RU"/>
        </w:rPr>
        <w:t>4.</w:t>
      </w:r>
      <w:r w:rsidRPr="004F3B53">
        <w:rPr>
          <w:color w:val="auto"/>
          <w:sz w:val="24"/>
          <w:szCs w:val="24"/>
        </w:rPr>
        <w:t>c</w:t>
      </w:r>
      <w:r w:rsidRPr="008E3E58">
        <w:rPr>
          <w:color w:val="auto"/>
          <w:sz w:val="24"/>
          <w:szCs w:val="24"/>
          <w:lang w:val="ru-RU"/>
        </w:rPr>
        <w:t xml:space="preserve">. </w:t>
      </w:r>
      <w:r w:rsidR="00CA1CB1" w:rsidRPr="004F3B53">
        <w:rPr>
          <w:b/>
          <w:color w:val="auto"/>
          <w:sz w:val="24"/>
          <w:szCs w:val="24"/>
          <w:lang w:val="ru-RU"/>
        </w:rPr>
        <w:t>Методрасчета</w:t>
      </w:r>
    </w:p>
    <w:p w:rsidR="00A3202D" w:rsidRPr="00DA006C" w:rsidRDefault="00A3202D" w:rsidP="00DA006C">
      <w:pPr>
        <w:pStyle w:val="afa"/>
        <w:spacing w:before="0" w:line="276" w:lineRule="auto"/>
        <w:rPr>
          <w:rFonts w:cs="Times New Roman"/>
          <w:szCs w:val="24"/>
          <w:lang w:val="ru-RU"/>
        </w:rPr>
      </w:pPr>
      <w:r w:rsidRPr="004C15E5">
        <w:rPr>
          <w:lang w:val="ru-RU"/>
        </w:rPr>
        <w:t>Чтобы</w:t>
      </w:r>
      <w:r w:rsidR="004C15E5" w:rsidRPr="004C15E5">
        <w:rPr>
          <w:lang w:val="ru-RU"/>
        </w:rPr>
        <w:t xml:space="preserve"> провести оценку</w:t>
      </w:r>
      <w:r w:rsidRPr="004C15E5">
        <w:rPr>
          <w:lang w:val="ru-RU"/>
        </w:rPr>
        <w:t xml:space="preserve"> «количеств</w:t>
      </w:r>
      <w:r w:rsidR="004C15E5" w:rsidRPr="004C15E5">
        <w:rPr>
          <w:lang w:val="ru-RU"/>
        </w:rPr>
        <w:t>а</w:t>
      </w:r>
      <w:r w:rsidRPr="004C15E5">
        <w:rPr>
          <w:lang w:val="ru-RU"/>
        </w:rPr>
        <w:t xml:space="preserve"> стран, реализующих политику и планы действий в области устойчивых государственных закупок», был установлен конкретный порог, выше которого страна будет считаться имеющей разумную политику или план действий по УГЗ, чтобы определить, будет ли эта страна соответств</w:t>
      </w:r>
      <w:r w:rsidR="004C15E5" w:rsidRPr="004C15E5">
        <w:rPr>
          <w:lang w:val="ru-RU"/>
        </w:rPr>
        <w:t>овать</w:t>
      </w:r>
      <w:r w:rsidRPr="004C15E5">
        <w:rPr>
          <w:lang w:val="ru-RU"/>
        </w:rPr>
        <w:t xml:space="preserve"> при окончательном расчете ЦУР 12.7.1. Предлагается, чтобы эта оценка основывалась на оценке уровня, объема и полноты реализации </w:t>
      </w:r>
      <w:r w:rsidRPr="004C15E5">
        <w:t>SPP</w:t>
      </w:r>
      <w:r w:rsidRPr="004C15E5">
        <w:rPr>
          <w:lang w:val="ru-RU"/>
        </w:rPr>
        <w:t xml:space="preserve"> национальным правительством посредством оценки 6 конкретных п</w:t>
      </w:r>
      <w:r w:rsidR="004C15E5" w:rsidRPr="004C15E5">
        <w:rPr>
          <w:lang w:val="ru-RU"/>
        </w:rPr>
        <w:t>араметров (описанных в таблице</w:t>
      </w:r>
      <w:r w:rsidRPr="004C15E5">
        <w:rPr>
          <w:lang w:val="ru-RU"/>
        </w:rPr>
        <w:t xml:space="preserve"> ниже), что приведет к расчету оценки реализации </w:t>
      </w:r>
      <w:r w:rsidRPr="00DA006C">
        <w:rPr>
          <w:rFonts w:cs="Times New Roman"/>
          <w:szCs w:val="24"/>
          <w:lang w:val="ru-RU"/>
        </w:rPr>
        <w:lastRenderedPageBreak/>
        <w:t xml:space="preserve">государственной программы </w:t>
      </w:r>
      <w:r w:rsidRPr="00DA006C">
        <w:rPr>
          <w:rFonts w:cs="Times New Roman"/>
          <w:szCs w:val="24"/>
        </w:rPr>
        <w:t>SPP</w:t>
      </w:r>
      <w:r w:rsidRPr="00DA006C">
        <w:rPr>
          <w:rFonts w:cs="Times New Roman"/>
          <w:szCs w:val="24"/>
          <w:lang w:val="ru-RU"/>
        </w:rPr>
        <w:t>.</w:t>
      </w:r>
    </w:p>
    <w:p w:rsidR="004C15E5" w:rsidRPr="00DA006C" w:rsidRDefault="004C15E5" w:rsidP="00DA006C">
      <w:pPr>
        <w:pStyle w:val="afa"/>
        <w:spacing w:before="0" w:line="276" w:lineRule="auto"/>
        <w:jc w:val="center"/>
        <w:rPr>
          <w:rFonts w:cs="Times New Roman"/>
          <w:szCs w:val="24"/>
          <w:lang w:val="ru-RU"/>
        </w:rPr>
      </w:pPr>
      <w:r w:rsidRPr="00DA006C">
        <w:rPr>
          <w:rFonts w:cs="Times New Roman"/>
          <w:szCs w:val="24"/>
          <w:lang w:val="fr-FR"/>
        </w:rPr>
        <w:t>Оценка внедрения SPP</w:t>
      </w:r>
      <m:oMath>
        <m:r>
          <m:rPr>
            <m:sty m:val="p"/>
          </m:rPr>
          <w:rPr>
            <w:rFonts w:ascii="Cambria Math" w:hAnsi="Cambria Math"/>
            <w:szCs w:val="24"/>
            <w:lang w:val="fr-FR"/>
          </w:rPr>
          <m:t xml:space="preserve">=     </m:t>
        </m:r>
        <m:sSub>
          <m:sSubPr>
            <m:ctrlPr>
              <w:rPr>
                <w:rFonts w:ascii="Cambria Math" w:hAnsi="Cambria Math"/>
                <w:szCs w:val="24"/>
              </w:rPr>
            </m:ctrlPr>
          </m:sSubPr>
          <m:e>
            <m:r>
              <w:rPr>
                <w:rFonts w:ascii="Cambria Math" w:hAnsi="Cambria Math"/>
                <w:szCs w:val="24"/>
              </w:rPr>
              <m:t>A</m:t>
            </m:r>
          </m:e>
          <m:sub/>
        </m:sSub>
        <m:r>
          <m:rPr>
            <m:sty m:val="p"/>
          </m:rPr>
          <w:rPr>
            <w:rFonts w:ascii="Cambria Math" w:hAnsi="Cambria Math"/>
            <w:szCs w:val="24"/>
            <w:lang w:val="fr-FR"/>
          </w:rPr>
          <m:t>×</m:t>
        </m:r>
        <m:nary>
          <m:naryPr>
            <m:chr m:val="∑"/>
            <m:limLoc m:val="subSup"/>
            <m:ctrlPr>
              <w:rPr>
                <w:rFonts w:ascii="Cambria Math" w:hAnsi="Cambria Math"/>
                <w:szCs w:val="24"/>
              </w:rPr>
            </m:ctrlPr>
          </m:naryPr>
          <m:sub>
            <m:r>
              <w:rPr>
                <w:rFonts w:ascii="Cambria Math" w:hAnsi="Cambria Math"/>
                <w:szCs w:val="24"/>
              </w:rPr>
              <m:t>i</m:t>
            </m:r>
            <m:r>
              <m:rPr>
                <m:sty m:val="p"/>
              </m:rPr>
              <w:rPr>
                <w:rFonts w:ascii="Cambria Math" w:hAnsi="Cambria Math"/>
                <w:szCs w:val="24"/>
                <w:lang w:val="fr-FR"/>
              </w:rPr>
              <m:t>=</m:t>
            </m:r>
            <m:r>
              <w:rPr>
                <w:rFonts w:ascii="Cambria Math" w:hAnsi="Cambria Math"/>
                <w:szCs w:val="24"/>
              </w:rPr>
              <m:t>B</m:t>
            </m:r>
          </m:sub>
          <m:sup>
            <m:r>
              <w:rPr>
                <w:rFonts w:ascii="Cambria Math" w:hAnsi="Cambria Math"/>
                <w:szCs w:val="24"/>
              </w:rPr>
              <m:t>F</m:t>
            </m:r>
          </m:sup>
          <m:e>
            <m:sSub>
              <m:sSubPr>
                <m:ctrlPr>
                  <w:rPr>
                    <w:rFonts w:ascii="Cambria Math" w:hAnsi="Cambria Math"/>
                    <w:szCs w:val="24"/>
                  </w:rPr>
                </m:ctrlPr>
              </m:sSubPr>
              <m:e>
                <m:r>
                  <w:rPr>
                    <w:rFonts w:ascii="Cambria Math" w:hAnsi="Cambria Math"/>
                    <w:szCs w:val="24"/>
                  </w:rPr>
                  <m:t>i</m:t>
                </m:r>
              </m:e>
              <m:sub/>
            </m:sSub>
          </m:e>
        </m:nary>
        <m:r>
          <m:rPr>
            <m:sty m:val="p"/>
          </m:rPr>
          <w:rPr>
            <w:rFonts w:ascii="Cambria Math" w:hAnsi="Cambria Math"/>
            <w:szCs w:val="24"/>
            <w:lang w:val="fr-FR"/>
          </w:rPr>
          <m:t xml:space="preserve">  =</m:t>
        </m:r>
        <m:sSub>
          <m:sSubPr>
            <m:ctrlPr>
              <w:rPr>
                <w:rFonts w:ascii="Cambria Math" w:hAnsi="Cambria Math"/>
                <w:szCs w:val="24"/>
              </w:rPr>
            </m:ctrlPr>
          </m:sSubPr>
          <m:e>
            <m:r>
              <w:rPr>
                <w:rFonts w:ascii="Cambria Math" w:hAnsi="Cambria Math"/>
                <w:szCs w:val="24"/>
              </w:rPr>
              <m:t>A</m:t>
            </m:r>
          </m:e>
          <m:sub/>
        </m:sSub>
        <m:r>
          <m:rPr>
            <m:sty m:val="p"/>
          </m:rPr>
          <w:rPr>
            <w:rFonts w:ascii="Cambria Math" w:hAnsi="Cambria Math"/>
            <w:szCs w:val="24"/>
            <w:lang w:val="fr-FR"/>
          </w:rPr>
          <m:t>×</m:t>
        </m:r>
        <m:nary>
          <m:naryPr>
            <m:chr m:val="∑"/>
            <m:limLoc m:val="undOvr"/>
            <m:subHide m:val="on"/>
            <m:supHide m:val="on"/>
            <m:ctrlPr>
              <w:rPr>
                <w:rFonts w:ascii="Cambria Math" w:hAnsi="Cambria Math"/>
                <w:szCs w:val="24"/>
              </w:rPr>
            </m:ctrlPr>
          </m:naryPr>
          <m:sub/>
          <m:sup/>
          <m:e>
            <m:d>
              <m:dPr>
                <m:begChr m:val="{"/>
                <m:endChr m:val="}"/>
                <m:ctrlPr>
                  <w:rPr>
                    <w:rFonts w:ascii="Cambria Math" w:hAnsi="Cambria Math"/>
                    <w:szCs w:val="24"/>
                  </w:rPr>
                </m:ctrlPr>
              </m:dPr>
              <m:e>
                <m:sSub>
                  <m:sSubPr>
                    <m:ctrlPr>
                      <w:rPr>
                        <w:rFonts w:ascii="Cambria Math" w:hAnsi="Cambria Math"/>
                        <w:szCs w:val="24"/>
                      </w:rPr>
                    </m:ctrlPr>
                  </m:sSubPr>
                  <m:e>
                    <m:r>
                      <w:rPr>
                        <w:rFonts w:ascii="Cambria Math" w:hAnsi="Cambria Math"/>
                        <w:szCs w:val="24"/>
                      </w:rPr>
                      <m:t>B</m:t>
                    </m:r>
                  </m:e>
                  <m:sub/>
                </m:sSub>
                <m:r>
                  <m:rPr>
                    <m:sty m:val="p"/>
                  </m:rPr>
                  <w:rPr>
                    <w:rFonts w:ascii="Cambria Math" w:hAnsi="Cambria Math"/>
                    <w:szCs w:val="24"/>
                    <w:lang w:val="fr-FR"/>
                  </w:rPr>
                  <m:t>⋯</m:t>
                </m:r>
                <m:sSub>
                  <m:sSubPr>
                    <m:ctrlPr>
                      <w:rPr>
                        <w:rFonts w:ascii="Cambria Math" w:hAnsi="Cambria Math"/>
                        <w:szCs w:val="24"/>
                      </w:rPr>
                    </m:ctrlPr>
                  </m:sSubPr>
                  <m:e>
                    <m:r>
                      <w:rPr>
                        <w:rFonts w:ascii="Cambria Math" w:hAnsi="Cambria Math"/>
                        <w:szCs w:val="24"/>
                      </w:rPr>
                      <m:t>F</m:t>
                    </m:r>
                  </m:e>
                  <m:sub/>
                </m:sSub>
              </m:e>
            </m:d>
          </m:e>
        </m:nary>
      </m:oMath>
    </w:p>
    <w:p w:rsidR="004C15E5" w:rsidRPr="00DA006C" w:rsidRDefault="004C15E5" w:rsidP="00DA006C">
      <w:pPr>
        <w:shd w:val="clear" w:color="auto" w:fill="FFFFFF"/>
        <w:spacing w:after="0"/>
        <w:rPr>
          <w:szCs w:val="24"/>
          <w:lang w:eastAsia="en-GB"/>
        </w:rPr>
      </w:pPr>
    </w:p>
    <w:tbl>
      <w:tblPr>
        <w:tblpPr w:leftFromText="141" w:rightFromText="141" w:vertAnchor="text" w:horzAnchor="margin" w:tblpY="-15"/>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5849"/>
        <w:gridCol w:w="1636"/>
      </w:tblGrid>
      <w:tr w:rsidR="00DA006C" w:rsidRPr="00B75B36" w:rsidTr="00B75B36">
        <w:trPr>
          <w:trHeight w:val="332"/>
        </w:trPr>
        <w:tc>
          <w:tcPr>
            <w:tcW w:w="9074" w:type="dxa"/>
            <w:gridSpan w:val="3"/>
          </w:tcPr>
          <w:p w:rsidR="004C15E5" w:rsidRPr="00B75B36" w:rsidRDefault="004C15E5" w:rsidP="00B75B36">
            <w:pPr>
              <w:shd w:val="clear" w:color="auto" w:fill="FFFFFF"/>
              <w:jc w:val="center"/>
              <w:rPr>
                <w:rFonts w:eastAsia="Times New Roman"/>
                <w:b/>
                <w:bCs/>
                <w:sz w:val="22"/>
                <w:szCs w:val="24"/>
                <w:lang w:eastAsia="en-GB"/>
              </w:rPr>
            </w:pPr>
            <w:r w:rsidRPr="00B75B36">
              <w:rPr>
                <w:rFonts w:eastAsia="Times New Roman"/>
                <w:b/>
                <w:bCs/>
                <w:sz w:val="22"/>
                <w:szCs w:val="24"/>
                <w:lang w:eastAsia="en-GB"/>
              </w:rPr>
              <w:t xml:space="preserve">Описание параметров и баллов, используемых для оценки реализации </w:t>
            </w:r>
            <w:r w:rsidRPr="00B75B36">
              <w:rPr>
                <w:rFonts w:eastAsia="Times New Roman"/>
                <w:b/>
                <w:bCs/>
                <w:sz w:val="22"/>
                <w:szCs w:val="24"/>
                <w:lang w:val="en-US" w:eastAsia="en-GB"/>
              </w:rPr>
              <w:t>SPP</w:t>
            </w:r>
          </w:p>
        </w:tc>
      </w:tr>
      <w:tr w:rsidR="00DA006C" w:rsidRPr="00B75B36" w:rsidTr="00B75B36">
        <w:trPr>
          <w:trHeight w:val="332"/>
        </w:trPr>
        <w:tc>
          <w:tcPr>
            <w:tcW w:w="1212" w:type="dxa"/>
          </w:tcPr>
          <w:p w:rsidR="004C15E5" w:rsidRPr="00B75B36" w:rsidRDefault="004C15E5" w:rsidP="00B75B36">
            <w:pPr>
              <w:shd w:val="clear" w:color="auto" w:fill="FFFFFF"/>
              <w:rPr>
                <w:rFonts w:eastAsia="Times New Roman"/>
                <w:b/>
                <w:bCs/>
                <w:sz w:val="22"/>
                <w:szCs w:val="24"/>
                <w:lang w:eastAsia="en-GB"/>
              </w:rPr>
            </w:pPr>
            <w:r w:rsidRPr="00B75B36">
              <w:rPr>
                <w:rFonts w:eastAsia="Times New Roman"/>
                <w:b/>
                <w:bCs/>
                <w:sz w:val="22"/>
                <w:szCs w:val="24"/>
                <w:lang w:eastAsia="en-GB"/>
              </w:rPr>
              <w:t>Обозначается как:</w:t>
            </w:r>
          </w:p>
        </w:tc>
        <w:tc>
          <w:tcPr>
            <w:tcW w:w="6154" w:type="dxa"/>
          </w:tcPr>
          <w:p w:rsidR="004C15E5" w:rsidRPr="00B75B36" w:rsidRDefault="004C15E5" w:rsidP="00B75B36">
            <w:pPr>
              <w:shd w:val="clear" w:color="auto" w:fill="FFFFFF"/>
              <w:rPr>
                <w:rFonts w:eastAsia="Times New Roman"/>
                <w:b/>
                <w:bCs/>
                <w:sz w:val="22"/>
                <w:szCs w:val="24"/>
                <w:lang w:eastAsia="en-GB"/>
              </w:rPr>
            </w:pPr>
            <w:r w:rsidRPr="00B75B36">
              <w:rPr>
                <w:rFonts w:eastAsia="Times New Roman"/>
                <w:b/>
                <w:bCs/>
                <w:sz w:val="22"/>
                <w:szCs w:val="24"/>
                <w:lang w:eastAsia="en-GB"/>
              </w:rPr>
              <w:t>Параметр и субиндикаторы</w:t>
            </w:r>
          </w:p>
        </w:tc>
        <w:tc>
          <w:tcPr>
            <w:tcW w:w="1708" w:type="dxa"/>
          </w:tcPr>
          <w:p w:rsidR="004C15E5" w:rsidRPr="00B75B36" w:rsidRDefault="004C15E5" w:rsidP="00B75B36">
            <w:pPr>
              <w:shd w:val="clear" w:color="auto" w:fill="FFFFFF"/>
              <w:rPr>
                <w:rFonts w:eastAsia="Times New Roman"/>
                <w:b/>
                <w:bCs/>
                <w:sz w:val="22"/>
                <w:szCs w:val="24"/>
                <w:lang w:eastAsia="en-GB"/>
              </w:rPr>
            </w:pPr>
            <w:r w:rsidRPr="00B75B36">
              <w:rPr>
                <w:rFonts w:eastAsia="Times New Roman"/>
                <w:b/>
                <w:bCs/>
                <w:sz w:val="22"/>
                <w:szCs w:val="24"/>
                <w:lang w:eastAsia="en-GB"/>
              </w:rPr>
              <w:t>Оценка</w:t>
            </w:r>
          </w:p>
        </w:tc>
      </w:tr>
      <w:tr w:rsidR="00DA006C" w:rsidRPr="00B75B36" w:rsidTr="00B75B36">
        <w:trPr>
          <w:trHeight w:val="828"/>
        </w:trPr>
        <w:tc>
          <w:tcPr>
            <w:tcW w:w="1212" w:type="dxa"/>
          </w:tcPr>
          <w:p w:rsidR="004C15E5" w:rsidRPr="00B75B36" w:rsidDel="00D379B4"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A</w:t>
            </w:r>
          </w:p>
        </w:tc>
        <w:tc>
          <w:tcPr>
            <w:tcW w:w="6154"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 xml:space="preserve">Наличие плана / политики действий </w:t>
            </w:r>
            <w:r w:rsidRPr="00B75B36">
              <w:rPr>
                <w:rFonts w:eastAsia="Times New Roman"/>
                <w:sz w:val="22"/>
                <w:szCs w:val="24"/>
                <w:lang w:val="en-US" w:eastAsia="en-GB"/>
              </w:rPr>
              <w:t>SPP</w:t>
            </w:r>
            <w:r w:rsidRPr="00B75B36">
              <w:rPr>
                <w:rFonts w:eastAsia="Times New Roman"/>
                <w:sz w:val="22"/>
                <w:szCs w:val="24"/>
                <w:lang w:eastAsia="en-GB"/>
              </w:rPr>
              <w:t xml:space="preserve"> и / или нормативных требований </w:t>
            </w:r>
            <w:r w:rsidRPr="00B75B36">
              <w:rPr>
                <w:rFonts w:eastAsia="Times New Roman"/>
                <w:sz w:val="22"/>
                <w:szCs w:val="24"/>
                <w:lang w:val="en-US" w:eastAsia="en-GB"/>
              </w:rPr>
              <w:t>SPP</w:t>
            </w:r>
            <w:r w:rsidRPr="00B75B36">
              <w:rPr>
                <w:rFonts w:eastAsia="Times New Roman"/>
                <w:sz w:val="22"/>
                <w:szCs w:val="24"/>
                <w:lang w:eastAsia="en-GB"/>
              </w:rPr>
              <w:t>.</w:t>
            </w:r>
          </w:p>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 xml:space="preserve">0 означает отсутствие политики </w:t>
            </w:r>
            <w:r w:rsidRPr="00B75B36">
              <w:rPr>
                <w:rFonts w:eastAsia="Times New Roman"/>
                <w:sz w:val="22"/>
                <w:szCs w:val="24"/>
                <w:lang w:val="en-US" w:eastAsia="en-GB"/>
              </w:rPr>
              <w:t>SPP</w:t>
            </w:r>
            <w:r w:rsidRPr="00B75B36">
              <w:rPr>
                <w:rFonts w:eastAsia="Times New Roman"/>
                <w:sz w:val="22"/>
                <w:szCs w:val="24"/>
                <w:lang w:eastAsia="en-GB"/>
              </w:rPr>
              <w:t xml:space="preserve">, 1 означает наличие плана действий </w:t>
            </w:r>
            <w:r w:rsidRPr="00B75B36">
              <w:rPr>
                <w:rFonts w:eastAsia="Times New Roman"/>
                <w:sz w:val="22"/>
                <w:szCs w:val="24"/>
                <w:lang w:val="en-US" w:eastAsia="en-GB"/>
              </w:rPr>
              <w:t>SPP</w:t>
            </w:r>
            <w:r w:rsidRPr="00B75B36">
              <w:rPr>
                <w:rFonts w:eastAsia="Times New Roman"/>
                <w:sz w:val="22"/>
                <w:szCs w:val="24"/>
                <w:lang w:eastAsia="en-GB"/>
              </w:rPr>
              <w:t xml:space="preserve">, политики и / или нормативных требований </w:t>
            </w:r>
            <w:r w:rsidRPr="00B75B36">
              <w:rPr>
                <w:rFonts w:eastAsia="Times New Roman"/>
                <w:sz w:val="22"/>
                <w:szCs w:val="24"/>
                <w:lang w:val="en-US" w:eastAsia="en-GB"/>
              </w:rPr>
              <w:t>SPP</w:t>
            </w:r>
            <w:r w:rsidRPr="00B75B36">
              <w:rPr>
                <w:rFonts w:eastAsia="Times New Roman"/>
                <w:sz w:val="22"/>
                <w:szCs w:val="24"/>
                <w:lang w:eastAsia="en-GB"/>
              </w:rPr>
              <w:t xml:space="preserve"> на национальном, местном или обоих уровнях.</w:t>
            </w:r>
          </w:p>
        </w:tc>
        <w:tc>
          <w:tcPr>
            <w:tcW w:w="1708"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0 до 1</w:t>
            </w:r>
          </w:p>
        </w:tc>
      </w:tr>
      <w:tr w:rsidR="00DA006C" w:rsidRPr="00B75B36" w:rsidTr="00B75B36">
        <w:trPr>
          <w:trHeight w:val="544"/>
        </w:trPr>
        <w:tc>
          <w:tcPr>
            <w:tcW w:w="1212"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B</w:t>
            </w:r>
          </w:p>
        </w:tc>
        <w:tc>
          <w:tcPr>
            <w:tcW w:w="6154"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Нормативно-правовая база государственных закупок, способствующая устойчивым государственным закупкам.</w:t>
            </w:r>
          </w:p>
        </w:tc>
        <w:tc>
          <w:tcPr>
            <w:tcW w:w="1708"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0 до 1</w:t>
            </w:r>
          </w:p>
        </w:tc>
      </w:tr>
      <w:tr w:rsidR="00DA006C" w:rsidRPr="00B75B36" w:rsidTr="00B75B36">
        <w:trPr>
          <w:trHeight w:val="556"/>
        </w:trPr>
        <w:tc>
          <w:tcPr>
            <w:tcW w:w="1212"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C</w:t>
            </w:r>
          </w:p>
        </w:tc>
        <w:tc>
          <w:tcPr>
            <w:tcW w:w="6154"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 xml:space="preserve">Практическая поддержка практикам государственных закупок во внедрении  </w:t>
            </w:r>
            <w:r w:rsidRPr="00B75B36">
              <w:rPr>
                <w:rFonts w:eastAsia="Times New Roman"/>
                <w:sz w:val="22"/>
                <w:szCs w:val="24"/>
                <w:lang w:val="en-US" w:eastAsia="en-GB"/>
              </w:rPr>
              <w:t>SPP</w:t>
            </w:r>
            <w:r w:rsidRPr="00B75B36">
              <w:rPr>
                <w:rFonts w:eastAsia="Times New Roman"/>
                <w:sz w:val="22"/>
                <w:szCs w:val="24"/>
                <w:lang w:eastAsia="en-GB"/>
              </w:rPr>
              <w:t xml:space="preserve"> .</w:t>
            </w:r>
          </w:p>
        </w:tc>
        <w:tc>
          <w:tcPr>
            <w:tcW w:w="1708"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0 до 1</w:t>
            </w:r>
          </w:p>
        </w:tc>
      </w:tr>
      <w:tr w:rsidR="00DA006C" w:rsidRPr="00B75B36" w:rsidTr="00B75B36">
        <w:trPr>
          <w:trHeight w:val="272"/>
        </w:trPr>
        <w:tc>
          <w:tcPr>
            <w:tcW w:w="1212"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D</w:t>
            </w:r>
          </w:p>
        </w:tc>
        <w:tc>
          <w:tcPr>
            <w:tcW w:w="6154"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 xml:space="preserve">Критерии закупки </w:t>
            </w:r>
            <w:r w:rsidRPr="00B75B36">
              <w:rPr>
                <w:rFonts w:eastAsia="Times New Roman"/>
                <w:sz w:val="22"/>
                <w:szCs w:val="24"/>
                <w:lang w:val="en-US" w:eastAsia="en-GB"/>
              </w:rPr>
              <w:t>SPP</w:t>
            </w:r>
            <w:r w:rsidRPr="00B75B36">
              <w:rPr>
                <w:rFonts w:eastAsia="Times New Roman"/>
                <w:sz w:val="22"/>
                <w:szCs w:val="24"/>
                <w:lang w:eastAsia="en-GB"/>
              </w:rPr>
              <w:t xml:space="preserve"> / стандарты / требования закупки.</w:t>
            </w:r>
          </w:p>
        </w:tc>
        <w:tc>
          <w:tcPr>
            <w:tcW w:w="1708"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0 до 1</w:t>
            </w:r>
          </w:p>
        </w:tc>
      </w:tr>
      <w:tr w:rsidR="00DA006C" w:rsidRPr="00B75B36" w:rsidTr="00B75B36">
        <w:trPr>
          <w:trHeight w:val="272"/>
        </w:trPr>
        <w:tc>
          <w:tcPr>
            <w:tcW w:w="1212"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E</w:t>
            </w:r>
          </w:p>
        </w:tc>
        <w:tc>
          <w:tcPr>
            <w:tcW w:w="6154" w:type="dxa"/>
          </w:tcPr>
          <w:p w:rsidR="004C15E5" w:rsidRPr="00B75B36" w:rsidRDefault="004C15E5" w:rsidP="00B75B36">
            <w:pPr>
              <w:shd w:val="clear" w:color="auto" w:fill="FFFFFF"/>
              <w:rPr>
                <w:rFonts w:eastAsia="Times New Roman"/>
                <w:sz w:val="22"/>
                <w:szCs w:val="24"/>
                <w:lang w:val="en-US" w:eastAsia="en-GB"/>
              </w:rPr>
            </w:pPr>
            <w:r w:rsidRPr="00B75B36">
              <w:rPr>
                <w:rFonts w:eastAsia="Times New Roman"/>
                <w:sz w:val="22"/>
                <w:szCs w:val="24"/>
                <w:lang w:val="en-US" w:eastAsia="en-GB"/>
              </w:rPr>
              <w:t>Наличиесистемымониторинга SPP.</w:t>
            </w:r>
          </w:p>
        </w:tc>
        <w:tc>
          <w:tcPr>
            <w:tcW w:w="1708"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0 до 1</w:t>
            </w:r>
          </w:p>
        </w:tc>
      </w:tr>
      <w:tr w:rsidR="00DA006C" w:rsidRPr="00B75B36" w:rsidTr="00B75B36">
        <w:trPr>
          <w:trHeight w:val="318"/>
        </w:trPr>
        <w:tc>
          <w:tcPr>
            <w:tcW w:w="1212"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F</w:t>
            </w:r>
          </w:p>
        </w:tc>
        <w:tc>
          <w:tcPr>
            <w:tcW w:w="6154"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Процент устойчивых покупок приоритетных товаров / услуг.</w:t>
            </w:r>
          </w:p>
        </w:tc>
        <w:tc>
          <w:tcPr>
            <w:tcW w:w="1708" w:type="dxa"/>
          </w:tcPr>
          <w:p w:rsidR="004C15E5" w:rsidRPr="00B75B36" w:rsidRDefault="004C15E5" w:rsidP="00B75B36">
            <w:pPr>
              <w:shd w:val="clear" w:color="auto" w:fill="FFFFFF"/>
              <w:rPr>
                <w:rFonts w:eastAsia="Times New Roman"/>
                <w:sz w:val="22"/>
                <w:szCs w:val="24"/>
                <w:lang w:eastAsia="en-GB"/>
              </w:rPr>
            </w:pPr>
            <w:r w:rsidRPr="00B75B36">
              <w:rPr>
                <w:rFonts w:eastAsia="Times New Roman"/>
                <w:sz w:val="22"/>
                <w:szCs w:val="24"/>
                <w:lang w:eastAsia="en-GB"/>
              </w:rPr>
              <w:t>0-100%</w:t>
            </w:r>
          </w:p>
        </w:tc>
      </w:tr>
    </w:tbl>
    <w:p w:rsidR="004C15E5" w:rsidRPr="00DA006C" w:rsidRDefault="004C15E5" w:rsidP="00DA006C">
      <w:pPr>
        <w:shd w:val="clear" w:color="auto" w:fill="FFFFFF"/>
        <w:spacing w:after="0"/>
        <w:rPr>
          <w:rFonts w:eastAsia="Times New Roman"/>
          <w:szCs w:val="24"/>
          <w:lang w:eastAsia="en-GB"/>
        </w:rPr>
      </w:pPr>
    </w:p>
    <w:p w:rsidR="009A555C" w:rsidRPr="00DA006C" w:rsidRDefault="009A555C" w:rsidP="00DA006C">
      <w:pPr>
        <w:shd w:val="clear" w:color="auto" w:fill="FFFFFF"/>
        <w:spacing w:after="0"/>
        <w:rPr>
          <w:rFonts w:eastAsia="Times New Roman"/>
          <w:szCs w:val="24"/>
          <w:lang w:eastAsia="en-GB"/>
        </w:rPr>
      </w:pPr>
      <w:r w:rsidRPr="00DA006C">
        <w:rPr>
          <w:rFonts w:eastAsia="Times New Roman"/>
          <w:szCs w:val="24"/>
          <w:lang w:eastAsia="en-GB"/>
        </w:rPr>
        <w:t xml:space="preserve">Предлагается, что конкретный порог, выше которого страна относилась к числу имеющих разумную политику или план действий </w:t>
      </w:r>
      <w:r w:rsidRPr="00DA006C">
        <w:rPr>
          <w:rFonts w:eastAsia="Times New Roman"/>
          <w:szCs w:val="24"/>
          <w:lang w:val="en-US" w:eastAsia="en-GB"/>
        </w:rPr>
        <w:t>SPP</w:t>
      </w:r>
      <w:r w:rsidRPr="00DA006C">
        <w:rPr>
          <w:rFonts w:eastAsia="Times New Roman"/>
          <w:szCs w:val="24"/>
          <w:lang w:eastAsia="en-GB"/>
        </w:rPr>
        <w:t>, и считалась соответствующей ЦУР 12.7.1. равняется 1 баллу</w:t>
      </w:r>
      <w:r w:rsidR="00DA006C">
        <w:rPr>
          <w:rFonts w:eastAsia="Times New Roman"/>
          <w:szCs w:val="24"/>
          <w:lang w:eastAsia="en-GB"/>
        </w:rPr>
        <w:t>.</w:t>
      </w:r>
    </w:p>
    <w:p w:rsidR="004C15E5" w:rsidRPr="00DA006C" w:rsidRDefault="009A555C" w:rsidP="00DA006C">
      <w:pPr>
        <w:shd w:val="clear" w:color="auto" w:fill="FFFFFF"/>
        <w:spacing w:after="0"/>
        <w:rPr>
          <w:szCs w:val="24"/>
          <w:lang w:eastAsia="en-GB"/>
        </w:rPr>
      </w:pPr>
      <w:r w:rsidRPr="00DA006C">
        <w:rPr>
          <w:rFonts w:eastAsia="Times New Roman"/>
          <w:szCs w:val="24"/>
          <w:lang w:eastAsia="en-GB"/>
        </w:rPr>
        <w:t xml:space="preserve">Предлагается пять классификационных групп для классификации полученных материалов и отражения различных этапов продвижения реализации </w:t>
      </w:r>
      <w:r w:rsidRPr="00DA006C">
        <w:rPr>
          <w:rFonts w:eastAsia="Times New Roman"/>
          <w:szCs w:val="24"/>
          <w:lang w:val="en-US" w:eastAsia="en-GB"/>
        </w:rPr>
        <w:t>SPP</w:t>
      </w:r>
      <w:r w:rsidRPr="00DA006C">
        <w:rPr>
          <w:rFonts w:eastAsia="Times New Roman"/>
          <w:szCs w:val="24"/>
          <w:lang w:eastAsia="en-GB"/>
        </w:rPr>
        <w:t>:</w:t>
      </w:r>
    </w:p>
    <w:p w:rsidR="004C15E5" w:rsidRPr="00DA006C" w:rsidRDefault="009A555C"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jc w:val="center"/>
        <w:rPr>
          <w:rFonts w:eastAsia="Times New Roman"/>
          <w:b/>
          <w:bCs/>
          <w:szCs w:val="24"/>
          <w:lang w:eastAsia="en-GB"/>
        </w:rPr>
      </w:pPr>
      <w:r w:rsidRPr="00DA006C">
        <w:rPr>
          <w:rFonts w:eastAsia="Times New Roman"/>
          <w:b/>
          <w:bCs/>
          <w:szCs w:val="24"/>
          <w:lang w:eastAsia="en-GB"/>
        </w:rPr>
        <w:t xml:space="preserve">Группы классификации реализации </w:t>
      </w:r>
      <w:r w:rsidRPr="00DA006C">
        <w:rPr>
          <w:rFonts w:eastAsia="Times New Roman"/>
          <w:b/>
          <w:bCs/>
          <w:szCs w:val="24"/>
          <w:lang w:val="en-US" w:eastAsia="en-GB"/>
        </w:rPr>
        <w:t>SPP</w:t>
      </w:r>
    </w:p>
    <w:p w:rsidR="004C15E5" w:rsidRPr="00DA006C" w:rsidRDefault="004C15E5"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rFonts w:eastAsia="Times New Roman"/>
          <w:b/>
          <w:bCs/>
          <w:szCs w:val="24"/>
          <w:lang w:eastAsia="en-GB"/>
        </w:rPr>
      </w:pPr>
    </w:p>
    <w:p w:rsidR="004C15E5" w:rsidRPr="00DA006C" w:rsidRDefault="009A555C"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szCs w:val="24"/>
          <w:lang w:eastAsia="en-GB"/>
        </w:rPr>
      </w:pPr>
      <w:r w:rsidRPr="00DA006C">
        <w:rPr>
          <w:rFonts w:eastAsia="Times New Roman"/>
          <w:b/>
          <w:bCs/>
          <w:szCs w:val="24"/>
          <w:lang w:eastAsia="en-GB"/>
        </w:rPr>
        <w:t>Уровень</w:t>
      </w:r>
      <w:r w:rsidR="004C15E5" w:rsidRPr="00DA006C">
        <w:rPr>
          <w:rFonts w:eastAsia="Times New Roman"/>
          <w:b/>
          <w:bCs/>
          <w:szCs w:val="24"/>
          <w:lang w:eastAsia="en-GB"/>
        </w:rPr>
        <w:t xml:space="preserve"> 0: </w:t>
      </w:r>
      <w:r w:rsidRPr="00DA006C">
        <w:rPr>
          <w:rFonts w:eastAsia="Times New Roman"/>
          <w:bCs/>
          <w:szCs w:val="24"/>
          <w:lang w:eastAsia="en-GB"/>
        </w:rPr>
        <w:t xml:space="preserve">Недостаточные данные или недостаточная реализация политики / плана действий </w:t>
      </w:r>
      <w:r w:rsidRPr="00DA006C">
        <w:rPr>
          <w:rFonts w:eastAsia="Times New Roman"/>
          <w:bCs/>
          <w:szCs w:val="24"/>
          <w:lang w:val="en-US" w:eastAsia="en-GB"/>
        </w:rPr>
        <w:t>SPP</w:t>
      </w:r>
      <w:r w:rsidRPr="00DA006C">
        <w:rPr>
          <w:rFonts w:eastAsia="Times New Roman"/>
          <w:bCs/>
          <w:szCs w:val="24"/>
          <w:lang w:eastAsia="en-GB"/>
        </w:rPr>
        <w:t xml:space="preserve"> (оценка реализации </w:t>
      </w:r>
      <w:r w:rsidRPr="00DA006C">
        <w:rPr>
          <w:rFonts w:eastAsia="Times New Roman"/>
          <w:bCs/>
          <w:szCs w:val="24"/>
          <w:lang w:val="en-US" w:eastAsia="en-GB"/>
        </w:rPr>
        <w:t>SPP</w:t>
      </w:r>
      <w:r w:rsidRPr="00DA006C">
        <w:rPr>
          <w:rFonts w:eastAsia="Times New Roman"/>
          <w:bCs/>
          <w:szCs w:val="24"/>
          <w:lang w:eastAsia="en-GB"/>
        </w:rPr>
        <w:t xml:space="preserve"> ниже 1), поэтому не соответствует ожидаемому заданному уровню реализации</w:t>
      </w:r>
      <w:r w:rsidR="004C15E5" w:rsidRPr="00DA006C">
        <w:rPr>
          <w:rFonts w:eastAsia="Times New Roman"/>
          <w:szCs w:val="24"/>
          <w:lang w:eastAsia="en-GB"/>
        </w:rPr>
        <w:t>.</w:t>
      </w:r>
    </w:p>
    <w:p w:rsidR="004C15E5" w:rsidRPr="00DA006C" w:rsidRDefault="004C15E5"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b/>
          <w:bCs/>
          <w:szCs w:val="24"/>
          <w:lang w:eastAsia="en-GB"/>
        </w:rPr>
      </w:pPr>
      <w:r w:rsidRPr="00DA006C">
        <w:rPr>
          <w:rFonts w:eastAsia="Times New Roman"/>
          <w:b/>
          <w:bCs/>
          <w:szCs w:val="24"/>
          <w:lang w:eastAsia="en-GB"/>
        </w:rPr>
        <w:t xml:space="preserve">------------------------------------------                     </w:t>
      </w:r>
      <w:r w:rsidR="009A555C" w:rsidRPr="00DA006C">
        <w:rPr>
          <w:rFonts w:eastAsia="Times New Roman"/>
          <w:b/>
          <w:bCs/>
          <w:i/>
          <w:iCs/>
          <w:szCs w:val="24"/>
          <w:lang w:eastAsia="en-GB"/>
        </w:rPr>
        <w:t>Порог</w:t>
      </w:r>
      <w:r w:rsidRPr="00DA006C">
        <w:rPr>
          <w:rFonts w:eastAsia="Times New Roman"/>
          <w:b/>
          <w:bCs/>
          <w:szCs w:val="24"/>
          <w:lang w:eastAsia="en-GB"/>
        </w:rPr>
        <w:t xml:space="preserve">        --------------------------------------------------------</w:t>
      </w:r>
    </w:p>
    <w:p w:rsidR="009A555C" w:rsidRPr="00DA006C" w:rsidRDefault="009A555C"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rFonts w:eastAsia="Times New Roman"/>
          <w:b/>
          <w:bCs/>
          <w:szCs w:val="24"/>
          <w:lang w:eastAsia="en-GB"/>
        </w:rPr>
      </w:pPr>
      <w:r w:rsidRPr="00DA006C">
        <w:rPr>
          <w:rFonts w:eastAsia="Times New Roman"/>
          <w:b/>
          <w:bCs/>
          <w:szCs w:val="24"/>
          <w:lang w:eastAsia="en-GB"/>
        </w:rPr>
        <w:t>Уровень</w:t>
      </w:r>
      <w:r w:rsidR="004C15E5" w:rsidRPr="00DA006C">
        <w:rPr>
          <w:rFonts w:eastAsia="Times New Roman"/>
          <w:b/>
          <w:bCs/>
          <w:szCs w:val="24"/>
          <w:lang w:eastAsia="en-GB"/>
        </w:rPr>
        <w:t xml:space="preserve"> 1: </w:t>
      </w:r>
      <w:r w:rsidRPr="00DA006C">
        <w:rPr>
          <w:rFonts w:eastAsia="Times New Roman"/>
          <w:b/>
          <w:bCs/>
          <w:szCs w:val="24"/>
          <w:lang w:eastAsia="en-GB"/>
        </w:rPr>
        <w:t xml:space="preserve">начало реализации </w:t>
      </w:r>
      <w:r w:rsidRPr="00DA006C">
        <w:rPr>
          <w:rFonts w:eastAsia="Times New Roman"/>
          <w:b/>
          <w:bCs/>
          <w:szCs w:val="24"/>
          <w:lang w:val="en-US" w:eastAsia="en-GB"/>
        </w:rPr>
        <w:t>SPP</w:t>
      </w:r>
      <w:r w:rsidRPr="00DA006C">
        <w:rPr>
          <w:rFonts w:eastAsia="Times New Roman"/>
          <w:b/>
          <w:bCs/>
          <w:szCs w:val="24"/>
          <w:lang w:eastAsia="en-GB"/>
        </w:rPr>
        <w:t xml:space="preserve"> (Оценка реализации </w:t>
      </w:r>
      <w:r w:rsidRPr="00DA006C">
        <w:rPr>
          <w:rFonts w:eastAsia="Times New Roman"/>
          <w:b/>
          <w:bCs/>
          <w:szCs w:val="24"/>
          <w:lang w:val="en-US" w:eastAsia="en-GB"/>
        </w:rPr>
        <w:t>SPP</w:t>
      </w:r>
      <w:r w:rsidRPr="00DA006C">
        <w:rPr>
          <w:rFonts w:eastAsia="Times New Roman"/>
          <w:b/>
          <w:bCs/>
          <w:szCs w:val="24"/>
          <w:lang w:eastAsia="en-GB"/>
        </w:rPr>
        <w:t xml:space="preserve"> от 1 до 2).</w:t>
      </w:r>
    </w:p>
    <w:p w:rsidR="009A555C" w:rsidRPr="00DA006C" w:rsidRDefault="009A555C"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rFonts w:eastAsia="Times New Roman"/>
          <w:b/>
          <w:bCs/>
          <w:szCs w:val="24"/>
          <w:lang w:eastAsia="en-GB"/>
        </w:rPr>
      </w:pPr>
      <w:r w:rsidRPr="00DA006C">
        <w:rPr>
          <w:rFonts w:eastAsia="Times New Roman"/>
          <w:b/>
          <w:bCs/>
          <w:szCs w:val="24"/>
          <w:lang w:eastAsia="en-GB"/>
        </w:rPr>
        <w:t xml:space="preserve">Уровень 2: реализация ниже среднего (оценка реализации </w:t>
      </w:r>
      <w:r w:rsidRPr="00DA006C">
        <w:rPr>
          <w:rFonts w:eastAsia="Times New Roman"/>
          <w:b/>
          <w:bCs/>
          <w:szCs w:val="24"/>
          <w:lang w:val="en-US" w:eastAsia="en-GB"/>
        </w:rPr>
        <w:t>SPP</w:t>
      </w:r>
      <w:r w:rsidRPr="00DA006C">
        <w:rPr>
          <w:rFonts w:eastAsia="Times New Roman"/>
          <w:b/>
          <w:bCs/>
          <w:szCs w:val="24"/>
          <w:lang w:eastAsia="en-GB"/>
        </w:rPr>
        <w:t xml:space="preserve"> от 2 до 3).</w:t>
      </w:r>
    </w:p>
    <w:p w:rsidR="009A555C" w:rsidRPr="00DA006C" w:rsidRDefault="009A555C"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rFonts w:eastAsia="Times New Roman"/>
          <w:b/>
          <w:bCs/>
          <w:szCs w:val="24"/>
          <w:lang w:eastAsia="en-GB"/>
        </w:rPr>
      </w:pPr>
      <w:r w:rsidRPr="00DA006C">
        <w:rPr>
          <w:rFonts w:eastAsia="Times New Roman"/>
          <w:b/>
          <w:bCs/>
          <w:szCs w:val="24"/>
          <w:lang w:eastAsia="en-GB"/>
        </w:rPr>
        <w:t xml:space="preserve">Уровень 3: реализация выше среднего (оценка реализации </w:t>
      </w:r>
      <w:r w:rsidRPr="00DA006C">
        <w:rPr>
          <w:rFonts w:eastAsia="Times New Roman"/>
          <w:b/>
          <w:bCs/>
          <w:szCs w:val="24"/>
          <w:lang w:val="en-US" w:eastAsia="en-GB"/>
        </w:rPr>
        <w:t>SPP</w:t>
      </w:r>
      <w:r w:rsidRPr="00DA006C">
        <w:rPr>
          <w:rFonts w:eastAsia="Times New Roman"/>
          <w:b/>
          <w:bCs/>
          <w:szCs w:val="24"/>
          <w:lang w:eastAsia="en-GB"/>
        </w:rPr>
        <w:t xml:space="preserve"> от 3 до 4).</w:t>
      </w:r>
    </w:p>
    <w:p w:rsidR="004C15E5" w:rsidRPr="00DA006C" w:rsidRDefault="009A555C" w:rsidP="00DA006C">
      <w:pPr>
        <w:pBdr>
          <w:top w:val="single" w:sz="4" w:space="1" w:color="auto" w:shadow="1"/>
          <w:left w:val="single" w:sz="4" w:space="4" w:color="auto" w:shadow="1"/>
          <w:bottom w:val="single" w:sz="4" w:space="1" w:color="auto" w:shadow="1"/>
          <w:right w:val="single" w:sz="4" w:space="4" w:color="auto" w:shadow="1"/>
        </w:pBdr>
        <w:shd w:val="clear" w:color="auto" w:fill="FFFFFF"/>
        <w:spacing w:after="0"/>
        <w:rPr>
          <w:szCs w:val="24"/>
          <w:lang w:eastAsia="en-GB"/>
        </w:rPr>
      </w:pPr>
      <w:r w:rsidRPr="00DA006C">
        <w:rPr>
          <w:rFonts w:eastAsia="Times New Roman"/>
          <w:b/>
          <w:bCs/>
          <w:szCs w:val="24"/>
          <w:lang w:eastAsia="en-GB"/>
        </w:rPr>
        <w:t xml:space="preserve">Уровень 4: расширенная реализация (оценка реализации </w:t>
      </w:r>
      <w:r w:rsidRPr="00DA006C">
        <w:rPr>
          <w:rFonts w:eastAsia="Times New Roman"/>
          <w:b/>
          <w:bCs/>
          <w:szCs w:val="24"/>
          <w:lang w:val="en-US" w:eastAsia="en-GB"/>
        </w:rPr>
        <w:t>SPP</w:t>
      </w:r>
      <w:r w:rsidRPr="00DA006C">
        <w:rPr>
          <w:rFonts w:eastAsia="Times New Roman"/>
          <w:b/>
          <w:bCs/>
          <w:szCs w:val="24"/>
          <w:lang w:eastAsia="en-GB"/>
        </w:rPr>
        <w:t xml:space="preserve"> больше 4).</w:t>
      </w:r>
    </w:p>
    <w:p w:rsidR="004C15E5" w:rsidRPr="00DA006C" w:rsidRDefault="004C15E5" w:rsidP="00DA006C">
      <w:pPr>
        <w:shd w:val="clear" w:color="auto" w:fill="FFFFFF"/>
        <w:spacing w:after="0"/>
        <w:rPr>
          <w:rFonts w:eastAsia="Times New Roman"/>
          <w:szCs w:val="24"/>
          <w:lang w:eastAsia="en-GB"/>
        </w:rPr>
      </w:pPr>
    </w:p>
    <w:p w:rsidR="004C15E5" w:rsidRPr="00DA006C" w:rsidRDefault="009A555C" w:rsidP="00DA006C">
      <w:pPr>
        <w:pStyle w:val="afa"/>
        <w:spacing w:before="0" w:line="276" w:lineRule="auto"/>
        <w:rPr>
          <w:rFonts w:cs="Times New Roman"/>
          <w:szCs w:val="24"/>
          <w:lang w:val="ru-RU"/>
        </w:rPr>
      </w:pPr>
      <w:r w:rsidRPr="00DA006C">
        <w:rPr>
          <w:rFonts w:cs="Times New Roman"/>
          <w:szCs w:val="24"/>
          <w:lang w:val="ru-RU"/>
        </w:rPr>
        <w:t xml:space="preserve">Полные расчеты и описание индекса можно найти в прилагаемом документе «Методология индекса </w:t>
      </w:r>
      <w:r w:rsidRPr="00DA006C">
        <w:rPr>
          <w:rFonts w:cs="Times New Roman"/>
          <w:szCs w:val="24"/>
          <w:lang w:val="en-US"/>
        </w:rPr>
        <w:t>SPP</w:t>
      </w:r>
      <w:r w:rsidRPr="00DA006C">
        <w:rPr>
          <w:rFonts w:cs="Times New Roman"/>
          <w:szCs w:val="24"/>
          <w:lang w:val="ru-RU"/>
        </w:rPr>
        <w:t>».</w:t>
      </w:r>
    </w:p>
    <w:p w:rsidR="009A555C" w:rsidRPr="009A555C" w:rsidRDefault="009A555C" w:rsidP="004C15E5">
      <w:pPr>
        <w:pStyle w:val="afa"/>
        <w:spacing w:line="276" w:lineRule="auto"/>
        <w:rPr>
          <w:lang w:val="ru-RU"/>
        </w:rPr>
      </w:pPr>
    </w:p>
    <w:p w:rsidR="002E15F9" w:rsidRPr="00FE175E" w:rsidRDefault="002E15F9" w:rsidP="00F947E9">
      <w:pPr>
        <w:pStyle w:val="MHeader2"/>
        <w:rPr>
          <w:b/>
          <w:color w:val="auto"/>
          <w:sz w:val="24"/>
          <w:lang w:val="ru-RU"/>
        </w:rPr>
      </w:pPr>
      <w:r w:rsidRPr="00FE175E">
        <w:rPr>
          <w:b/>
          <w:color w:val="auto"/>
          <w:sz w:val="24"/>
          <w:lang w:val="ru-RU"/>
        </w:rPr>
        <w:lastRenderedPageBreak/>
        <w:t>4.</w:t>
      </w:r>
      <w:r w:rsidRPr="00F947E9">
        <w:rPr>
          <w:b/>
          <w:color w:val="auto"/>
          <w:sz w:val="24"/>
        </w:rPr>
        <w:t>d</w:t>
      </w:r>
      <w:r w:rsidRPr="00FE175E">
        <w:rPr>
          <w:b/>
          <w:color w:val="auto"/>
          <w:sz w:val="24"/>
          <w:lang w:val="ru-RU"/>
        </w:rPr>
        <w:t xml:space="preserve">. </w:t>
      </w:r>
      <w:r w:rsidR="00694160" w:rsidRPr="00FE175E">
        <w:rPr>
          <w:b/>
          <w:color w:val="auto"/>
          <w:sz w:val="24"/>
          <w:lang w:val="ru-RU"/>
        </w:rPr>
        <w:t>Валидация</w:t>
      </w:r>
    </w:p>
    <w:p w:rsidR="00DA006C" w:rsidRPr="00DA006C" w:rsidRDefault="00DA006C" w:rsidP="00DA006C">
      <w:pPr>
        <w:pStyle w:val="afa"/>
        <w:spacing w:line="276" w:lineRule="auto"/>
        <w:rPr>
          <w:rFonts w:eastAsia="Calibri"/>
        </w:rPr>
      </w:pPr>
      <w:r w:rsidRPr="00DA006C">
        <w:rPr>
          <w:rFonts w:eastAsia="Calibri"/>
        </w:rPr>
        <w:t>Во-первых, формы самооценки на основе Excel вместе с руководством в формате PDF и часто задаваемыми вопросами передаются государственным координаторам, представляющим отчеты, для предоставления соответствующих инструкций о том, как предоставить требуемую информацию и данные. Для каждого предоставленного ответа требуется предоставить соответствующие доказательства и точные ссылки на эти доказательства, подтверждающие выбранный заранее установленный ответ.</w:t>
      </w:r>
    </w:p>
    <w:p w:rsidR="00DA006C" w:rsidRPr="00DA006C" w:rsidRDefault="00DA006C" w:rsidP="00DA006C">
      <w:pPr>
        <w:pStyle w:val="afa"/>
        <w:spacing w:line="276" w:lineRule="auto"/>
        <w:rPr>
          <w:rFonts w:eastAsia="Calibri"/>
        </w:rPr>
      </w:pPr>
      <w:r w:rsidRPr="00DA006C">
        <w:rPr>
          <w:rFonts w:eastAsia="Calibri"/>
        </w:rPr>
        <w:t>Во-вторых, каждый отчет проверяется на предмет наличия соответствующих доказательств.Подробная обратная связь по каждому вопросу направляется соответствующим координаторам для запроса разъяснений или дополнительных сведений и доказательств.</w:t>
      </w:r>
    </w:p>
    <w:p w:rsidR="00DA006C" w:rsidRPr="00DA006C" w:rsidRDefault="00DA006C" w:rsidP="00DA006C">
      <w:pPr>
        <w:pStyle w:val="afa"/>
        <w:spacing w:line="276" w:lineRule="auto"/>
        <w:rPr>
          <w:rFonts w:eastAsia="Calibri"/>
          <w:lang w:val="ru-RU"/>
        </w:rPr>
      </w:pPr>
      <w:r w:rsidRPr="00DA006C">
        <w:rPr>
          <w:rFonts w:eastAsia="Calibri"/>
        </w:rPr>
        <w:t xml:space="preserve">В-третьих, помимо этих двусторонних обменов, дополнительная информация или предоставленные доказательства подвергаются дополнительной проверке.Когда выясняется, что предоставленные детали / доказательства недостаточно подтверждают выбранный ответ, эти ответы не рассматриваются при окончательной оценке. Представленная окончательная информация и отчеты считаются соответствующими или несоответствующими, что приводит к расчету и подтверждению окончательной оценки SPP. </w:t>
      </w:r>
      <w:r w:rsidRPr="00DA006C">
        <w:rPr>
          <w:rFonts w:eastAsia="Calibri"/>
          <w:lang w:val="ru-RU"/>
        </w:rPr>
        <w:t xml:space="preserve">Расчет этой окончательной оценки дает основу для классификации правительств на пять различныхкатегории, отражающие уровень реализации </w:t>
      </w:r>
      <w:r w:rsidRPr="00DA006C">
        <w:rPr>
          <w:rFonts w:eastAsia="Calibri"/>
        </w:rPr>
        <w:t>SPP</w:t>
      </w:r>
      <w:r w:rsidRPr="00DA006C">
        <w:rPr>
          <w:rFonts w:eastAsia="Calibri"/>
          <w:lang w:val="ru-RU"/>
        </w:rPr>
        <w:t>, как описано в разделе</w:t>
      </w:r>
    </w:p>
    <w:p w:rsidR="002E15F9" w:rsidRDefault="002E15F9" w:rsidP="00DA006C">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DA006C" w:rsidRDefault="00DA006C" w:rsidP="00DA006C">
      <w:pPr>
        <w:pStyle w:val="afa"/>
        <w:spacing w:line="276" w:lineRule="auto"/>
      </w:pPr>
      <w:r w:rsidRPr="00AD2AF4">
        <w:rPr>
          <w:lang w:val="ru-RU"/>
        </w:rPr>
        <w:t xml:space="preserve">Несмотря на то, что методология оценки была разработана в консультации с национальными правительствами и экспертами </w:t>
      </w:r>
      <w:r w:rsidRPr="00DA006C">
        <w:t>SPP</w:t>
      </w:r>
      <w:r w:rsidRPr="00AD2AF4">
        <w:rPr>
          <w:lang w:val="ru-RU"/>
        </w:rPr>
        <w:t xml:space="preserve"> из разных регионов мира, поскольку различия в системах и структуре государственных закупок существенно различаются, некоторые правительства столкнулись с трудностями при применении некоторых вопросов из раздела </w:t>
      </w:r>
      <w:r w:rsidR="00AD2AF4">
        <w:t>B</w:t>
      </w:r>
      <w:r w:rsidR="00AD2AF4" w:rsidRPr="00AD2AF4">
        <w:rPr>
          <w:lang w:val="ru-RU"/>
        </w:rPr>
        <w:t xml:space="preserve"> к своей собственной практике</w:t>
      </w:r>
      <w:r w:rsidR="00AD2AF4">
        <w:rPr>
          <w:lang w:val="ru-RU"/>
        </w:rPr>
        <w:t xml:space="preserve"> в</w:t>
      </w:r>
      <w:r w:rsidRPr="00AD2AF4">
        <w:rPr>
          <w:lang w:val="ru-RU"/>
        </w:rPr>
        <w:t xml:space="preserve">недрения </w:t>
      </w:r>
      <w:r w:rsidRPr="00DA006C">
        <w:t>SPP</w:t>
      </w:r>
      <w:r w:rsidRPr="00AD2AF4">
        <w:rPr>
          <w:lang w:val="ru-RU"/>
        </w:rPr>
        <w:t xml:space="preserve"> (например, внедрение </w:t>
      </w:r>
      <w:r w:rsidRPr="00DA006C">
        <w:t>GPP</w:t>
      </w:r>
      <w:r w:rsidRPr="00AD2AF4">
        <w:rPr>
          <w:lang w:val="ru-RU"/>
        </w:rPr>
        <w:t xml:space="preserve"> посредством использования экомаркировки в азиатских странах, а не посредством (сильной) нормативной базы, как в Европейском Союзе).</w:t>
      </w:r>
      <w:r w:rsidRPr="00DA006C">
        <w:t>Что касается раздела B, то после обсуждения были приняты эквивалентные системы реализации.</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r w:rsidR="00694160" w:rsidRPr="00A343D5">
        <w:rPr>
          <w:b/>
          <w:color w:val="auto"/>
          <w:sz w:val="24"/>
          <w:szCs w:val="24"/>
        </w:rPr>
        <w:t>i</w:t>
      </w:r>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92659A" w:rsidRDefault="0092659A" w:rsidP="0092659A">
      <w:pPr>
        <w:spacing w:after="200"/>
        <w:jc w:val="left"/>
        <w:rPr>
          <w:i/>
        </w:rPr>
      </w:pPr>
      <w:r w:rsidRPr="0092659A">
        <w:rPr>
          <w:i/>
        </w:rPr>
        <w:t>На страновом уровне</w:t>
      </w:r>
    </w:p>
    <w:p w:rsidR="00AD2AF4" w:rsidRDefault="00AD2AF4" w:rsidP="00AD2AF4">
      <w:pPr>
        <w:pStyle w:val="a0"/>
        <w:spacing w:line="276" w:lineRule="auto"/>
      </w:pPr>
      <w:r>
        <w:t>Что касается самой разработанной государственной оценки реализации</w:t>
      </w:r>
      <w:r>
        <w:rPr>
          <w:lang w:val="en-US"/>
        </w:rPr>
        <w:t>SPP</w:t>
      </w:r>
      <w:r>
        <w:t>, недостающие значения не оказывают существенного влияния на расчетный балл, поскольку правительства могут отчитываться только по некоторым субиндикаторам (B, C, D, E, F), причем только субиндикатор A является обязательным. (A:Наличие плана / политики действий SPP и / или нормативных требований SPP).</w:t>
      </w:r>
    </w:p>
    <w:p w:rsidR="00AD2AF4" w:rsidRDefault="00AD2AF4" w:rsidP="00AD2AF4">
      <w:pPr>
        <w:pStyle w:val="a0"/>
        <w:spacing w:line="276" w:lineRule="auto"/>
      </w:pPr>
      <w:r>
        <w:t xml:space="preserve">Что касается общей оценки реализации </w:t>
      </w:r>
      <w:r w:rsidRPr="00AD2AF4">
        <w:t>SPP</w:t>
      </w:r>
      <w:r>
        <w:t xml:space="preserve"> на страновом уровне, следует отметить, что изначально планировалось рассчитать Индекс реализации </w:t>
      </w:r>
      <w:r w:rsidRPr="00AD2AF4">
        <w:t>SPP</w:t>
      </w:r>
      <w:r>
        <w:t xml:space="preserve"> на страновом уровне на основе агрегирования трех субиндексов, отражающих три различных уровня государственного управления, включая весовой коэффициент, представляющий долю государственных закупок в общей стоимости государственных закупок на страновом </w:t>
      </w:r>
      <w:r>
        <w:lastRenderedPageBreak/>
        <w:t xml:space="preserve">уровне (формула, показанная ниже), что обеспечит более справедливую оценку усилий </w:t>
      </w:r>
      <w:r w:rsidRPr="00AD2AF4">
        <w:t>SPP</w:t>
      </w:r>
      <w:r>
        <w:t xml:space="preserve"> на страновом уровне.</w:t>
      </w:r>
    </w:p>
    <w:p w:rsidR="00AD2AF4" w:rsidRDefault="00AD2AF4" w:rsidP="00AD2AF4">
      <w:pPr>
        <w:pStyle w:val="a0"/>
        <w:spacing w:line="276" w:lineRule="auto"/>
      </w:pPr>
      <w:r>
        <w:t>Фактические масштабы реализации SPP национальным / федеральным правительством могут действительно значительно варьироваться от страны к стране, так как в некоторых странах реализация SPP по указанию центрального правительства может применяться к большинству государственных организаций в стране, в то время как в других странах реализация, осуществляемая федеральным правительством, может составлять лишь небольшую долю государственных закупок на уровне страны.</w:t>
      </w:r>
    </w:p>
    <w:p w:rsidR="00AD2AF4" w:rsidRDefault="00AD2AF4" w:rsidP="00AD2AF4">
      <w:pPr>
        <w:pStyle w:val="a0"/>
        <w:spacing w:line="276" w:lineRule="auto"/>
      </w:pPr>
      <w:r>
        <w:t>Однако первый сбор данных показал, что общая стоимость государственных закупок на уровне страны или на уровне рассматриваемого правительства не всегда доступна, что не позволяет рассчитать такой индекс.</w:t>
      </w:r>
    </w:p>
    <w:p w:rsidR="00AD2AF4" w:rsidRDefault="00AD2AF4" w:rsidP="00AD2AF4">
      <w:pPr>
        <w:pStyle w:val="a0"/>
        <w:spacing w:line="276" w:lineRule="auto"/>
      </w:pPr>
      <w:r>
        <w:t>Таким образом, в первом упражнении по отчетности оцениваемый уровень реализации SPP и дальнейшая классификация по группам в основном основывается на рассчитанном балле SPP национального / федерального правительства с учетом усилий национального / федерального правительства по реализации SPP.</w:t>
      </w:r>
    </w:p>
    <w:p w:rsidR="00AD2AF4" w:rsidRDefault="00AD2AF4" w:rsidP="00AD2AF4">
      <w:pPr>
        <w:pStyle w:val="a0"/>
        <w:spacing w:line="276" w:lineRule="auto"/>
      </w:pPr>
      <w:r>
        <w:t>Полученные субнациональные заявки, однако, также могут быть оценены в соответствии с той же системой оценки и, путем расчета аналогичной оценки, могут быть классифицированы в соответствии с их уровнем реализации SPP и сравнены с правительствами аналогичного уровня (субнациональное правительство более высокого уровня - например, провинции или штаты в случае Бразилии и США - и субнациональные органы власти более низкого уровня, такие как города и муниципалитеты).</w:t>
      </w:r>
    </w:p>
    <w:p w:rsidR="00AD2AF4" w:rsidRPr="00AD2AF4" w:rsidRDefault="00AD2AF4" w:rsidP="00AD2AF4">
      <w:pPr>
        <w:pStyle w:val="a0"/>
      </w:pPr>
    </w:p>
    <w:p w:rsidR="0092659A" w:rsidRDefault="0092659A" w:rsidP="0092659A">
      <w:pPr>
        <w:spacing w:after="200"/>
        <w:jc w:val="left"/>
        <w:rPr>
          <w:i/>
        </w:rPr>
      </w:pPr>
      <w:r w:rsidRPr="0092659A">
        <w:rPr>
          <w:i/>
        </w:rPr>
        <w:t>На региональном и глобальном уровнях</w:t>
      </w:r>
    </w:p>
    <w:p w:rsidR="00AD2AF4" w:rsidRPr="00AD2AF4" w:rsidRDefault="00AD2AF4" w:rsidP="00AD2AF4">
      <w:pPr>
        <w:pStyle w:val="a0"/>
        <w:spacing w:line="276" w:lineRule="auto"/>
      </w:pPr>
      <w:r>
        <w:t>В соответствии с ЦУР 12.7.1. индикатор измеряет количество стран, реализующих планы действий и политику</w:t>
      </w:r>
      <w:r w:rsidRPr="00AD2AF4">
        <w:t xml:space="preserve"> SPP</w:t>
      </w:r>
      <w:r>
        <w:t>,поэтому отсутствующие данные (страны, не представляющие отчеты о реализации СПП) не оказывают существенного влияния на измерение индикатора.</w:t>
      </w:r>
    </w:p>
    <w:p w:rsidR="002E15F9" w:rsidRDefault="002E15F9" w:rsidP="00AD2AF4">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p>
    <w:p w:rsidR="00AD2AF4" w:rsidRPr="00AD2AF4" w:rsidRDefault="00AD2AF4" w:rsidP="00AD2AF4">
      <w:pPr>
        <w:pStyle w:val="afa"/>
        <w:spacing w:line="276" w:lineRule="auto"/>
        <w:rPr>
          <w:rFonts w:eastAsia="Calibri"/>
        </w:rPr>
      </w:pPr>
      <w:r w:rsidRPr="00AD2AF4">
        <w:rPr>
          <w:rFonts w:eastAsia="Calibri"/>
        </w:rPr>
        <w:t>Данные будут агрегированы на субрегиональном, региональном и глобальном уровнях. Дляметодовагрегирования</w:t>
      </w:r>
      <w:r>
        <w:rPr>
          <w:rFonts w:eastAsia="Calibri"/>
          <w:lang w:val="ru-RU"/>
        </w:rPr>
        <w:t xml:space="preserve">т </w:t>
      </w:r>
      <w:r w:rsidRPr="00AD2AF4">
        <w:rPr>
          <w:rFonts w:eastAsia="Calibri"/>
        </w:rPr>
        <w:t>см.</w:t>
      </w:r>
      <w:hyperlink r:id="rId8" w:history="1">
        <w:r w:rsidRPr="00350688">
          <w:rPr>
            <w:rStyle w:val="ae"/>
            <w:rFonts w:eastAsia="Calibri" w:cs="Times New Roman"/>
            <w:szCs w:val="22"/>
            <w:lang w:val="ru-RU" w:eastAsia="en-US"/>
          </w:rPr>
          <w:t>http://uneplive.unep.org/media/docs/graphs/aggregation_methods.pdf</w:t>
        </w:r>
      </w:hyperlink>
      <w:r w:rsidRPr="00AD2AF4">
        <w:rPr>
          <w:rFonts w:eastAsia="Calibri"/>
        </w:rPr>
        <w:t>.</w:t>
      </w:r>
    </w:p>
    <w:p w:rsidR="00F56853" w:rsidRPr="008E3E58" w:rsidRDefault="002E15F9" w:rsidP="00AD2AF4">
      <w:pPr>
        <w:pStyle w:val="MHeader"/>
        <w:rPr>
          <w:b/>
          <w:color w:val="auto"/>
          <w:sz w:val="24"/>
          <w:lang w:val="ru-RU"/>
        </w:rPr>
      </w:pPr>
      <w:r w:rsidRPr="008E3E58">
        <w:rPr>
          <w:b/>
          <w:color w:val="auto"/>
          <w:sz w:val="24"/>
          <w:lang w:val="ru-RU"/>
        </w:rPr>
        <w:t>4.</w:t>
      </w:r>
      <w:r w:rsidRPr="0062618C">
        <w:rPr>
          <w:b/>
          <w:color w:val="auto"/>
          <w:sz w:val="24"/>
        </w:rPr>
        <w:t>h</w:t>
      </w:r>
      <w:r w:rsidRPr="008E3E58">
        <w:rPr>
          <w:b/>
          <w:color w:val="auto"/>
          <w:sz w:val="24"/>
          <w:lang w:val="ru-RU"/>
        </w:rPr>
        <w:t xml:space="preserve">. </w:t>
      </w:r>
      <w:r w:rsidR="00E27922" w:rsidRPr="008E3E58">
        <w:rPr>
          <w:b/>
          <w:color w:val="auto"/>
          <w:sz w:val="24"/>
          <w:lang w:val="ru-RU"/>
        </w:rPr>
        <w:t>Доступные странам методы для сбора данных на национальном уровне</w:t>
      </w:r>
    </w:p>
    <w:p w:rsidR="00AD2AF4" w:rsidRPr="00AD2AF4" w:rsidRDefault="00AD2AF4" w:rsidP="00AD2AF4">
      <w:pPr>
        <w:pStyle w:val="afa"/>
        <w:spacing w:line="276" w:lineRule="auto"/>
        <w:rPr>
          <w:rFonts w:eastAsia="Calibri"/>
          <w:lang w:val="ru-RU"/>
        </w:rPr>
      </w:pPr>
      <w:r w:rsidRPr="00AD2AF4">
        <w:rPr>
          <w:rFonts w:eastAsia="Calibri"/>
          <w:lang w:val="ru-RU"/>
        </w:rPr>
        <w:t>Чтобы облегчить сбор данных за 2020 год и обеспечить максимально широкое участие, следующиедокументы были предоставлены координаторам и разработаны на трех языках (английском, испанском и французском):</w:t>
      </w:r>
    </w:p>
    <w:p w:rsidR="00AD2AF4" w:rsidRPr="00AD2AF4" w:rsidRDefault="00AD2AF4" w:rsidP="00AD2AF4">
      <w:pPr>
        <w:pStyle w:val="afa"/>
        <w:spacing w:line="276" w:lineRule="auto"/>
        <w:rPr>
          <w:rFonts w:eastAsia="Calibri"/>
        </w:rPr>
      </w:pPr>
      <w:r w:rsidRPr="00AD2AF4">
        <w:rPr>
          <w:rFonts w:eastAsia="Calibri"/>
        </w:rPr>
        <w:t>- Расчетныйинструмент 2020 на базе Excel, используемый для сбора входных данных;</w:t>
      </w:r>
    </w:p>
    <w:p w:rsidR="00AD2AF4" w:rsidRPr="00AD2AF4" w:rsidRDefault="00AD2AF4" w:rsidP="00AD2AF4">
      <w:pPr>
        <w:pStyle w:val="afa"/>
        <w:spacing w:line="276" w:lineRule="auto"/>
        <w:rPr>
          <w:rFonts w:eastAsia="Calibri"/>
        </w:rPr>
      </w:pPr>
      <w:r w:rsidRPr="00AD2AF4">
        <w:rPr>
          <w:rFonts w:eastAsia="Calibri"/>
        </w:rPr>
        <w:t>- Инструкции по отчетности за 2020 год;</w:t>
      </w:r>
    </w:p>
    <w:p w:rsidR="00AD2AF4" w:rsidRPr="00AD2AF4" w:rsidRDefault="00AD2AF4" w:rsidP="00AD2AF4">
      <w:pPr>
        <w:pStyle w:val="afa"/>
        <w:spacing w:line="276" w:lineRule="auto"/>
        <w:rPr>
          <w:rFonts w:eastAsia="Calibri"/>
        </w:rPr>
      </w:pPr>
      <w:r w:rsidRPr="00AD2AF4">
        <w:rPr>
          <w:rFonts w:eastAsia="Calibri"/>
        </w:rPr>
        <w:t>- Часто задаваемые вопросы 2020.</w:t>
      </w:r>
    </w:p>
    <w:p w:rsidR="00AD2AF4" w:rsidRPr="00AD2AF4" w:rsidRDefault="00AD2AF4" w:rsidP="00AD2AF4">
      <w:pPr>
        <w:pStyle w:val="afa"/>
        <w:spacing w:line="276" w:lineRule="auto"/>
        <w:rPr>
          <w:rFonts w:eastAsia="Calibri"/>
          <w:lang w:val="ru-RU"/>
        </w:rPr>
      </w:pPr>
      <w:r w:rsidRPr="00AD2AF4">
        <w:rPr>
          <w:rFonts w:eastAsia="Calibri"/>
          <w:lang w:val="ru-RU"/>
        </w:rPr>
        <w:t>В октябре 2020 года также были проведены четыре разъяснительных вебинара на этих трех языках (два вебинара на английском языке, один на французском и один на испанском)</w:t>
      </w:r>
      <w:r>
        <w:rPr>
          <w:rFonts w:eastAsia="Calibri"/>
          <w:lang w:val="ru-RU"/>
        </w:rPr>
        <w:t xml:space="preserve"> в целях ознакомления </w:t>
      </w:r>
      <w:r w:rsidRPr="00AD2AF4">
        <w:rPr>
          <w:rFonts w:eastAsia="Calibri"/>
          <w:lang w:val="ru-RU"/>
        </w:rPr>
        <w:t>с методологией расчетов и инструментами отчетности, а также предос</w:t>
      </w:r>
      <w:r>
        <w:rPr>
          <w:rFonts w:eastAsia="Calibri"/>
          <w:lang w:val="ru-RU"/>
        </w:rPr>
        <w:t>тавления</w:t>
      </w:r>
      <w:r w:rsidRPr="00AD2AF4">
        <w:rPr>
          <w:rFonts w:eastAsia="Calibri"/>
          <w:lang w:val="ru-RU"/>
        </w:rPr>
        <w:t xml:space="preserve"> необходимы</w:t>
      </w:r>
      <w:r>
        <w:rPr>
          <w:rFonts w:eastAsia="Calibri"/>
          <w:lang w:val="ru-RU"/>
        </w:rPr>
        <w:t>х</w:t>
      </w:r>
      <w:r w:rsidRPr="00AD2AF4">
        <w:rPr>
          <w:rFonts w:eastAsia="Calibri"/>
          <w:lang w:val="ru-RU"/>
        </w:rPr>
        <w:t xml:space="preserve"> рекомендаци</w:t>
      </w:r>
      <w:r>
        <w:rPr>
          <w:rFonts w:eastAsia="Calibri"/>
          <w:lang w:val="ru-RU"/>
        </w:rPr>
        <w:t>й</w:t>
      </w:r>
      <w:r w:rsidRPr="00AD2AF4">
        <w:rPr>
          <w:rFonts w:eastAsia="Calibri"/>
          <w:lang w:val="ru-RU"/>
        </w:rPr>
        <w:t xml:space="preserve"> по </w:t>
      </w:r>
      <w:r>
        <w:rPr>
          <w:rFonts w:eastAsia="Calibri"/>
          <w:lang w:val="ru-RU"/>
        </w:rPr>
        <w:t xml:space="preserve">передаче </w:t>
      </w:r>
      <w:r w:rsidRPr="00AD2AF4">
        <w:rPr>
          <w:rFonts w:eastAsia="Calibri"/>
          <w:lang w:val="ru-RU"/>
        </w:rPr>
        <w:t xml:space="preserve">данных. В этих </w:t>
      </w:r>
      <w:r w:rsidRPr="00AD2AF4">
        <w:rPr>
          <w:rFonts w:eastAsia="Calibri"/>
          <w:lang w:val="ru-RU"/>
        </w:rPr>
        <w:lastRenderedPageBreak/>
        <w:t>вебинарах приняли участие 79 представителей правительств из 43 стран.</w:t>
      </w:r>
    </w:p>
    <w:p w:rsidR="00AD2AF4" w:rsidRPr="00AD2AF4" w:rsidRDefault="00AD2AF4" w:rsidP="00AD2AF4">
      <w:pPr>
        <w:pStyle w:val="afa"/>
        <w:spacing w:line="276" w:lineRule="auto"/>
        <w:rPr>
          <w:rFonts w:eastAsia="Calibri"/>
          <w:lang w:val="ru-RU"/>
        </w:rPr>
      </w:pPr>
    </w:p>
    <w:p w:rsidR="00AD2AF4" w:rsidRPr="00AD2AF4" w:rsidRDefault="00AD2AF4" w:rsidP="00AD2AF4">
      <w:pPr>
        <w:pStyle w:val="afa"/>
        <w:spacing w:line="276" w:lineRule="auto"/>
        <w:rPr>
          <w:rFonts w:eastAsia="Calibri"/>
          <w:b/>
          <w:lang w:val="ru-RU"/>
        </w:rPr>
      </w:pPr>
      <w:r w:rsidRPr="00AD2AF4">
        <w:rPr>
          <w:rFonts w:eastAsia="Calibri"/>
          <w:lang w:val="ru-RU"/>
        </w:rPr>
        <w:t xml:space="preserve">Системы государственных закупок существенно различаются, а ответственность за разработку или реализацию политики </w:t>
      </w:r>
      <w:r w:rsidRPr="00AD2AF4">
        <w:rPr>
          <w:rFonts w:eastAsia="Calibri"/>
        </w:rPr>
        <w:t>SPP</w:t>
      </w:r>
      <w:r w:rsidRPr="00AD2AF4">
        <w:rPr>
          <w:rFonts w:eastAsia="Calibri"/>
          <w:lang w:val="ru-RU"/>
        </w:rPr>
        <w:t xml:space="preserve"> / </w:t>
      </w:r>
      <w:r w:rsidRPr="00AD2AF4">
        <w:rPr>
          <w:rFonts w:eastAsia="Calibri"/>
        </w:rPr>
        <w:t>GPP</w:t>
      </w:r>
      <w:r w:rsidRPr="00AD2AF4">
        <w:rPr>
          <w:rFonts w:eastAsia="Calibri"/>
          <w:lang w:val="ru-RU"/>
        </w:rPr>
        <w:t xml:space="preserve"> / </w:t>
      </w:r>
      <w:r w:rsidRPr="00AD2AF4">
        <w:rPr>
          <w:rFonts w:eastAsia="Calibri"/>
        </w:rPr>
        <w:t>SRPP</w:t>
      </w:r>
      <w:r w:rsidRPr="00AD2AF4">
        <w:rPr>
          <w:rFonts w:eastAsia="Calibri"/>
          <w:lang w:val="ru-RU"/>
        </w:rPr>
        <w:t xml:space="preserve">в каждой стране лежит на разных министерствах или учреждениях, однако ЮНЕП не в состоянии оказывать более </w:t>
      </w:r>
      <w:r>
        <w:rPr>
          <w:rFonts w:eastAsia="Calibri"/>
          <w:lang w:val="ru-RU"/>
        </w:rPr>
        <w:t>многогранную</w:t>
      </w:r>
      <w:r w:rsidRPr="00AD2AF4">
        <w:rPr>
          <w:rFonts w:eastAsia="Calibri"/>
          <w:lang w:val="ru-RU"/>
        </w:rPr>
        <w:t xml:space="preserve"> помощь национальным координационным центрам в сборе данных, специфичных для кажд</w:t>
      </w:r>
      <w:r>
        <w:rPr>
          <w:rFonts w:eastAsia="Calibri"/>
          <w:lang w:val="ru-RU"/>
        </w:rPr>
        <w:t>ого</w:t>
      </w:r>
      <w:r w:rsidRPr="00AD2AF4">
        <w:rPr>
          <w:rFonts w:eastAsia="Calibri"/>
          <w:lang w:val="ru-RU"/>
        </w:rPr>
        <w:t>субиндикатор</w:t>
      </w:r>
      <w:r>
        <w:rPr>
          <w:rFonts w:eastAsia="Calibri"/>
          <w:lang w:val="ru-RU"/>
        </w:rPr>
        <w:t>а</w:t>
      </w:r>
      <w:r w:rsidRPr="00AD2AF4">
        <w:rPr>
          <w:rFonts w:eastAsia="Calibri"/>
          <w:lang w:val="ru-RU"/>
        </w:rPr>
        <w:t xml:space="preserve">, поскольку эти данные могут поступать либо от агентств государственных закупок, казначейских </w:t>
      </w:r>
      <w:r>
        <w:rPr>
          <w:rFonts w:eastAsia="Calibri"/>
          <w:lang w:val="ru-RU"/>
        </w:rPr>
        <w:t xml:space="preserve">советов (министерство финансов), либо от </w:t>
      </w:r>
      <w:r w:rsidRPr="00AD2AF4">
        <w:rPr>
          <w:rFonts w:eastAsia="Calibri"/>
          <w:lang w:val="ru-RU"/>
        </w:rPr>
        <w:t>министерств окружающей среды.</w:t>
      </w:r>
    </w:p>
    <w:p w:rsidR="00151C00" w:rsidRPr="008E3E58" w:rsidRDefault="002E15F9" w:rsidP="00AD2AF4">
      <w:pPr>
        <w:pStyle w:val="MHeader"/>
        <w:rPr>
          <w:b/>
          <w:color w:val="auto"/>
          <w:sz w:val="24"/>
          <w:szCs w:val="24"/>
          <w:lang w:val="ru-RU"/>
        </w:rPr>
      </w:pPr>
      <w:r w:rsidRPr="008E3E58">
        <w:rPr>
          <w:b/>
          <w:color w:val="auto"/>
          <w:sz w:val="24"/>
          <w:szCs w:val="24"/>
          <w:lang w:val="ru-RU"/>
        </w:rPr>
        <w:t>4.</w:t>
      </w:r>
      <w:r w:rsidRPr="0062618C">
        <w:rPr>
          <w:b/>
          <w:color w:val="auto"/>
          <w:sz w:val="24"/>
          <w:szCs w:val="24"/>
        </w:rPr>
        <w:t>i</w:t>
      </w:r>
      <w:r w:rsidRPr="008E3E58">
        <w:rPr>
          <w:b/>
          <w:color w:val="auto"/>
          <w:sz w:val="24"/>
          <w:szCs w:val="24"/>
          <w:lang w:val="ru-RU"/>
        </w:rPr>
        <w:t xml:space="preserve">. </w:t>
      </w:r>
      <w:r w:rsidR="00E27922" w:rsidRPr="008E3E58">
        <w:rPr>
          <w:b/>
          <w:color w:val="auto"/>
          <w:sz w:val="24"/>
          <w:szCs w:val="24"/>
          <w:lang w:val="ru-RU"/>
        </w:rPr>
        <w:t>Управление качеством</w:t>
      </w:r>
    </w:p>
    <w:p w:rsidR="00151C00" w:rsidRPr="0062618C" w:rsidRDefault="002E15F9" w:rsidP="0062618C">
      <w:pPr>
        <w:pStyle w:val="MHeader"/>
        <w:rPr>
          <w:b/>
          <w:color w:val="auto"/>
          <w:sz w:val="24"/>
          <w:szCs w:val="24"/>
          <w:lang w:val="ru-RU"/>
        </w:rPr>
      </w:pPr>
      <w:r w:rsidRPr="0062618C">
        <w:rPr>
          <w:b/>
          <w:color w:val="auto"/>
          <w:sz w:val="24"/>
          <w:szCs w:val="24"/>
          <w:lang w:val="ru-RU"/>
        </w:rPr>
        <w:t>4.</w:t>
      </w:r>
      <w:r w:rsidRPr="0062618C">
        <w:rPr>
          <w:b/>
          <w:color w:val="auto"/>
          <w:sz w:val="24"/>
          <w:szCs w:val="24"/>
        </w:rPr>
        <w:t>j</w:t>
      </w:r>
      <w:r w:rsidR="00E27922" w:rsidRPr="0062618C">
        <w:rPr>
          <w:b/>
          <w:color w:val="auto"/>
          <w:sz w:val="24"/>
          <w:szCs w:val="24"/>
          <w:lang w:val="ru-RU"/>
        </w:rPr>
        <w:t>.Обеспечение качества</w:t>
      </w:r>
    </w:p>
    <w:p w:rsidR="002E15F9" w:rsidRDefault="0075371E" w:rsidP="00333E4E">
      <w:pPr>
        <w:pStyle w:val="MHeader"/>
        <w:rPr>
          <w:b/>
          <w:color w:val="auto"/>
          <w:sz w:val="24"/>
          <w:lang w:val="ru-RU"/>
        </w:rPr>
      </w:pPr>
      <w:r w:rsidRPr="0053082C">
        <w:rPr>
          <w:b/>
          <w:color w:val="auto"/>
          <w:sz w:val="24"/>
          <w:lang w:val="ru-RU"/>
        </w:rPr>
        <w:t>4.</w:t>
      </w:r>
      <w:r w:rsidRPr="00333E4E">
        <w:rPr>
          <w:b/>
          <w:color w:val="auto"/>
          <w:sz w:val="24"/>
        </w:rPr>
        <w:t>k</w:t>
      </w:r>
      <w:r w:rsidRPr="0053082C">
        <w:rPr>
          <w:b/>
          <w:color w:val="auto"/>
          <w:sz w:val="24"/>
          <w:lang w:val="ru-RU"/>
        </w:rPr>
        <w:t xml:space="preserve">. Оценка качества </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дезагрегирование данных</w:t>
      </w:r>
    </w:p>
    <w:p w:rsidR="004C39DB" w:rsidRDefault="004C39DB" w:rsidP="004C39DB">
      <w:pPr>
        <w:pStyle w:val="a0"/>
        <w:spacing w:line="276" w:lineRule="auto"/>
      </w:pPr>
      <w:r>
        <w:t>Доступность данных:</w:t>
      </w:r>
    </w:p>
    <w:p w:rsidR="004C39DB" w:rsidRDefault="004C39DB" w:rsidP="004C39DB">
      <w:pPr>
        <w:pStyle w:val="a0"/>
        <w:spacing w:line="276" w:lineRule="auto"/>
      </w:pPr>
      <w:r>
        <w:t>Данные будут доступны для всех стран-членов, которые имеют политику и планы действий в области устойчивых государственных закупок, как это определено индикатором.</w:t>
      </w:r>
    </w:p>
    <w:p w:rsidR="004C39DB" w:rsidRDefault="004C39DB" w:rsidP="004C39DB">
      <w:pPr>
        <w:pStyle w:val="a0"/>
        <w:spacing w:line="276" w:lineRule="auto"/>
      </w:pPr>
      <w:r>
        <w:t>Временная последовательность:</w:t>
      </w:r>
    </w:p>
    <w:p w:rsidR="004C39DB" w:rsidRDefault="004C39DB" w:rsidP="004C39DB">
      <w:pPr>
        <w:pStyle w:val="a0"/>
        <w:spacing w:line="276" w:lineRule="auto"/>
      </w:pPr>
      <w:r>
        <w:t>Отчетность по этому показателю будет раз в два года, начиная с 2021 года.</w:t>
      </w:r>
    </w:p>
    <w:p w:rsidR="004C39DB" w:rsidRDefault="004C39DB" w:rsidP="004C39DB">
      <w:pPr>
        <w:pStyle w:val="a0"/>
        <w:spacing w:line="276" w:lineRule="auto"/>
      </w:pPr>
      <w:r>
        <w:t>Разбивка:</w:t>
      </w:r>
    </w:p>
    <w:p w:rsidR="004C39DB" w:rsidRDefault="004C39DB" w:rsidP="004C39DB">
      <w:pPr>
        <w:pStyle w:val="a0"/>
        <w:spacing w:line="276" w:lineRule="auto"/>
      </w:pPr>
      <w:r>
        <w:t>Административный уровень государственных закупок: национальный или местный.</w:t>
      </w:r>
    </w:p>
    <w:p w:rsidR="003761B2" w:rsidRPr="003761B2" w:rsidRDefault="004C39DB" w:rsidP="004C39DB">
      <w:pPr>
        <w:pStyle w:val="a0"/>
        <w:spacing w:line="276" w:lineRule="auto"/>
      </w:pPr>
      <w:r>
        <w:t>Примечание: информация была получена на этих трех уровнях при первом сборе данных, но только в редких случаях. Данные могут быть предоставлены отдельно по административному уровню (всякий раз, когда данные были получены от местных органов власти) только для некоторых местных органов власти.</w:t>
      </w:r>
    </w:p>
    <w:p w:rsidR="002E15F9" w:rsidRDefault="00845FE2" w:rsidP="0062618C">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Default="00BA61D3" w:rsidP="004C39DB">
      <w:pPr>
        <w:pStyle w:val="afa"/>
        <w:spacing w:line="276" w:lineRule="auto"/>
      </w:pPr>
      <w:r>
        <w:t>Источники расхождений:</w:t>
      </w:r>
    </w:p>
    <w:p w:rsidR="004C39DB" w:rsidRPr="004C39DB" w:rsidRDefault="004C39DB" w:rsidP="004C39DB">
      <w:pPr>
        <w:pStyle w:val="afa"/>
        <w:spacing w:line="276" w:lineRule="auto"/>
        <w:rPr>
          <w:lang w:val="ru-RU"/>
        </w:rPr>
      </w:pPr>
      <w:r w:rsidRPr="004C39DB">
        <w:rPr>
          <w:lang w:val="ru-RU"/>
        </w:rPr>
        <w:t>Информация отсутствует.</w:t>
      </w:r>
    </w:p>
    <w:p w:rsidR="00C22DF6" w:rsidRPr="004C39DB" w:rsidRDefault="00845FE2" w:rsidP="00333E4E">
      <w:pPr>
        <w:pBdr>
          <w:bottom w:val="single" w:sz="12" w:space="4" w:color="DDDDDD"/>
        </w:pBdr>
        <w:shd w:val="clear" w:color="auto" w:fill="FFFFFF"/>
        <w:spacing w:after="100"/>
        <w:outlineLvl w:val="2"/>
        <w:rPr>
          <w:lang w:eastAsia="en-GB"/>
        </w:rPr>
      </w:pPr>
      <w:r w:rsidRPr="004C39DB">
        <w:rPr>
          <w:rFonts w:eastAsia="Times New Roman"/>
          <w:b/>
          <w:szCs w:val="24"/>
          <w:lang w:eastAsia="en-GB"/>
        </w:rPr>
        <w:t>7</w:t>
      </w:r>
      <w:r w:rsidR="00040034" w:rsidRPr="004C39DB">
        <w:rPr>
          <w:rFonts w:eastAsia="Times New Roman"/>
          <w:b/>
          <w:szCs w:val="24"/>
          <w:lang w:eastAsia="en-GB"/>
        </w:rPr>
        <w:t xml:space="preserve">. </w:t>
      </w:r>
      <w:r w:rsidR="00040034" w:rsidRPr="00A343D5">
        <w:rPr>
          <w:rFonts w:eastAsia="Times New Roman"/>
          <w:b/>
          <w:szCs w:val="24"/>
          <w:lang w:eastAsia="en-GB"/>
        </w:rPr>
        <w:t>Ссылкиидокументы</w:t>
      </w:r>
    </w:p>
    <w:p w:rsidR="004C39DB" w:rsidRPr="00FC2BF1" w:rsidRDefault="004C39DB" w:rsidP="004C39DB">
      <w:pPr>
        <w:pStyle w:val="MText"/>
        <w:rPr>
          <w:color w:val="auto"/>
          <w:sz w:val="24"/>
          <w:szCs w:val="24"/>
        </w:rPr>
      </w:pPr>
      <w:bookmarkStart w:id="5" w:name="_GoBack"/>
      <w:r w:rsidRPr="00FC2BF1">
        <w:rPr>
          <w:color w:val="auto"/>
          <w:sz w:val="24"/>
          <w:szCs w:val="24"/>
        </w:rPr>
        <w:t>SPP index methodology</w:t>
      </w:r>
    </w:p>
    <w:p w:rsidR="004C39DB" w:rsidRPr="00FC2BF1" w:rsidRDefault="004C39DB" w:rsidP="004C39DB">
      <w:pPr>
        <w:pStyle w:val="MText"/>
        <w:rPr>
          <w:color w:val="auto"/>
          <w:sz w:val="24"/>
          <w:szCs w:val="24"/>
        </w:rPr>
      </w:pPr>
    </w:p>
    <w:p w:rsidR="004C39DB" w:rsidRPr="00FC2BF1" w:rsidRDefault="004C39DB" w:rsidP="004C39DB">
      <w:pPr>
        <w:pStyle w:val="MText"/>
        <w:rPr>
          <w:rStyle w:val="ae"/>
          <w:color w:val="auto"/>
          <w:sz w:val="24"/>
          <w:szCs w:val="24"/>
        </w:rPr>
      </w:pPr>
      <w:r w:rsidRPr="00FC2BF1">
        <w:rPr>
          <w:color w:val="auto"/>
          <w:sz w:val="24"/>
          <w:szCs w:val="24"/>
        </w:rPr>
        <w:t xml:space="preserve">EU publications </w:t>
      </w:r>
      <w:hyperlink r:id="rId9" w:history="1">
        <w:r w:rsidRPr="00FC2BF1">
          <w:rPr>
            <w:i/>
            <w:iCs/>
            <w:color w:val="auto"/>
            <w:sz w:val="24"/>
            <w:szCs w:val="24"/>
          </w:rPr>
          <w:t>Buying Social – A guide to taking account of social considerations in public procurement</w:t>
        </w:r>
      </w:hyperlink>
      <w:r w:rsidRPr="00FC2BF1">
        <w:rPr>
          <w:i/>
          <w:iCs/>
          <w:color w:val="auto"/>
          <w:sz w:val="24"/>
          <w:szCs w:val="24"/>
        </w:rPr>
        <w:t xml:space="preserve">, </w:t>
      </w:r>
      <w:r w:rsidRPr="00FC2BF1">
        <w:rPr>
          <w:color w:val="auto"/>
          <w:sz w:val="24"/>
          <w:szCs w:val="24"/>
          <w:lang w:val="en-US"/>
        </w:rPr>
        <w:t xml:space="preserve">accessible at </w:t>
      </w:r>
      <w:hyperlink r:id="rId10" w:history="1">
        <w:r w:rsidRPr="00FC2BF1">
          <w:rPr>
            <w:rStyle w:val="ae"/>
            <w:color w:val="auto"/>
            <w:sz w:val="24"/>
            <w:szCs w:val="24"/>
          </w:rPr>
          <w:t>https://publications.europa.eu/en/publication-detail/-/publication/cb70c481-0e29-4040-9be2-c408cddf081f/language-en</w:t>
        </w:r>
      </w:hyperlink>
    </w:p>
    <w:p w:rsidR="004C39DB" w:rsidRPr="00FC2BF1" w:rsidRDefault="004C39DB" w:rsidP="004C39DB">
      <w:pPr>
        <w:shd w:val="clear" w:color="auto" w:fill="FFFFFF"/>
        <w:spacing w:after="0"/>
        <w:rPr>
          <w:rFonts w:cs="Calibri"/>
          <w:szCs w:val="24"/>
          <w:lang w:val="en-US"/>
        </w:rPr>
      </w:pPr>
    </w:p>
    <w:p w:rsidR="004C39DB" w:rsidRPr="00FC2BF1" w:rsidRDefault="004C39DB" w:rsidP="004C39DB">
      <w:pPr>
        <w:autoSpaceDE w:val="0"/>
        <w:adjustRightInd w:val="0"/>
        <w:rPr>
          <w:rFonts w:cs="Calibri"/>
          <w:szCs w:val="24"/>
          <w:lang w:val="en-US"/>
        </w:rPr>
      </w:pPr>
      <w:r w:rsidRPr="00FC2BF1">
        <w:rPr>
          <w:rStyle w:val="MTextChar"/>
          <w:rFonts w:eastAsia="Calibri"/>
          <w:color w:val="auto"/>
          <w:sz w:val="24"/>
          <w:szCs w:val="24"/>
        </w:rPr>
        <w:t>United Nations Convention on the Rights of Persons with Disabilities:</w:t>
      </w:r>
      <w:r w:rsidRPr="00FC2BF1">
        <w:rPr>
          <w:rStyle w:val="ae"/>
          <w:color w:val="auto"/>
          <w:szCs w:val="24"/>
          <w:lang w:val="en-US"/>
        </w:rPr>
        <w:t>http://register.consilium.europa.eu/pdf/en/09/st15/st15540.en09.pdf</w:t>
      </w:r>
    </w:p>
    <w:p w:rsidR="004C39DB" w:rsidRPr="00FC2BF1" w:rsidRDefault="004C39DB" w:rsidP="004C39DB">
      <w:pPr>
        <w:pStyle w:val="MText"/>
        <w:rPr>
          <w:color w:val="auto"/>
          <w:sz w:val="24"/>
          <w:szCs w:val="24"/>
          <w:lang w:val="en-US"/>
        </w:rPr>
      </w:pPr>
      <w:r w:rsidRPr="00FC2BF1">
        <w:rPr>
          <w:color w:val="auto"/>
          <w:sz w:val="24"/>
          <w:szCs w:val="24"/>
          <w:lang w:val="en-US"/>
        </w:rPr>
        <w:t>European Commission Life-Cycle costing</w:t>
      </w:r>
    </w:p>
    <w:p w:rsidR="004C39DB" w:rsidRPr="00FC2BF1" w:rsidRDefault="00AC397C" w:rsidP="004C39DB">
      <w:pPr>
        <w:shd w:val="clear" w:color="auto" w:fill="FFFFFF"/>
        <w:spacing w:after="0"/>
        <w:rPr>
          <w:rStyle w:val="ae"/>
          <w:color w:val="auto"/>
          <w:szCs w:val="24"/>
          <w:lang w:val="en-US"/>
        </w:rPr>
      </w:pPr>
      <w:hyperlink r:id="rId11" w:history="1">
        <w:r w:rsidR="004C39DB" w:rsidRPr="00FC2BF1">
          <w:rPr>
            <w:rStyle w:val="ae"/>
            <w:color w:val="auto"/>
            <w:szCs w:val="24"/>
            <w:lang w:val="en-US"/>
          </w:rPr>
          <w:t>https://ec.europa.eu/environment/gpp/lcc.htm</w:t>
        </w:r>
      </w:hyperlink>
    </w:p>
    <w:p w:rsidR="004C39DB" w:rsidRPr="00FC2BF1" w:rsidRDefault="004C39DB" w:rsidP="004C39DB">
      <w:pPr>
        <w:shd w:val="clear" w:color="auto" w:fill="FFFFFF"/>
        <w:spacing w:after="0"/>
        <w:rPr>
          <w:rFonts w:cs="Calibri"/>
          <w:szCs w:val="24"/>
          <w:lang w:val="en-US"/>
        </w:rPr>
      </w:pPr>
    </w:p>
    <w:p w:rsidR="004C39DB" w:rsidRPr="00FC2BF1" w:rsidRDefault="004C39DB" w:rsidP="004C39DB">
      <w:pPr>
        <w:pStyle w:val="MText"/>
        <w:rPr>
          <w:color w:val="auto"/>
          <w:sz w:val="24"/>
          <w:szCs w:val="24"/>
        </w:rPr>
      </w:pPr>
      <w:r w:rsidRPr="00FC2BF1">
        <w:rPr>
          <w:color w:val="auto"/>
          <w:sz w:val="24"/>
          <w:szCs w:val="24"/>
        </w:rPr>
        <w:lastRenderedPageBreak/>
        <w:t>Multistakeholder Advisory Committee of the 10YFP SPP Programme from: Procuring the Future – the report of the UK Sustainable Procurement Task Force, June 2006</w:t>
      </w:r>
    </w:p>
    <w:p w:rsidR="004C39DB" w:rsidRPr="00FC2BF1" w:rsidRDefault="004C39DB" w:rsidP="004C39DB">
      <w:pPr>
        <w:pStyle w:val="MText"/>
        <w:rPr>
          <w:i/>
          <w:color w:val="auto"/>
          <w:sz w:val="24"/>
          <w:szCs w:val="24"/>
        </w:rPr>
      </w:pPr>
    </w:p>
    <w:p w:rsidR="004C39DB" w:rsidRPr="00FC2BF1" w:rsidRDefault="004C39DB" w:rsidP="004C39DB">
      <w:pPr>
        <w:pStyle w:val="MText"/>
        <w:rPr>
          <w:color w:val="auto"/>
          <w:sz w:val="24"/>
          <w:szCs w:val="24"/>
        </w:rPr>
      </w:pPr>
      <w:r w:rsidRPr="00FC2BF1">
        <w:rPr>
          <w:color w:val="auto"/>
          <w:sz w:val="24"/>
          <w:szCs w:val="24"/>
        </w:rPr>
        <w:t>EU Public Procurement Registration - Most economically advantageous tender (MEAT)</w:t>
      </w:r>
    </w:p>
    <w:p w:rsidR="004C39DB" w:rsidRPr="00FC2BF1" w:rsidRDefault="00AC397C" w:rsidP="004C39DB">
      <w:pPr>
        <w:shd w:val="clear" w:color="auto" w:fill="FFFFFF"/>
        <w:spacing w:after="0"/>
        <w:rPr>
          <w:rFonts w:cs="Calibri"/>
          <w:szCs w:val="24"/>
          <w:lang w:val="en-GB"/>
        </w:rPr>
      </w:pPr>
      <w:hyperlink r:id="rId12" w:history="1">
        <w:r w:rsidR="004C39DB" w:rsidRPr="00FC2BF1">
          <w:rPr>
            <w:rStyle w:val="ae"/>
            <w:rFonts w:cs="Calibri"/>
            <w:color w:val="auto"/>
            <w:szCs w:val="24"/>
            <w:lang w:val="en-GB"/>
          </w:rPr>
          <w:t>https://www.felp.ac.uk/content/most-economically-advantageous-tender-meat</w:t>
        </w:r>
      </w:hyperlink>
    </w:p>
    <w:p w:rsidR="004C39DB" w:rsidRPr="00FC2BF1" w:rsidRDefault="004C39DB" w:rsidP="004C39DB">
      <w:pPr>
        <w:shd w:val="clear" w:color="auto" w:fill="FFFFFF"/>
        <w:spacing w:after="0"/>
        <w:rPr>
          <w:rFonts w:cs="Calibri"/>
          <w:szCs w:val="24"/>
          <w:lang w:val="en-GB"/>
        </w:rPr>
      </w:pPr>
    </w:p>
    <w:p w:rsidR="004C39DB" w:rsidRPr="00FC2BF1" w:rsidRDefault="004C39DB" w:rsidP="004C39DB">
      <w:pPr>
        <w:pStyle w:val="MText"/>
        <w:rPr>
          <w:color w:val="auto"/>
          <w:sz w:val="24"/>
          <w:szCs w:val="24"/>
        </w:rPr>
      </w:pPr>
      <w:r w:rsidRPr="00FC2BF1">
        <w:rPr>
          <w:color w:val="auto"/>
          <w:sz w:val="24"/>
          <w:szCs w:val="24"/>
        </w:rPr>
        <w:t>UNEP Global review of sustainable public procurement 2017</w:t>
      </w:r>
    </w:p>
    <w:p w:rsidR="004C39DB" w:rsidRPr="00FC2BF1" w:rsidRDefault="00AC397C" w:rsidP="004C39DB">
      <w:pPr>
        <w:shd w:val="clear" w:color="auto" w:fill="FFFFFF"/>
        <w:spacing w:after="0"/>
        <w:rPr>
          <w:rFonts w:cs="Calibri"/>
          <w:szCs w:val="24"/>
          <w:lang w:val="en-GB"/>
        </w:rPr>
      </w:pPr>
      <w:hyperlink r:id="rId13" w:history="1">
        <w:r w:rsidR="004C39DB" w:rsidRPr="00FC2BF1">
          <w:rPr>
            <w:rFonts w:cs="Calibri"/>
            <w:szCs w:val="24"/>
            <w:u w:val="single"/>
            <w:lang w:val="en-GB"/>
          </w:rPr>
          <w:t>https://wedocs.unep.org/bitstream/handle/20.500.11822/20919/GlobalReview_Sust_Procurement.pdf?sequence=1&amp;isAllowed=y</w:t>
        </w:r>
      </w:hyperlink>
    </w:p>
    <w:bookmarkEnd w:id="5"/>
    <w:p w:rsidR="0049008B" w:rsidRPr="00333E4E" w:rsidRDefault="0049008B" w:rsidP="004C39DB">
      <w:pPr>
        <w:rPr>
          <w:lang w:val="en-GB" w:eastAsia="en-GB"/>
        </w:rPr>
      </w:pPr>
    </w:p>
    <w:sectPr w:rsidR="0049008B" w:rsidRPr="00333E4E" w:rsidSect="00AC397C">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CB" w:rsidRDefault="00A46DCB" w:rsidP="00F73DBC">
      <w:pPr>
        <w:spacing w:after="0" w:line="240" w:lineRule="auto"/>
      </w:pPr>
      <w:r>
        <w:separator/>
      </w:r>
    </w:p>
  </w:endnote>
  <w:endnote w:type="continuationSeparator" w:id="1">
    <w:p w:rsidR="00A46DCB" w:rsidRDefault="00A46DCB"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CB" w:rsidRDefault="00A46DCB" w:rsidP="00F73DBC">
      <w:pPr>
        <w:spacing w:after="0" w:line="240" w:lineRule="auto"/>
      </w:pPr>
      <w:r>
        <w:separator/>
      </w:r>
    </w:p>
  </w:footnote>
  <w:footnote w:type="continuationSeparator" w:id="1">
    <w:p w:rsidR="00A46DCB" w:rsidRDefault="00A46DCB"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A5" w:rsidRDefault="00FE53A5" w:rsidP="009508D1">
    <w:pPr>
      <w:pStyle w:val="af0"/>
      <w:jc w:val="right"/>
      <w:rPr>
        <w:i/>
      </w:rPr>
    </w:pPr>
    <w:r w:rsidRPr="009508D1">
      <w:rPr>
        <w:i/>
      </w:rPr>
      <w:t>Неофициальный перевод</w:t>
    </w:r>
  </w:p>
  <w:p w:rsidR="00FE53A5" w:rsidRPr="009508D1" w:rsidRDefault="00FE53A5" w:rsidP="009508D1">
    <w:pPr>
      <w:pStyle w:val="af0"/>
      <w:jc w:val="right"/>
    </w:pPr>
    <w:r>
      <w:t xml:space="preserve">Последнее обновление: </w:t>
    </w:r>
    <w:r w:rsidR="00AD2AF4">
      <w:t>октябрь</w:t>
    </w:r>
    <w:r>
      <w:t xml:space="preserve"> 2021</w:t>
    </w:r>
  </w:p>
  <w:p w:rsidR="00FE53A5" w:rsidRDefault="00FE53A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5"/>
  </w:num>
  <w:num w:numId="5">
    <w:abstractNumId w:val="12"/>
  </w:num>
  <w:num w:numId="6">
    <w:abstractNumId w:val="6"/>
  </w:num>
  <w:num w:numId="7">
    <w:abstractNumId w:val="10"/>
  </w:num>
  <w:num w:numId="8">
    <w:abstractNumId w:val="8"/>
  </w:num>
  <w:num w:numId="9">
    <w:abstractNumId w:val="1"/>
  </w:num>
  <w:num w:numId="10">
    <w:abstractNumId w:val="9"/>
  </w:num>
  <w:num w:numId="11">
    <w:abstractNumId w:val="11"/>
  </w:num>
  <w:num w:numId="12">
    <w:abstractNumId w:val="3"/>
  </w:num>
  <w:num w:numId="13">
    <w:abstractNumId w:val="14"/>
  </w:num>
  <w:num w:numId="14">
    <w:abstractNumId w:val="0"/>
  </w:num>
  <w:num w:numId="15">
    <w:abstractNumId w:val="13"/>
  </w:num>
  <w:num w:numId="16">
    <w:abstractNumId w:val="16"/>
  </w:num>
  <w:num w:numId="1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A618FC"/>
    <w:rsid w:val="00006140"/>
    <w:rsid w:val="00017B67"/>
    <w:rsid w:val="00030BF5"/>
    <w:rsid w:val="00032707"/>
    <w:rsid w:val="00040034"/>
    <w:rsid w:val="0004196A"/>
    <w:rsid w:val="000451B2"/>
    <w:rsid w:val="00053798"/>
    <w:rsid w:val="00053D20"/>
    <w:rsid w:val="00062184"/>
    <w:rsid w:val="00066024"/>
    <w:rsid w:val="00067E3E"/>
    <w:rsid w:val="00080FD3"/>
    <w:rsid w:val="00083DC3"/>
    <w:rsid w:val="0008593B"/>
    <w:rsid w:val="000A210D"/>
    <w:rsid w:val="000A229E"/>
    <w:rsid w:val="000A47E6"/>
    <w:rsid w:val="000A6836"/>
    <w:rsid w:val="000C224E"/>
    <w:rsid w:val="000C3C4C"/>
    <w:rsid w:val="000D1230"/>
    <w:rsid w:val="000E666A"/>
    <w:rsid w:val="000E6A3E"/>
    <w:rsid w:val="00104284"/>
    <w:rsid w:val="00110FE3"/>
    <w:rsid w:val="0011581A"/>
    <w:rsid w:val="00116248"/>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C2F13"/>
    <w:rsid w:val="001D47B7"/>
    <w:rsid w:val="001E2FC9"/>
    <w:rsid w:val="001F2B04"/>
    <w:rsid w:val="0020339C"/>
    <w:rsid w:val="00215F5C"/>
    <w:rsid w:val="00220DFC"/>
    <w:rsid w:val="00235C73"/>
    <w:rsid w:val="00237F5C"/>
    <w:rsid w:val="002451DF"/>
    <w:rsid w:val="00253365"/>
    <w:rsid w:val="002540B1"/>
    <w:rsid w:val="00263E57"/>
    <w:rsid w:val="002712B1"/>
    <w:rsid w:val="00290B8E"/>
    <w:rsid w:val="002B2508"/>
    <w:rsid w:val="002B557F"/>
    <w:rsid w:val="002D62D2"/>
    <w:rsid w:val="002D669D"/>
    <w:rsid w:val="002E07D4"/>
    <w:rsid w:val="002E122C"/>
    <w:rsid w:val="002E15F9"/>
    <w:rsid w:val="002E2DAB"/>
    <w:rsid w:val="002F63E5"/>
    <w:rsid w:val="00303D71"/>
    <w:rsid w:val="003141F4"/>
    <w:rsid w:val="003143BC"/>
    <w:rsid w:val="00333E4E"/>
    <w:rsid w:val="00342801"/>
    <w:rsid w:val="00347912"/>
    <w:rsid w:val="00351952"/>
    <w:rsid w:val="003563A7"/>
    <w:rsid w:val="003569AD"/>
    <w:rsid w:val="0036001C"/>
    <w:rsid w:val="00372DA0"/>
    <w:rsid w:val="003746BC"/>
    <w:rsid w:val="003761B2"/>
    <w:rsid w:val="00376FE6"/>
    <w:rsid w:val="00390633"/>
    <w:rsid w:val="00393B97"/>
    <w:rsid w:val="00394222"/>
    <w:rsid w:val="00397764"/>
    <w:rsid w:val="003A389C"/>
    <w:rsid w:val="003B2CF2"/>
    <w:rsid w:val="003B340F"/>
    <w:rsid w:val="003E03CC"/>
    <w:rsid w:val="003E6C49"/>
    <w:rsid w:val="0040583C"/>
    <w:rsid w:val="004066A3"/>
    <w:rsid w:val="00407E4E"/>
    <w:rsid w:val="004143B4"/>
    <w:rsid w:val="00422DE3"/>
    <w:rsid w:val="0042734C"/>
    <w:rsid w:val="00436030"/>
    <w:rsid w:val="00446A24"/>
    <w:rsid w:val="00453CF8"/>
    <w:rsid w:val="00461079"/>
    <w:rsid w:val="00465587"/>
    <w:rsid w:val="00480D4F"/>
    <w:rsid w:val="0049008B"/>
    <w:rsid w:val="004A20F3"/>
    <w:rsid w:val="004A7876"/>
    <w:rsid w:val="004B638C"/>
    <w:rsid w:val="004B6FA0"/>
    <w:rsid w:val="004C15E5"/>
    <w:rsid w:val="004C39DB"/>
    <w:rsid w:val="004C5B65"/>
    <w:rsid w:val="004D283B"/>
    <w:rsid w:val="004D737D"/>
    <w:rsid w:val="004E087E"/>
    <w:rsid w:val="004F3B53"/>
    <w:rsid w:val="00503093"/>
    <w:rsid w:val="00504CD2"/>
    <w:rsid w:val="005057DC"/>
    <w:rsid w:val="005126D2"/>
    <w:rsid w:val="00514C74"/>
    <w:rsid w:val="005220B0"/>
    <w:rsid w:val="0053082C"/>
    <w:rsid w:val="00543050"/>
    <w:rsid w:val="00547F84"/>
    <w:rsid w:val="00562B74"/>
    <w:rsid w:val="0056571B"/>
    <w:rsid w:val="00577C9B"/>
    <w:rsid w:val="0059042F"/>
    <w:rsid w:val="00594963"/>
    <w:rsid w:val="005974D1"/>
    <w:rsid w:val="005A0EA5"/>
    <w:rsid w:val="005C123D"/>
    <w:rsid w:val="005E2ABC"/>
    <w:rsid w:val="005E47BD"/>
    <w:rsid w:val="005F5D78"/>
    <w:rsid w:val="00607915"/>
    <w:rsid w:val="006120E1"/>
    <w:rsid w:val="00623607"/>
    <w:rsid w:val="0062618C"/>
    <w:rsid w:val="006308D5"/>
    <w:rsid w:val="006313E5"/>
    <w:rsid w:val="00642663"/>
    <w:rsid w:val="00647C5F"/>
    <w:rsid w:val="00654380"/>
    <w:rsid w:val="006677B0"/>
    <w:rsid w:val="00670C21"/>
    <w:rsid w:val="00670E26"/>
    <w:rsid w:val="006763D1"/>
    <w:rsid w:val="00676DE5"/>
    <w:rsid w:val="00693A10"/>
    <w:rsid w:val="00694160"/>
    <w:rsid w:val="00696D77"/>
    <w:rsid w:val="006B260E"/>
    <w:rsid w:val="006B3939"/>
    <w:rsid w:val="006C014C"/>
    <w:rsid w:val="006C0984"/>
    <w:rsid w:val="006C10F0"/>
    <w:rsid w:val="006C3087"/>
    <w:rsid w:val="006C3901"/>
    <w:rsid w:val="006C4FCD"/>
    <w:rsid w:val="006D7049"/>
    <w:rsid w:val="006E66FC"/>
    <w:rsid w:val="006F1198"/>
    <w:rsid w:val="006F4DA0"/>
    <w:rsid w:val="006F5EC4"/>
    <w:rsid w:val="00702333"/>
    <w:rsid w:val="00702C63"/>
    <w:rsid w:val="00704A8D"/>
    <w:rsid w:val="00705161"/>
    <w:rsid w:val="00707E86"/>
    <w:rsid w:val="00711277"/>
    <w:rsid w:val="00711F30"/>
    <w:rsid w:val="00714B55"/>
    <w:rsid w:val="0071671D"/>
    <w:rsid w:val="007235FA"/>
    <w:rsid w:val="0073216D"/>
    <w:rsid w:val="007321BB"/>
    <w:rsid w:val="0075349F"/>
    <w:rsid w:val="0075371E"/>
    <w:rsid w:val="00766689"/>
    <w:rsid w:val="00780F08"/>
    <w:rsid w:val="0078233F"/>
    <w:rsid w:val="0078726E"/>
    <w:rsid w:val="0079089B"/>
    <w:rsid w:val="00791F1F"/>
    <w:rsid w:val="007B0CFD"/>
    <w:rsid w:val="007B0D42"/>
    <w:rsid w:val="007C27E0"/>
    <w:rsid w:val="007C6471"/>
    <w:rsid w:val="007C6FBC"/>
    <w:rsid w:val="007D1185"/>
    <w:rsid w:val="007D2576"/>
    <w:rsid w:val="007D49DE"/>
    <w:rsid w:val="007D4F45"/>
    <w:rsid w:val="007D5E35"/>
    <w:rsid w:val="007E6317"/>
    <w:rsid w:val="0080135E"/>
    <w:rsid w:val="00804196"/>
    <w:rsid w:val="00807A22"/>
    <w:rsid w:val="0081063C"/>
    <w:rsid w:val="0082082A"/>
    <w:rsid w:val="00845FE2"/>
    <w:rsid w:val="008501F4"/>
    <w:rsid w:val="0085248F"/>
    <w:rsid w:val="00853C09"/>
    <w:rsid w:val="008616D9"/>
    <w:rsid w:val="00865164"/>
    <w:rsid w:val="008751C8"/>
    <w:rsid w:val="0089043A"/>
    <w:rsid w:val="00896D91"/>
    <w:rsid w:val="008A3A19"/>
    <w:rsid w:val="008A7431"/>
    <w:rsid w:val="008B47E0"/>
    <w:rsid w:val="008C01EA"/>
    <w:rsid w:val="008C7B00"/>
    <w:rsid w:val="008E3E58"/>
    <w:rsid w:val="008E440E"/>
    <w:rsid w:val="008F5301"/>
    <w:rsid w:val="00900860"/>
    <w:rsid w:val="00924835"/>
    <w:rsid w:val="0092659A"/>
    <w:rsid w:val="009273B4"/>
    <w:rsid w:val="0093367B"/>
    <w:rsid w:val="00935B97"/>
    <w:rsid w:val="0094218F"/>
    <w:rsid w:val="00942EA9"/>
    <w:rsid w:val="0094718C"/>
    <w:rsid w:val="00947FA7"/>
    <w:rsid w:val="009508D1"/>
    <w:rsid w:val="009558D8"/>
    <w:rsid w:val="00957712"/>
    <w:rsid w:val="00957A62"/>
    <w:rsid w:val="00964BE9"/>
    <w:rsid w:val="00980F79"/>
    <w:rsid w:val="00983CEB"/>
    <w:rsid w:val="009843DD"/>
    <w:rsid w:val="00986D0B"/>
    <w:rsid w:val="00990634"/>
    <w:rsid w:val="009917DD"/>
    <w:rsid w:val="00995788"/>
    <w:rsid w:val="009A555C"/>
    <w:rsid w:val="009B3820"/>
    <w:rsid w:val="009B6CB3"/>
    <w:rsid w:val="009B78A2"/>
    <w:rsid w:val="009C2278"/>
    <w:rsid w:val="009D078D"/>
    <w:rsid w:val="009D31AD"/>
    <w:rsid w:val="009E707C"/>
    <w:rsid w:val="009F0769"/>
    <w:rsid w:val="009F4A17"/>
    <w:rsid w:val="00A06695"/>
    <w:rsid w:val="00A1299E"/>
    <w:rsid w:val="00A178B3"/>
    <w:rsid w:val="00A248E2"/>
    <w:rsid w:val="00A3202D"/>
    <w:rsid w:val="00A3418B"/>
    <w:rsid w:val="00A343D5"/>
    <w:rsid w:val="00A41B68"/>
    <w:rsid w:val="00A44394"/>
    <w:rsid w:val="00A46DCB"/>
    <w:rsid w:val="00A47315"/>
    <w:rsid w:val="00A47C12"/>
    <w:rsid w:val="00A55D22"/>
    <w:rsid w:val="00A56B34"/>
    <w:rsid w:val="00A618FC"/>
    <w:rsid w:val="00A7053F"/>
    <w:rsid w:val="00A71EC6"/>
    <w:rsid w:val="00A73CA7"/>
    <w:rsid w:val="00A82A69"/>
    <w:rsid w:val="00A8435E"/>
    <w:rsid w:val="00A8462E"/>
    <w:rsid w:val="00A91FDE"/>
    <w:rsid w:val="00AC112C"/>
    <w:rsid w:val="00AC397C"/>
    <w:rsid w:val="00AC50FA"/>
    <w:rsid w:val="00AD2AF4"/>
    <w:rsid w:val="00AF3B1B"/>
    <w:rsid w:val="00B0378B"/>
    <w:rsid w:val="00B179C9"/>
    <w:rsid w:val="00B17F13"/>
    <w:rsid w:val="00B27F6B"/>
    <w:rsid w:val="00B30158"/>
    <w:rsid w:val="00B51994"/>
    <w:rsid w:val="00B51BC3"/>
    <w:rsid w:val="00B62ECD"/>
    <w:rsid w:val="00B67F77"/>
    <w:rsid w:val="00B70499"/>
    <w:rsid w:val="00B72F77"/>
    <w:rsid w:val="00B75B36"/>
    <w:rsid w:val="00B8481C"/>
    <w:rsid w:val="00BA05C5"/>
    <w:rsid w:val="00BA49DB"/>
    <w:rsid w:val="00BA61D3"/>
    <w:rsid w:val="00BC622F"/>
    <w:rsid w:val="00BC6BB7"/>
    <w:rsid w:val="00BD28B9"/>
    <w:rsid w:val="00BD29EC"/>
    <w:rsid w:val="00BD2BB0"/>
    <w:rsid w:val="00BE4D76"/>
    <w:rsid w:val="00BE618D"/>
    <w:rsid w:val="00BE70C8"/>
    <w:rsid w:val="00BF28A6"/>
    <w:rsid w:val="00BF42F4"/>
    <w:rsid w:val="00C000B0"/>
    <w:rsid w:val="00C00737"/>
    <w:rsid w:val="00C013D8"/>
    <w:rsid w:val="00C1236A"/>
    <w:rsid w:val="00C22DF6"/>
    <w:rsid w:val="00C25229"/>
    <w:rsid w:val="00C34D1D"/>
    <w:rsid w:val="00C536F5"/>
    <w:rsid w:val="00C638CE"/>
    <w:rsid w:val="00C645C4"/>
    <w:rsid w:val="00C66AB0"/>
    <w:rsid w:val="00C74767"/>
    <w:rsid w:val="00C772FD"/>
    <w:rsid w:val="00C77EBB"/>
    <w:rsid w:val="00C83435"/>
    <w:rsid w:val="00C8596F"/>
    <w:rsid w:val="00C909FE"/>
    <w:rsid w:val="00C95868"/>
    <w:rsid w:val="00C9679B"/>
    <w:rsid w:val="00C96C28"/>
    <w:rsid w:val="00CA1CB1"/>
    <w:rsid w:val="00CB26D5"/>
    <w:rsid w:val="00CC1B0F"/>
    <w:rsid w:val="00CD0810"/>
    <w:rsid w:val="00CD238E"/>
    <w:rsid w:val="00CE0762"/>
    <w:rsid w:val="00CF1BCB"/>
    <w:rsid w:val="00CF2434"/>
    <w:rsid w:val="00CF7625"/>
    <w:rsid w:val="00D006C1"/>
    <w:rsid w:val="00D00F28"/>
    <w:rsid w:val="00D05466"/>
    <w:rsid w:val="00D1082C"/>
    <w:rsid w:val="00D15CDC"/>
    <w:rsid w:val="00D27196"/>
    <w:rsid w:val="00D273C6"/>
    <w:rsid w:val="00D31F63"/>
    <w:rsid w:val="00D40E85"/>
    <w:rsid w:val="00D50F75"/>
    <w:rsid w:val="00D51C14"/>
    <w:rsid w:val="00D54600"/>
    <w:rsid w:val="00D604B3"/>
    <w:rsid w:val="00D62DD3"/>
    <w:rsid w:val="00D636C1"/>
    <w:rsid w:val="00D644B9"/>
    <w:rsid w:val="00D64852"/>
    <w:rsid w:val="00D65C2C"/>
    <w:rsid w:val="00D65EF2"/>
    <w:rsid w:val="00D71A86"/>
    <w:rsid w:val="00D80BC2"/>
    <w:rsid w:val="00D8639D"/>
    <w:rsid w:val="00D91D5D"/>
    <w:rsid w:val="00DA006C"/>
    <w:rsid w:val="00DB3A18"/>
    <w:rsid w:val="00DB5508"/>
    <w:rsid w:val="00DB5552"/>
    <w:rsid w:val="00DB7209"/>
    <w:rsid w:val="00DB7E9B"/>
    <w:rsid w:val="00DD4453"/>
    <w:rsid w:val="00DD45F3"/>
    <w:rsid w:val="00DE0C01"/>
    <w:rsid w:val="00DE2202"/>
    <w:rsid w:val="00DE5549"/>
    <w:rsid w:val="00E1711B"/>
    <w:rsid w:val="00E206E6"/>
    <w:rsid w:val="00E21B43"/>
    <w:rsid w:val="00E22DA5"/>
    <w:rsid w:val="00E27922"/>
    <w:rsid w:val="00E33CA8"/>
    <w:rsid w:val="00E36AFE"/>
    <w:rsid w:val="00E377B5"/>
    <w:rsid w:val="00E55C4C"/>
    <w:rsid w:val="00E7596B"/>
    <w:rsid w:val="00E834AD"/>
    <w:rsid w:val="00E83733"/>
    <w:rsid w:val="00E90BD4"/>
    <w:rsid w:val="00E97471"/>
    <w:rsid w:val="00EA60C7"/>
    <w:rsid w:val="00EB1910"/>
    <w:rsid w:val="00EB389E"/>
    <w:rsid w:val="00EB4CBB"/>
    <w:rsid w:val="00EC3F04"/>
    <w:rsid w:val="00EC6F78"/>
    <w:rsid w:val="00EE3914"/>
    <w:rsid w:val="00EE3BB4"/>
    <w:rsid w:val="00EE3C6C"/>
    <w:rsid w:val="00EF3886"/>
    <w:rsid w:val="00EF47D7"/>
    <w:rsid w:val="00F02391"/>
    <w:rsid w:val="00F03521"/>
    <w:rsid w:val="00F17015"/>
    <w:rsid w:val="00F212F5"/>
    <w:rsid w:val="00F30F68"/>
    <w:rsid w:val="00F31D49"/>
    <w:rsid w:val="00F40A05"/>
    <w:rsid w:val="00F44343"/>
    <w:rsid w:val="00F46260"/>
    <w:rsid w:val="00F532A2"/>
    <w:rsid w:val="00F56853"/>
    <w:rsid w:val="00F6371F"/>
    <w:rsid w:val="00F66E7B"/>
    <w:rsid w:val="00F73DBC"/>
    <w:rsid w:val="00F8384B"/>
    <w:rsid w:val="00F84FF1"/>
    <w:rsid w:val="00F940D0"/>
    <w:rsid w:val="00F947E9"/>
    <w:rsid w:val="00FC058A"/>
    <w:rsid w:val="00FC2BF1"/>
    <w:rsid w:val="00FD23B9"/>
    <w:rsid w:val="00FE175E"/>
    <w:rsid w:val="00FE35CF"/>
    <w:rsid w:val="00FE53A5"/>
    <w:rsid w:val="00FE734E"/>
    <w:rsid w:val="00FE79B4"/>
    <w:rsid w:val="00FE7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D31F63"/>
    <w:pPr>
      <w:keepNext/>
      <w:keepLines/>
      <w:spacing w:before="480" w:after="0" w:line="240" w:lineRule="auto"/>
      <w:outlineLvl w:val="0"/>
    </w:pPr>
    <w:rPr>
      <w:rFonts w:ascii="Cambria" w:eastAsia="Times New Roman" w:hAnsi="Cambria"/>
      <w:b/>
      <w:bCs/>
      <w:color w:val="365F91"/>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heading 2,List Paragraph 1"/>
    <w:basedOn w:val="a"/>
    <w:link w:val="ad"/>
    <w:uiPriority w:val="34"/>
    <w:qFormat/>
    <w:rsid w:val="007B0CFD"/>
    <w:pPr>
      <w:ind w:left="720"/>
      <w:contextualSpacing/>
    </w:pPr>
    <w:rPr>
      <w:szCs w:val="20"/>
      <w:lang/>
    </w:rPr>
  </w:style>
  <w:style w:type="character" w:styleId="ae">
    <w:name w:val="Hyperlink"/>
    <w:basedOn w:val="a1"/>
    <w:uiPriority w:val="99"/>
    <w:unhideWhenUsed/>
    <w:rsid w:val="00EB389E"/>
    <w:rPr>
      <w:color w:val="0000FF"/>
      <w:u w:val="single"/>
    </w:rPr>
  </w:style>
  <w:style w:type="table" w:customStyle="1" w:styleId="af">
    <w:name w:val="Light Shading"/>
    <w:basedOn w:val="a2"/>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0">
    <w:name w:val="header"/>
    <w:basedOn w:val="a"/>
    <w:link w:val="af1"/>
    <w:uiPriority w:val="99"/>
    <w:unhideWhenUsed/>
    <w:rsid w:val="009508D1"/>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508D1"/>
  </w:style>
  <w:style w:type="paragraph" w:styleId="af2">
    <w:name w:val="footer"/>
    <w:basedOn w:val="a"/>
    <w:link w:val="af3"/>
    <w:uiPriority w:val="99"/>
    <w:unhideWhenUsed/>
    <w:rsid w:val="009508D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508D1"/>
  </w:style>
  <w:style w:type="paragraph" w:styleId="af4">
    <w:name w:val="annotation text"/>
    <w:basedOn w:val="a"/>
    <w:link w:val="af5"/>
    <w:uiPriority w:val="99"/>
    <w:unhideWhenUsed/>
    <w:rsid w:val="00A91FDE"/>
    <w:pPr>
      <w:spacing w:line="240" w:lineRule="auto"/>
    </w:pPr>
    <w:rPr>
      <w:rFonts w:eastAsia="Times New Roman"/>
      <w:sz w:val="20"/>
      <w:szCs w:val="20"/>
      <w:lang w:val="en-GB" w:eastAsia="zh-CN"/>
    </w:rPr>
  </w:style>
  <w:style w:type="character" w:customStyle="1" w:styleId="af5">
    <w:name w:val="Текст примечания Знак"/>
    <w:basedOn w:val="a1"/>
    <w:link w:val="af4"/>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6">
    <w:name w:val="FollowedHyperlink"/>
    <w:basedOn w:val="a1"/>
    <w:uiPriority w:val="99"/>
    <w:semiHidden/>
    <w:unhideWhenUsed/>
    <w:rsid w:val="00422DE3"/>
    <w:rPr>
      <w:color w:val="800080"/>
      <w:u w:val="single"/>
    </w:rPr>
  </w:style>
  <w:style w:type="character" w:customStyle="1" w:styleId="10">
    <w:name w:val="Заголовок 1 Знак"/>
    <w:basedOn w:val="a1"/>
    <w:link w:val="1"/>
    <w:uiPriority w:val="9"/>
    <w:rsid w:val="00D31F63"/>
    <w:rPr>
      <w:rFonts w:ascii="Cambria" w:eastAsia="Times New Roman" w:hAnsi="Cambria" w:cs="Times New Roman"/>
      <w:b/>
      <w:bCs/>
      <w:color w:val="365F91"/>
      <w:sz w:val="28"/>
      <w:szCs w:val="28"/>
      <w:lang w:val="en-GB"/>
    </w:rPr>
  </w:style>
  <w:style w:type="character" w:styleId="af7">
    <w:name w:val="annotation reference"/>
    <w:basedOn w:val="a1"/>
    <w:uiPriority w:val="99"/>
    <w:semiHidden/>
    <w:unhideWhenUsed/>
    <w:rsid w:val="00D31F63"/>
    <w:rPr>
      <w:sz w:val="16"/>
      <w:szCs w:val="16"/>
    </w:rPr>
  </w:style>
  <w:style w:type="paragraph" w:styleId="af8">
    <w:name w:val="annotation subject"/>
    <w:basedOn w:val="af4"/>
    <w:next w:val="af4"/>
    <w:link w:val="af9"/>
    <w:uiPriority w:val="99"/>
    <w:semiHidden/>
    <w:unhideWhenUsed/>
    <w:rsid w:val="00D31F63"/>
    <w:pPr>
      <w:jc w:val="left"/>
    </w:pPr>
    <w:rPr>
      <w:rFonts w:ascii="Calibri" w:hAnsi="Calibri"/>
      <w:b/>
      <w:bCs/>
    </w:rPr>
  </w:style>
  <w:style w:type="character" w:customStyle="1" w:styleId="af9">
    <w:name w:val="Тема примечания Знак"/>
    <w:basedOn w:val="af5"/>
    <w:link w:val="af8"/>
    <w:uiPriority w:val="99"/>
    <w:semiHidden/>
    <w:rsid w:val="00D31F63"/>
    <w:rPr>
      <w:rFonts w:eastAsia="Times New Roman"/>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Calibri" w:eastAsia="Times New Roman" w:hAnsi="Calibri"/>
      <w:b/>
      <w:bCs/>
      <w:color w:val="4A4A4A"/>
      <w:sz w:val="21"/>
      <w:szCs w:val="21"/>
      <w:lang w:val="en-GB" w:eastAsia="en-GB"/>
    </w:rPr>
  </w:style>
  <w:style w:type="paragraph" w:customStyle="1" w:styleId="MGTHeader">
    <w:name w:val="M.G+T.Header"/>
    <w:basedOn w:val="a"/>
    <w:next w:val="a"/>
    <w:link w:val="MGTHeaderChar"/>
    <w:qFormat/>
    <w:rsid w:val="008E3E58"/>
    <w:pPr>
      <w:shd w:val="clear" w:color="auto" w:fill="F5F5F5"/>
      <w:spacing w:after="0"/>
      <w:jc w:val="left"/>
      <w:outlineLvl w:val="4"/>
    </w:pPr>
    <w:rPr>
      <w:rFonts w:eastAsia="Times New Roman"/>
      <w:color w:val="333333"/>
      <w:sz w:val="28"/>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Calibri" w:eastAsia="Times New Roman" w:hAnsi="Calibri"/>
      <w:color w:val="1C75BC"/>
      <w:sz w:val="22"/>
      <w:lang w:val="en-GB" w:eastAsia="en-GB"/>
    </w:rPr>
  </w:style>
  <w:style w:type="character" w:customStyle="1" w:styleId="MGTHeaderChar">
    <w:name w:val="M.G+T.Header Char"/>
    <w:basedOn w:val="a1"/>
    <w:link w:val="MGTHeader"/>
    <w:rsid w:val="008E3E58"/>
    <w:rPr>
      <w:rFonts w:ascii="Times New Roman" w:eastAsia="Times New Roman" w:hAnsi="Times New Roman" w:cs="Times New Roman"/>
      <w:color w:val="333333"/>
      <w:sz w:val="28"/>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a">
    <w:name w:val="Body Text"/>
    <w:basedOn w:val="a"/>
    <w:link w:val="afb"/>
    <w:uiPriority w:val="1"/>
    <w:qFormat/>
    <w:rsid w:val="00D8639D"/>
    <w:pPr>
      <w:widowControl w:val="0"/>
      <w:autoSpaceDE w:val="0"/>
      <w:autoSpaceDN w:val="0"/>
      <w:adjustRightInd w:val="0"/>
      <w:spacing w:before="64" w:after="0" w:line="240" w:lineRule="auto"/>
    </w:pPr>
    <w:rPr>
      <w:rFonts w:eastAsia="Times New Roman" w:cs="Arial"/>
      <w:szCs w:val="19"/>
      <w:lang w:val="en-GB" w:eastAsia="en-GB"/>
    </w:rPr>
  </w:style>
  <w:style w:type="character" w:customStyle="1" w:styleId="afb">
    <w:name w:val="Основной текст Знак"/>
    <w:basedOn w:val="a1"/>
    <w:link w:val="afa"/>
    <w:uiPriority w:val="1"/>
    <w:rsid w:val="00D8639D"/>
    <w:rPr>
      <w:rFonts w:ascii="Times New Roman" w:eastAsia="Times New Roman" w:hAnsi="Times New Roman" w:cs="Arial"/>
      <w:sz w:val="24"/>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imes New Roman"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imes New Roman" w:hAnsi="Consolas"/>
      <w:sz w:val="20"/>
      <w:szCs w:val="20"/>
      <w:lang w:val="en-GB" w:eastAsia="zh-CN"/>
    </w:rPr>
  </w:style>
  <w:style w:type="paragraph" w:styleId="afc">
    <w:name w:val="Normal (Web)"/>
    <w:basedOn w:val="a"/>
    <w:uiPriority w:val="99"/>
    <w:semiHidden/>
    <w:unhideWhenUsed/>
    <w:rsid w:val="00D31F63"/>
    <w:pPr>
      <w:spacing w:before="100" w:beforeAutospacing="1" w:after="100" w:afterAutospacing="1" w:line="240" w:lineRule="auto"/>
      <w:jc w:val="left"/>
    </w:pPr>
    <w:rPr>
      <w:rFonts w:eastAsia="Times New Roman"/>
      <w:szCs w:val="24"/>
      <w:lang w:val="fr-CH" w:eastAsia="fr-CH"/>
    </w:rPr>
  </w:style>
  <w:style w:type="table" w:customStyle="1" w:styleId="GridTableLight">
    <w:name w:val="Grid Table Light"/>
    <w:basedOn w:val="a2"/>
    <w:uiPriority w:val="40"/>
    <w:rsid w:val="00BA05C5"/>
    <w:rPr>
      <w:rFonts w:eastAsia="Times New Roman"/>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0">
    <w:name w:val="No Spacing"/>
    <w:uiPriority w:val="1"/>
    <w:qFormat/>
    <w:rsid w:val="009558D8"/>
    <w:pPr>
      <w:jc w:val="both"/>
    </w:pPr>
    <w:rPr>
      <w:rFonts w:ascii="Times New Roman" w:hAnsi="Times New Roman"/>
      <w:sz w:val="24"/>
      <w:szCs w:val="22"/>
      <w:lang w:eastAsia="en-US"/>
    </w:rPr>
  </w:style>
  <w:style w:type="table" w:customStyle="1" w:styleId="11">
    <w:name w:val="Сетка таблицы1"/>
    <w:basedOn w:val="a2"/>
    <w:next w:val="ab"/>
    <w:uiPriority w:val="59"/>
    <w:rsid w:val="00F03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b"/>
    <w:uiPriority w:val="59"/>
    <w:rsid w:val="007C6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b"/>
    <w:uiPriority w:val="59"/>
    <w:rsid w:val="00E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b"/>
    <w:uiPriority w:val="59"/>
    <w:rsid w:val="0011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customStyle="1" w:styleId="1-1">
    <w:name w:val="Medium Shading 1 Accent 1"/>
    <w:basedOn w:val="a2"/>
    <w:uiPriority w:val="63"/>
    <w:rsid w:val="00AF3B1B"/>
    <w:rPr>
      <w:rFonts w:eastAsia="Times New Roman"/>
      <w:lang w:val="en-GB"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heading 2 Знак,List Paragraph 1 Знак"/>
    <w:link w:val="ac"/>
    <w:uiPriority w:val="34"/>
    <w:rsid w:val="004C15E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plive.unep.org/media/docs/graphs/aggregation_methods.pdf" TargetMode="External"/><Relationship Id="rId13" Type="http://schemas.openxmlformats.org/officeDocument/2006/relationships/hyperlink" Target="https://wedocs.unep.org/bitstream/handle/20.500.11822/20919/GlobalReview_Sust_Procurement.pdf?sequence=1&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lp.ac.uk/content/most-economically-advantageous-tender-me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gpp/lcc.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ations.europa.eu/en/publication-detail/-/publication/cb70c481-0e29-4040-9be2-c408cddf081f/language-en" TargetMode="External"/><Relationship Id="rId4" Type="http://schemas.openxmlformats.org/officeDocument/2006/relationships/settings" Target="settings.xml"/><Relationship Id="rId9" Type="http://schemas.openxmlformats.org/officeDocument/2006/relationships/hyperlink" Target="https://publications.europa.eu/en/publication-detail/-/publication/cb70c481-0e29-4040-9be2-c408cddf081f/language-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010A-8AE1-4EBA-A95D-D1C676D2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20637</CharactersWithSpaces>
  <SharedDoc>false</SharedDoc>
  <HLinks>
    <vt:vector size="36" baseType="variant">
      <vt:variant>
        <vt:i4>3801202</vt:i4>
      </vt:variant>
      <vt:variant>
        <vt:i4>18</vt:i4>
      </vt:variant>
      <vt:variant>
        <vt:i4>0</vt:i4>
      </vt:variant>
      <vt:variant>
        <vt:i4>5</vt:i4>
      </vt:variant>
      <vt:variant>
        <vt:lpwstr>https://wedocs.unep.org/bitstream/handle/20.500.11822/20919/GlobalReview_Sust_Procurement.pdf?sequence=1&amp;isAllowed=y</vt:lpwstr>
      </vt:variant>
      <vt:variant>
        <vt:lpwstr/>
      </vt:variant>
      <vt:variant>
        <vt:i4>1703949</vt:i4>
      </vt:variant>
      <vt:variant>
        <vt:i4>15</vt:i4>
      </vt:variant>
      <vt:variant>
        <vt:i4>0</vt:i4>
      </vt:variant>
      <vt:variant>
        <vt:i4>5</vt:i4>
      </vt:variant>
      <vt:variant>
        <vt:lpwstr>https://www.felp.ac.uk/content/most-economically-advantageous-tender-meat</vt:lpwstr>
      </vt:variant>
      <vt:variant>
        <vt:lpwstr/>
      </vt:variant>
      <vt:variant>
        <vt:i4>5046296</vt:i4>
      </vt:variant>
      <vt:variant>
        <vt:i4>12</vt:i4>
      </vt:variant>
      <vt:variant>
        <vt:i4>0</vt:i4>
      </vt:variant>
      <vt:variant>
        <vt:i4>5</vt:i4>
      </vt:variant>
      <vt:variant>
        <vt:lpwstr>https://ec.europa.eu/environment/gpp/lcc.htm</vt:lpwstr>
      </vt:variant>
      <vt:variant>
        <vt:lpwstr/>
      </vt:variant>
      <vt:variant>
        <vt:i4>8323170</vt:i4>
      </vt:variant>
      <vt:variant>
        <vt:i4>9</vt:i4>
      </vt:variant>
      <vt:variant>
        <vt:i4>0</vt:i4>
      </vt:variant>
      <vt:variant>
        <vt:i4>5</vt:i4>
      </vt:variant>
      <vt:variant>
        <vt:lpwstr>https://publications.europa.eu/en/publication-detail/-/publication/cb70c481-0e29-4040-9be2-c408cddf081f/language-en</vt:lpwstr>
      </vt:variant>
      <vt:variant>
        <vt:lpwstr/>
      </vt:variant>
      <vt:variant>
        <vt:i4>8323170</vt:i4>
      </vt:variant>
      <vt:variant>
        <vt:i4>6</vt:i4>
      </vt:variant>
      <vt:variant>
        <vt:i4>0</vt:i4>
      </vt:variant>
      <vt:variant>
        <vt:i4>5</vt:i4>
      </vt:variant>
      <vt:variant>
        <vt:lpwstr>https://publications.europa.eu/en/publication-detail/-/publication/cb70c481-0e29-4040-9be2-c408cddf081f/language-en</vt:lpwstr>
      </vt:variant>
      <vt:variant>
        <vt:lpwstr/>
      </vt:variant>
      <vt:variant>
        <vt:i4>4063251</vt:i4>
      </vt:variant>
      <vt:variant>
        <vt:i4>3</vt:i4>
      </vt:variant>
      <vt:variant>
        <vt:i4>0</vt:i4>
      </vt:variant>
      <vt:variant>
        <vt:i4>5</vt:i4>
      </vt:variant>
      <vt:variant>
        <vt:lpwstr>http://uneplive.unep.org/media/docs/graphs/aggregation_methods.pdf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2023-02-02T04:22:00Z</dcterms:created>
  <dcterms:modified xsi:type="dcterms:W3CDTF">2023-02-02T04:22:00Z</dcterms:modified>
</cp:coreProperties>
</file>