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3B3294">
        <w:rPr>
          <w:rFonts w:eastAsia="Arial Unicode MS"/>
          <w:szCs w:val="24"/>
          <w:bdr w:val="nil"/>
          <w:lang w:eastAsia="ru-RU"/>
        </w:rPr>
        <w:t>7</w:t>
      </w:r>
      <w:r w:rsidR="00780F08" w:rsidRPr="00BD29EC">
        <w:rPr>
          <w:rFonts w:eastAsia="Arial Unicode MS"/>
          <w:szCs w:val="24"/>
          <w:bdr w:val="nil"/>
          <w:lang w:eastAsia="ru-RU"/>
        </w:rPr>
        <w:t xml:space="preserve">: </w:t>
      </w:r>
      <w:r w:rsidR="003B3294" w:rsidRPr="003B3294">
        <w:t>Укрепление средств осуществления и активизация работы в рамках Глобального партнерства в интересах устойчивого развития</w:t>
      </w:r>
      <w:r w:rsidR="00107A08">
        <w:t>.</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E436F6">
      <w:pPr>
        <w:rPr>
          <w:szCs w:val="24"/>
        </w:rPr>
      </w:pPr>
      <w:r>
        <w:rPr>
          <w:szCs w:val="24"/>
        </w:rPr>
        <w:t>1</w:t>
      </w:r>
      <w:r w:rsidR="003B3294">
        <w:rPr>
          <w:szCs w:val="24"/>
        </w:rPr>
        <w:t>7</w:t>
      </w:r>
      <w:r w:rsidR="00780F08" w:rsidRPr="00BD29EC">
        <w:rPr>
          <w:szCs w:val="24"/>
        </w:rPr>
        <w:t>.</w:t>
      </w:r>
      <w:r w:rsidR="00E436F6">
        <w:rPr>
          <w:szCs w:val="24"/>
        </w:rPr>
        <w:t>13</w:t>
      </w:r>
      <w:r w:rsidR="00780F08" w:rsidRPr="00BD29EC">
        <w:rPr>
          <w:szCs w:val="24"/>
        </w:rPr>
        <w:t xml:space="preserve">. </w:t>
      </w:r>
      <w:r w:rsidR="00E436F6">
        <w:t>Повысить глобальную макроэкономическую стабильность, в том числе посредством координации политики и обеспечения последовательности политики.</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E436F6">
      <w:r w:rsidRPr="00BD29EC">
        <w:t xml:space="preserve">Показатель </w:t>
      </w:r>
      <w:r w:rsidR="00741A39">
        <w:t>1</w:t>
      </w:r>
      <w:r w:rsidR="003B3294">
        <w:t>7</w:t>
      </w:r>
      <w:r w:rsidR="00780F08" w:rsidRPr="00BD29EC">
        <w:t>.</w:t>
      </w:r>
      <w:r w:rsidR="00E436F6">
        <w:t>13</w:t>
      </w:r>
      <w:r w:rsidR="002064C4">
        <w:t>.</w:t>
      </w:r>
      <w:r w:rsidR="00B80FC8">
        <w:t>1</w:t>
      </w:r>
      <w:r w:rsidR="00C95AB2">
        <w:t>.</w:t>
      </w:r>
      <w:r w:rsidR="00E436F6">
        <w:t>Единый набор контрольных макроэкономических показателей.</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E436F6" w:rsidRDefault="00E436F6" w:rsidP="00E436F6">
      <w:r>
        <w:t>Сальдо счета текущих операций как доля ВВП (%)</w:t>
      </w:r>
    </w:p>
    <w:p w:rsidR="00E436F6" w:rsidRDefault="00E436F6" w:rsidP="00E436F6">
      <w:r>
        <w:t>Портфельные инвестиции, нетто (платежный баланс, в текущих долларах США)</w:t>
      </w:r>
    </w:p>
    <w:p w:rsidR="00E436F6" w:rsidRDefault="00E436F6" w:rsidP="00E436F6">
      <w:r>
        <w:t>Прямые иностранные инвестиции, чистый приток, в процентах от ВВП (%)</w:t>
      </w:r>
    </w:p>
    <w:p w:rsidR="00E436F6" w:rsidRDefault="00E436F6" w:rsidP="00E436F6">
      <w:r>
        <w:t>Полученные личные денежные переводы в процентах от ВВП (%)</w:t>
      </w:r>
    </w:p>
    <w:p w:rsidR="00E436F6" w:rsidRDefault="00E436F6" w:rsidP="00E436F6">
      <w:r>
        <w:t>Валовая PSD, центральное правительство-D2, все сроки погашения, D1+ SDR + валюта и депозиты, номинальная стоимость, в процентах от ВВП (%)</w:t>
      </w:r>
    </w:p>
    <w:p w:rsidR="00E436F6" w:rsidRDefault="00E436F6" w:rsidP="00E436F6">
      <w:r>
        <w:t>Объем внешнего долга в процентах от ВНД (%)</w:t>
      </w:r>
    </w:p>
    <w:p w:rsidR="00E436F6" w:rsidRDefault="00E436F6" w:rsidP="00E436F6">
      <w:r>
        <w:t>Обслуживание долга (только PPG и МВФ, % экспорта товаров, услуг и первичных доходов)</w:t>
      </w:r>
    </w:p>
    <w:p w:rsidR="00E436F6" w:rsidRPr="00E436F6" w:rsidRDefault="00E436F6" w:rsidP="00E436F6">
      <w:r w:rsidRPr="00E436F6">
        <w:rPr>
          <w:rStyle w:val="tlid-translation"/>
          <w:szCs w:val="24"/>
        </w:rPr>
        <w:t>Соотношение банковских необслуживаемых кредитов к общей сумме брутто-кредитов (%)</w:t>
      </w:r>
    </w:p>
    <w:p w:rsidR="00E436F6" w:rsidRDefault="00E436F6" w:rsidP="00E436F6">
      <w:r>
        <w:t>Отношение капитала к активам банка (%)</w:t>
      </w:r>
    </w:p>
    <w:p w:rsidR="00E436F6" w:rsidRDefault="00E436F6" w:rsidP="00E436F6">
      <w:r>
        <w:t>Общие резервы в месяцах импорта (коэффициент)</w:t>
      </w:r>
    </w:p>
    <w:p w:rsidR="00E436F6" w:rsidRDefault="00E436F6" w:rsidP="00E436F6">
      <w:r>
        <w:t>Отношение широкой денежной массы к совокупным резервам (коэффициент)</w:t>
      </w:r>
    </w:p>
    <w:p w:rsidR="00E436F6" w:rsidRDefault="00E436F6" w:rsidP="00E436F6">
      <w:r>
        <w:t>Годовой рост широкой денежной массы (%)</w:t>
      </w:r>
    </w:p>
    <w:p w:rsidR="00E436F6" w:rsidRDefault="00E436F6" w:rsidP="00E436F6">
      <w:r>
        <w:t>Годовая инфляция, потребительские цены (%)</w:t>
      </w:r>
    </w:p>
    <w:p w:rsidR="00E436F6" w:rsidRDefault="00E436F6" w:rsidP="00E436F6">
      <w:r>
        <w:t>Профицит/дефицит денежных средств в процентах от ВВП (%)</w:t>
      </w:r>
    </w:p>
    <w:p w:rsidR="00E436F6" w:rsidRDefault="00E436F6" w:rsidP="00E436F6">
      <w:r>
        <w:t>Налоговые поступления в процентах от ВВП (%)</w:t>
      </w:r>
    </w:p>
    <w:p w:rsidR="00E436F6" w:rsidRDefault="00E436F6" w:rsidP="00E436F6">
      <w:r>
        <w:t>Годовой рост расходов на конечное потребление сектора государственного управления (%)</w:t>
      </w:r>
    </w:p>
    <w:p w:rsidR="00E436F6" w:rsidRDefault="00E436F6" w:rsidP="00E436F6">
      <w:r>
        <w:lastRenderedPageBreak/>
        <w:t>Годовой рост расходов на конечное потребление домохозяйств и НКОДХ (%)</w:t>
      </w:r>
    </w:p>
    <w:p w:rsidR="00E436F6" w:rsidRDefault="00E436F6" w:rsidP="00E436F6">
      <w:r>
        <w:t>Годовой рост экспорта товаров и услуг (%)</w:t>
      </w:r>
    </w:p>
    <w:p w:rsidR="00E436F6" w:rsidRDefault="00E436F6" w:rsidP="00E436F6">
      <w:r>
        <w:t>Годовой рост валового накопления капитала (%)</w:t>
      </w:r>
    </w:p>
    <w:p w:rsidR="00E436F6" w:rsidRDefault="00E436F6" w:rsidP="00E436F6">
      <w:r>
        <w:t>Годовой прирост импорта товаров и услуг (%)</w:t>
      </w:r>
    </w:p>
    <w:p w:rsidR="00E436F6" w:rsidRDefault="00E436F6" w:rsidP="00E436F6">
      <w:r>
        <w:t>Годовой рост ВВП (%)</w:t>
      </w:r>
    </w:p>
    <w:p w:rsidR="00E436F6" w:rsidRDefault="00E436F6" w:rsidP="00E436F6">
      <w:r>
        <w:t>Альтернативный коэффициент пересчета DEC (единая денежная единица за доллар США) (коэффициент)</w:t>
      </w:r>
    </w:p>
    <w:p w:rsidR="00E436F6" w:rsidRDefault="00E436F6" w:rsidP="00E436F6">
      <w:r>
        <w:t>Общая безработица от общей численности рабочей силы (национальная оценка) (%)</w:t>
      </w:r>
    </w:p>
    <w:p w:rsidR="003A325C" w:rsidRDefault="00E436F6" w:rsidP="00E436F6">
      <w:r>
        <w:t>Торговля товарами как доля ВВП (%)</w:t>
      </w:r>
    </w:p>
    <w:p w:rsidR="00004BE3"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00506A91">
        <w:rPr>
          <w:rFonts w:eastAsia="Arial Unicode MS"/>
          <w:b/>
          <w:szCs w:val="24"/>
          <w:bdr w:val="nil"/>
          <w:lang w:eastAsia="ru-RU"/>
        </w:rPr>
        <w:t>. Обновление данных</w:t>
      </w:r>
    </w:p>
    <w:p w:rsidR="00506A91" w:rsidRPr="00506A91" w:rsidRDefault="00506A91" w:rsidP="00506A91">
      <w:pPr>
        <w:rPr>
          <w:rFonts w:eastAsia="Times New Roman"/>
          <w:szCs w:val="21"/>
          <w:lang w:eastAsia="en-GB"/>
        </w:rPr>
      </w:pPr>
      <w:r>
        <w:t>2021-12-20</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506A91" w:rsidRPr="00506A91" w:rsidRDefault="00506A91" w:rsidP="00506A91">
      <w:pPr>
        <w:rPr>
          <w:rFonts w:eastAsia="Times New Roman"/>
          <w:lang w:eastAsia="en-GB"/>
        </w:rPr>
      </w:pPr>
      <w:r w:rsidRPr="00A05DC9">
        <w:t>8.1.1</w:t>
      </w:r>
      <w:r>
        <w:t xml:space="preserve">, </w:t>
      </w:r>
      <w:r w:rsidRPr="00A05DC9">
        <w:t>8.5.2</w:t>
      </w:r>
      <w:r>
        <w:t xml:space="preserve">, </w:t>
      </w:r>
      <w:r w:rsidRPr="00A05DC9">
        <w:t>10.1.1</w:t>
      </w:r>
      <w:r>
        <w:t xml:space="preserve">, </w:t>
      </w:r>
      <w:r w:rsidRPr="00A05DC9">
        <w:t>17.1.1</w:t>
      </w:r>
      <w:r>
        <w:t xml:space="preserve">, </w:t>
      </w:r>
      <w:r w:rsidRPr="00A05DC9">
        <w:t>17.3.1</w:t>
      </w:r>
      <w:r>
        <w:t>,</w:t>
      </w:r>
      <w:r w:rsidRPr="00A05DC9">
        <w:t>17.3.2</w:t>
      </w:r>
      <w:r>
        <w:t>, и</w:t>
      </w:r>
      <w:r w:rsidRPr="00A05DC9">
        <w:t>17.4.1</w:t>
      </w: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506A91" w:rsidRDefault="00506A91" w:rsidP="00506A91">
      <w:pPr>
        <w:rPr>
          <w:bdr w:val="nil"/>
          <w:lang w:eastAsia="ru-RU"/>
        </w:rPr>
      </w:pPr>
      <w:r>
        <w:rPr>
          <w:bdr w:val="nil"/>
          <w:lang w:eastAsia="ru-RU"/>
        </w:rPr>
        <w:t>Всемирный банк</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506A91" w:rsidRPr="00506A91" w:rsidRDefault="00506A91" w:rsidP="00506A91">
      <w:pPr>
        <w:rPr>
          <w:bdr w:val="nil"/>
          <w:lang w:eastAsia="ru-RU"/>
        </w:rPr>
      </w:pPr>
      <w:r>
        <w:rPr>
          <w:bdr w:val="nil"/>
          <w:lang w:eastAsia="ru-RU"/>
        </w:rPr>
        <w:t>Всемирный банк</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506A91" w:rsidRPr="00506A91" w:rsidRDefault="00506A91" w:rsidP="00506A91">
      <w:pPr>
        <w:rPr>
          <w:rStyle w:val="tlid-translation"/>
          <w:szCs w:val="24"/>
        </w:rPr>
      </w:pPr>
      <w:r w:rsidRPr="00506A91">
        <w:rPr>
          <w:rStyle w:val="tlid-translation"/>
          <w:szCs w:val="24"/>
        </w:rPr>
        <w:t>1. Внешний сектор</w:t>
      </w:r>
    </w:p>
    <w:p w:rsidR="00506A91" w:rsidRDefault="00506A91" w:rsidP="00506A91">
      <w:pPr>
        <w:rPr>
          <w:rStyle w:val="tlid-translation"/>
          <w:szCs w:val="24"/>
        </w:rPr>
      </w:pPr>
      <w:r w:rsidRPr="00506A91">
        <w:rPr>
          <w:rStyle w:val="tlid-translation"/>
          <w:szCs w:val="24"/>
        </w:rPr>
        <w:t>Показатели для текущего счета и счета операций с капиталом и финансами включены для мониторинга торговли и платежного баланса каждой страны. Устойчивость платежного баланса зависит как от счета текущих операций, так и от сальдо счета операций с капиталом и финансовых операций, включая валютные резервы.</w:t>
      </w:r>
    </w:p>
    <w:p w:rsidR="00506A91" w:rsidRDefault="00506A91" w:rsidP="00506A91">
      <w:pPr>
        <w:rPr>
          <w:rStyle w:val="tlid-translation"/>
          <w:szCs w:val="24"/>
        </w:rPr>
      </w:pPr>
      <w:r>
        <w:rPr>
          <w:rStyle w:val="tlid-translation"/>
          <w:szCs w:val="24"/>
          <w:u w:val="single"/>
        </w:rPr>
        <w:t>Текущий счет:</w:t>
      </w:r>
      <w:r w:rsidRPr="00506A91">
        <w:rPr>
          <w:rStyle w:val="tlid-translation"/>
          <w:szCs w:val="24"/>
        </w:rPr>
        <w:t xml:space="preserve"> Баланс текущего счета является важным индикатором состояния экономики. Он определяется как сумма баланса ресурсов (экспорт минус импорт товаров и услуг), чистого первичного дохода и вторичного дохода. Кроме того, информационная панель включает в себя такие показатели, как торговля товарами как доля ВВП для мониторинга торговой открытости страны и данные о личных денежных переводах, которые стали важной неотъемлемой частью многих развивающихся экономик, поскольку любые изменения в этих потоках могут иметь серьезное влияние на сальдо счета текущих </w:t>
      </w:r>
      <w:r w:rsidRPr="00506A91">
        <w:rPr>
          <w:rStyle w:val="tlid-translation"/>
          <w:szCs w:val="24"/>
        </w:rPr>
        <w:lastRenderedPageBreak/>
        <w:t>операций развивающихся стран (определяемое как разрыв сбережений и инвестиций в экономике).</w:t>
      </w:r>
    </w:p>
    <w:p w:rsidR="005C19BB" w:rsidRPr="005C19BB" w:rsidRDefault="005C19BB" w:rsidP="005C19BB">
      <w:pPr>
        <w:rPr>
          <w:rStyle w:val="tlid-translation"/>
          <w:szCs w:val="24"/>
        </w:rPr>
      </w:pPr>
      <w:r w:rsidRPr="006202F9">
        <w:rPr>
          <w:rStyle w:val="tlid-translation"/>
          <w:szCs w:val="24"/>
          <w:u w:val="single"/>
        </w:rPr>
        <w:t>Счета операций с капиталом и финансами:</w:t>
      </w:r>
      <w:r w:rsidRPr="005C19BB">
        <w:rPr>
          <w:rStyle w:val="tlid-translation"/>
          <w:szCs w:val="24"/>
        </w:rPr>
        <w:t xml:space="preserve"> данные о потоках капитала и финансовых поток</w:t>
      </w:r>
      <w:r w:rsidR="006202F9">
        <w:rPr>
          <w:rStyle w:val="tlid-translation"/>
          <w:szCs w:val="24"/>
        </w:rPr>
        <w:t>ах</w:t>
      </w:r>
      <w:r w:rsidRPr="005C19BB">
        <w:rPr>
          <w:rStyle w:val="tlid-translation"/>
          <w:szCs w:val="24"/>
        </w:rPr>
        <w:t xml:space="preserve"> являются ключевыми для мониторинга уязвимости перед потрясениями и ограничениями налогово-бюджетной и денежно-кредитной политики. Финансирование дефицита торгового баланса или других текущих диспропорций за счет потоков капитала и финансовых средств является разумным способом добиться выравнивания потребления в странах с формирующейся рыночной экономикой. Собственный капитал ПИИ является предпочтительным методом финансирования дефицита счета текущих операций, поскольку эти потоки не создают долга. Приток портфельных инвестиций измеряет подверженность иностранных инвесторов рынкам облигаций и акций развивающихся стран.</w:t>
      </w:r>
    </w:p>
    <w:p w:rsidR="005C19BB" w:rsidRDefault="005C19BB" w:rsidP="005C19BB">
      <w:pPr>
        <w:rPr>
          <w:rStyle w:val="tlid-translation"/>
          <w:szCs w:val="24"/>
        </w:rPr>
      </w:pPr>
      <w:r w:rsidRPr="005C19BB">
        <w:rPr>
          <w:rStyle w:val="tlid-translation"/>
          <w:szCs w:val="24"/>
        </w:rPr>
        <w:t>Внешняя задолженность влияет на кредитоспособность страны и восприятие ее инвесторами. Страны, не представляющие отчетность, могут иметь непогашенную задолженность перед Всемирным банком, другими международными финансовыми учреждениями или частными кредиторами. Общее обслуживание долга противопоставляется способности стран получать иностранную валюту за счет экспорта товаров, услуг, первичного дохода и личных денежных переводов. Коэффициенты долга используются для оценки устойчивости обязательств страны по обслуживанию долга, но нет абсолютных правил, определяющих, какие значения являются слишком высокими.</w:t>
      </w:r>
    </w:p>
    <w:p w:rsidR="006202F9" w:rsidRPr="006202F9" w:rsidRDefault="006202F9" w:rsidP="006202F9">
      <w:pPr>
        <w:rPr>
          <w:rStyle w:val="tlid-translation"/>
          <w:szCs w:val="24"/>
        </w:rPr>
      </w:pPr>
      <w:r w:rsidRPr="006202F9">
        <w:rPr>
          <w:rStyle w:val="tlid-translation"/>
          <w:szCs w:val="24"/>
          <w:u w:val="single"/>
        </w:rPr>
        <w:t>Обменные курсы:</w:t>
      </w:r>
      <w:r w:rsidRPr="006202F9">
        <w:rPr>
          <w:rStyle w:val="tlid-translation"/>
          <w:szCs w:val="24"/>
        </w:rPr>
        <w:t xml:space="preserve"> резкая девальвация обычно связана со значительным снижением фондовых рынков, потоков капитала и резервов. На приборной панели будут представлены офиц</w:t>
      </w:r>
      <w:r>
        <w:rPr>
          <w:rStyle w:val="tlid-translation"/>
          <w:szCs w:val="24"/>
        </w:rPr>
        <w:t>иальные средние обменные курсы.</w:t>
      </w:r>
    </w:p>
    <w:p w:rsidR="006202F9" w:rsidRPr="006202F9" w:rsidRDefault="006202F9" w:rsidP="006202F9">
      <w:pPr>
        <w:rPr>
          <w:rStyle w:val="tlid-translation"/>
          <w:szCs w:val="24"/>
        </w:rPr>
      </w:pPr>
      <w:r w:rsidRPr="006202F9">
        <w:rPr>
          <w:rStyle w:val="tlid-translation"/>
          <w:szCs w:val="24"/>
        </w:rPr>
        <w:t>(1) Торговля товарами в процентах от ВВП (%)</w:t>
      </w:r>
    </w:p>
    <w:p w:rsidR="006202F9" w:rsidRPr="006202F9" w:rsidRDefault="006202F9" w:rsidP="006202F9">
      <w:pPr>
        <w:rPr>
          <w:rStyle w:val="tlid-translation"/>
          <w:szCs w:val="24"/>
        </w:rPr>
      </w:pPr>
      <w:r w:rsidRPr="006202F9">
        <w:rPr>
          <w:rStyle w:val="tlid-translation"/>
          <w:szCs w:val="24"/>
        </w:rPr>
        <w:t>Этот индикатор используется для измерения торговой открытости страны. Торговля товарами как доля ВВП представляет собой сумму экспорта и импорта тов</w:t>
      </w:r>
      <w:r>
        <w:rPr>
          <w:rStyle w:val="tlid-translation"/>
          <w:szCs w:val="24"/>
        </w:rPr>
        <w:t>аров, деленную на величину ВВП.</w:t>
      </w:r>
    </w:p>
    <w:p w:rsidR="006202F9" w:rsidRPr="006202F9" w:rsidRDefault="006202F9" w:rsidP="006202F9">
      <w:pPr>
        <w:rPr>
          <w:rStyle w:val="tlid-translation"/>
          <w:szCs w:val="24"/>
        </w:rPr>
      </w:pPr>
      <w:r w:rsidRPr="006202F9">
        <w:rPr>
          <w:rStyle w:val="tlid-translation"/>
          <w:szCs w:val="24"/>
        </w:rPr>
        <w:t>(2) Полученные личные денежные переводы в процентах от ВВП (%)</w:t>
      </w:r>
    </w:p>
    <w:p w:rsidR="006202F9" w:rsidRPr="006202F9" w:rsidRDefault="006202F9" w:rsidP="006202F9">
      <w:pPr>
        <w:rPr>
          <w:rStyle w:val="tlid-translation"/>
          <w:szCs w:val="24"/>
        </w:rPr>
      </w:pPr>
      <w:r w:rsidRPr="006202F9">
        <w:rPr>
          <w:rStyle w:val="tlid-translation"/>
          <w:szCs w:val="24"/>
        </w:rPr>
        <w:t>Включают личные трансферты и оплату труда работников, как это определено в шестом издании Руководства по платежному балансу МВФ. Личные трансферты состоят из всех текущих трансфертов наличными или в натуральной форме, сделанных или полученных домохозяйствами-резидентами домохозяйствам-нерезидентам или от них. Таким образом, личные переводы включают все текущие переводы между физическими лицами-резидентами и нерезидентами. Оплата труда работников относится к доходам приграничных, сезонных и других краткосрочных работников, занятых в стране, в которой они не являются резидентами, а также резидентов, нанятых организациями-нерезидентами.</w:t>
      </w:r>
    </w:p>
    <w:p w:rsidR="006202F9" w:rsidRPr="006202F9" w:rsidRDefault="006202F9" w:rsidP="006202F9">
      <w:pPr>
        <w:rPr>
          <w:rStyle w:val="tlid-translation"/>
          <w:szCs w:val="24"/>
        </w:rPr>
      </w:pPr>
      <w:r w:rsidRPr="006202F9">
        <w:rPr>
          <w:rStyle w:val="tlid-translation"/>
          <w:szCs w:val="24"/>
        </w:rPr>
        <w:t>(3) Баланс счета текущих операций как доля ВВП (%)</w:t>
      </w:r>
    </w:p>
    <w:p w:rsidR="006202F9" w:rsidRDefault="006202F9" w:rsidP="006202F9">
      <w:pPr>
        <w:rPr>
          <w:rStyle w:val="tlid-translation"/>
          <w:szCs w:val="24"/>
        </w:rPr>
      </w:pPr>
      <w:r w:rsidRPr="006202F9">
        <w:rPr>
          <w:rStyle w:val="tlid-translation"/>
          <w:szCs w:val="24"/>
        </w:rPr>
        <w:lastRenderedPageBreak/>
        <w:t>Баланс текущего счета представляет собой сумму чистого экспорта товаров и услуг, чистого первичного дохода и чистого вторичного дохода.</w:t>
      </w:r>
    </w:p>
    <w:p w:rsidR="006202F9" w:rsidRPr="006202F9" w:rsidRDefault="006202F9" w:rsidP="006202F9">
      <w:pPr>
        <w:rPr>
          <w:rStyle w:val="tlid-translation"/>
          <w:szCs w:val="24"/>
        </w:rPr>
      </w:pPr>
      <w:r w:rsidRPr="006202F9">
        <w:rPr>
          <w:rStyle w:val="tlid-translation"/>
          <w:szCs w:val="24"/>
        </w:rPr>
        <w:t>(4) Прямые иностранные инвестиции, чистый приток, в процентах от ВВП (%)</w:t>
      </w:r>
    </w:p>
    <w:p w:rsidR="006202F9" w:rsidRPr="006202F9" w:rsidRDefault="006202F9" w:rsidP="006202F9">
      <w:pPr>
        <w:rPr>
          <w:rStyle w:val="tlid-translation"/>
          <w:szCs w:val="24"/>
        </w:rPr>
      </w:pPr>
      <w:r w:rsidRPr="006202F9">
        <w:rPr>
          <w:rStyle w:val="tlid-translation"/>
          <w:szCs w:val="24"/>
        </w:rPr>
        <w:t>Включает в себя чистый приток прямых иностранных инвестиций для приобретения долгосрочной доли управления (10 или более процентов голосующих акций) в предприятии, действующем в стране, отличной от экономики инвестора. ПИИ представляют собой сумму акционерного капитала, реинвестирования прибыли, прочего долгосрочного капитала и краткосрочного капитала, как показано в платежном балансе. Этот ряд показывает чистый приток (приток новых инвестиций за вычетом изъятия инвестиций) в отчетную экономику от иностранных инвесторов и делится на ВВП.</w:t>
      </w:r>
    </w:p>
    <w:p w:rsidR="006202F9" w:rsidRPr="006202F9" w:rsidRDefault="006202F9" w:rsidP="006202F9">
      <w:pPr>
        <w:rPr>
          <w:rStyle w:val="tlid-translation"/>
          <w:szCs w:val="24"/>
        </w:rPr>
      </w:pPr>
      <w:r w:rsidRPr="006202F9">
        <w:rPr>
          <w:rStyle w:val="tlid-translation"/>
          <w:szCs w:val="24"/>
        </w:rPr>
        <w:t>(5) Портфельные инвестиции, нетто (платежный баланс, текущие доллары США)</w:t>
      </w:r>
    </w:p>
    <w:p w:rsidR="006202F9" w:rsidRPr="006202F9" w:rsidRDefault="006202F9" w:rsidP="006202F9">
      <w:pPr>
        <w:rPr>
          <w:rStyle w:val="tlid-translation"/>
          <w:szCs w:val="24"/>
        </w:rPr>
      </w:pPr>
      <w:r w:rsidRPr="006202F9">
        <w:rPr>
          <w:rStyle w:val="tlid-translation"/>
          <w:szCs w:val="24"/>
        </w:rPr>
        <w:t>Портфельные инвестиции охватывают операции с долевыми ценными бумагами и долговыми ценными бумагами. Данные указаны в текущих долларах США.</w:t>
      </w:r>
    </w:p>
    <w:p w:rsidR="006202F9" w:rsidRPr="006202F9" w:rsidRDefault="006202F9" w:rsidP="006202F9">
      <w:pPr>
        <w:rPr>
          <w:rStyle w:val="tlid-translation"/>
          <w:szCs w:val="24"/>
        </w:rPr>
      </w:pPr>
      <w:r w:rsidRPr="006202F9">
        <w:rPr>
          <w:rStyle w:val="tlid-translation"/>
          <w:szCs w:val="24"/>
        </w:rPr>
        <w:t>(6) Общие резервы в месяцах импорта</w:t>
      </w:r>
    </w:p>
    <w:p w:rsidR="006202F9" w:rsidRPr="006202F9" w:rsidRDefault="006202F9" w:rsidP="006202F9">
      <w:pPr>
        <w:rPr>
          <w:rStyle w:val="tlid-translation"/>
          <w:szCs w:val="24"/>
        </w:rPr>
      </w:pPr>
      <w:r w:rsidRPr="006202F9">
        <w:rPr>
          <w:rStyle w:val="tlid-translation"/>
          <w:szCs w:val="24"/>
        </w:rPr>
        <w:t>Общие резервы включают запасы монетарного золота, специальные права заимствования, резервы членов МВФ, принадлежащие МВФ, и запасы иностранной валюты, находящиеся под контролем органов денежно-кредитного регулирования. Золотой компонент этих резервов оценивается в лондонских ценах на конец года (31 декабря). Эта позиция показывает резервы, выраженные в виде количества месяцев импорта товаров и услуг, за которые они могли бы заплатить [Резервы/(Импорт/12)].</w:t>
      </w:r>
    </w:p>
    <w:p w:rsidR="006202F9" w:rsidRPr="006202F9" w:rsidRDefault="006202F9" w:rsidP="006202F9">
      <w:pPr>
        <w:rPr>
          <w:rStyle w:val="tlid-translation"/>
          <w:szCs w:val="24"/>
        </w:rPr>
      </w:pPr>
      <w:r w:rsidRPr="006202F9">
        <w:rPr>
          <w:rStyle w:val="tlid-translation"/>
          <w:szCs w:val="24"/>
        </w:rPr>
        <w:t>(7) Объем внешнего долга в процентах от ВНД (%)</w:t>
      </w:r>
    </w:p>
    <w:p w:rsidR="006202F9" w:rsidRDefault="006202F9" w:rsidP="006202F9">
      <w:pPr>
        <w:rPr>
          <w:rStyle w:val="tlid-translation"/>
          <w:szCs w:val="24"/>
        </w:rPr>
      </w:pPr>
      <w:r w:rsidRPr="006202F9">
        <w:rPr>
          <w:rStyle w:val="tlid-translation"/>
          <w:szCs w:val="24"/>
        </w:rPr>
        <w:t>Общий внешний долг представляет собой задолженность перед нерезидентами, подлежащую погашению в валюте, товарах или услугах. Общий внешний долг представляет собой сумму государственного, гарантированного государством и частного негарантированного долгосрочного долга, использования кредита МВФ и краткосрочного долга. Краткосрочная задолженность включает всю задолженность с первоначальным сроком погашения в один год или менее, а также проценты по просроченной задолженности по долгосрочной задолженности. ВНД (ранее ВНП) представляет собой сумму добавленной стоимости всех производителей-резидентов плюс любые налоги на продукцию (за вычетом субсидий), не включенные в оценку продукции, плюс чистые поступления первичного дохода (оплата труда работникам и доход от собственности) из-за рубежа.</w:t>
      </w:r>
    </w:p>
    <w:p w:rsidR="00B83CE8" w:rsidRPr="00B83CE8" w:rsidRDefault="00B83CE8" w:rsidP="00B83CE8">
      <w:pPr>
        <w:rPr>
          <w:rStyle w:val="tlid-translation"/>
          <w:szCs w:val="24"/>
        </w:rPr>
      </w:pPr>
      <w:r w:rsidRPr="00B83CE8">
        <w:rPr>
          <w:rStyle w:val="tlid-translation"/>
          <w:szCs w:val="24"/>
        </w:rPr>
        <w:t>(8) Обслуживание долга (только PPG и МВФ, % от экспорта товаров, услуг и первичного дохода)</w:t>
      </w:r>
    </w:p>
    <w:p w:rsidR="00B83CE8" w:rsidRPr="00B83CE8" w:rsidRDefault="00B83CE8" w:rsidP="00B83CE8">
      <w:pPr>
        <w:rPr>
          <w:rStyle w:val="tlid-translation"/>
          <w:szCs w:val="24"/>
        </w:rPr>
      </w:pPr>
      <w:r w:rsidRPr="00B83CE8">
        <w:rPr>
          <w:rStyle w:val="tlid-translation"/>
          <w:szCs w:val="24"/>
        </w:rPr>
        <w:t xml:space="preserve">Обслуживание долга представляет собой сумму основных платежей и процентов, фактически выплаченных в валюте, товарах или услугах. Этот ряд отличается от стандартного ряда долга к экспорту. Он охватывает только долгосрочный государственный и гарантированный государством долг и выплаты (выкупы и платежи) </w:t>
      </w:r>
      <w:r w:rsidRPr="00B83CE8">
        <w:rPr>
          <w:rStyle w:val="tlid-translation"/>
          <w:szCs w:val="24"/>
        </w:rPr>
        <w:lastRenderedPageBreak/>
        <w:t>МВФ. Данные по бедным странам с крупной задолженностью (HIPC) взяты из Отчета о ходе реализации Инициативы HIPC.</w:t>
      </w:r>
    </w:p>
    <w:p w:rsidR="00B83CE8" w:rsidRPr="00B83CE8" w:rsidRDefault="00B83CE8" w:rsidP="00B83CE8">
      <w:pPr>
        <w:rPr>
          <w:rStyle w:val="tlid-translation"/>
          <w:szCs w:val="24"/>
        </w:rPr>
      </w:pPr>
      <w:r w:rsidRPr="00B83CE8">
        <w:rPr>
          <w:rStyle w:val="tlid-translation"/>
          <w:szCs w:val="24"/>
        </w:rPr>
        <w:t>(9) Альтернативный переводной коэффициент DEC (единая денежная единица за доллар США)</w:t>
      </w:r>
    </w:p>
    <w:p w:rsidR="00B83CE8" w:rsidRDefault="00B83CE8" w:rsidP="00B83CE8">
      <w:pPr>
        <w:rPr>
          <w:rStyle w:val="tlid-translation"/>
          <w:szCs w:val="24"/>
        </w:rPr>
      </w:pPr>
      <w:r w:rsidRPr="00B83CE8">
        <w:rPr>
          <w:rStyle w:val="tlid-translation"/>
          <w:szCs w:val="24"/>
        </w:rPr>
        <w:t>Альтернативный коэффициент пересчета DEC представляет собой базовый годовой обменный курс, используемый для метода Атласа Всемирного банка. Как правило, это официальный обменный курс, указанный в Международной финансовой статистике МВФ (строка rf). Исключения возникают, когда сотрудники Всемирного банка вносят дополнительные уточнения. Он выражается в единицах местной валюты за доллар США.</w:t>
      </w:r>
    </w:p>
    <w:p w:rsidR="00B83CE8" w:rsidRPr="00B83CE8" w:rsidRDefault="00B83CE8" w:rsidP="00B83CE8">
      <w:pPr>
        <w:rPr>
          <w:rStyle w:val="tlid-translation"/>
          <w:b/>
          <w:szCs w:val="24"/>
        </w:rPr>
      </w:pPr>
      <w:r w:rsidRPr="00B83CE8">
        <w:rPr>
          <w:rStyle w:val="tlid-translation"/>
          <w:b/>
          <w:szCs w:val="24"/>
        </w:rPr>
        <w:t>2. Фискальный сектор</w:t>
      </w:r>
    </w:p>
    <w:p w:rsidR="00B83CE8" w:rsidRPr="00B83CE8" w:rsidRDefault="00B83CE8" w:rsidP="00B83CE8">
      <w:pPr>
        <w:rPr>
          <w:rStyle w:val="tlid-translation"/>
          <w:szCs w:val="24"/>
        </w:rPr>
      </w:pPr>
      <w:r w:rsidRPr="00B83CE8">
        <w:rPr>
          <w:rStyle w:val="tlid-translation"/>
          <w:szCs w:val="24"/>
        </w:rPr>
        <w:t>Для устойчивого экономического роста стране необходима устойчивая фискальная политика. Приборная панель отслеживает государственные доходы, фискальный баланс и государственный долг как долю от ВВП, чтобы информировать о принятии политических решений.</w:t>
      </w:r>
    </w:p>
    <w:p w:rsidR="00B83CE8" w:rsidRPr="00B83CE8" w:rsidRDefault="00B83CE8" w:rsidP="00B83CE8">
      <w:pPr>
        <w:rPr>
          <w:rStyle w:val="tlid-translation"/>
          <w:szCs w:val="24"/>
        </w:rPr>
      </w:pPr>
      <w:r w:rsidRPr="00B83CE8">
        <w:rPr>
          <w:rStyle w:val="tlid-translation"/>
          <w:szCs w:val="24"/>
        </w:rPr>
        <w:t>(1) Налоговые поступления в процентах от ВВП (%)</w:t>
      </w:r>
    </w:p>
    <w:p w:rsidR="00B83CE8" w:rsidRPr="00B83CE8" w:rsidRDefault="00B83CE8" w:rsidP="00B83CE8">
      <w:pPr>
        <w:rPr>
          <w:rStyle w:val="tlid-translation"/>
          <w:szCs w:val="24"/>
        </w:rPr>
      </w:pPr>
      <w:r w:rsidRPr="00B83CE8">
        <w:rPr>
          <w:rStyle w:val="tlid-translation"/>
          <w:szCs w:val="24"/>
        </w:rPr>
        <w:t>Налоговые поступления относятся к обязательным перечислениям центральному правительству на общественные нужды. Исключаются некоторые обязательные трансферты, такие как штрафы, пени и большинство отчислений на социальное страхование. Возвраты и исправления ошибочно собранных налоговых поступлений рассматриваются как отрицательные доходы.</w:t>
      </w:r>
    </w:p>
    <w:p w:rsidR="00B83CE8" w:rsidRPr="00B83CE8" w:rsidRDefault="00B83CE8" w:rsidP="00B83CE8">
      <w:pPr>
        <w:rPr>
          <w:rStyle w:val="tlid-translation"/>
          <w:szCs w:val="24"/>
        </w:rPr>
      </w:pPr>
      <w:r w:rsidRPr="00B83CE8">
        <w:rPr>
          <w:rStyle w:val="tlid-translation"/>
          <w:szCs w:val="24"/>
        </w:rPr>
        <w:t>(2) Профицит/дефицит денежных средств в процентах от ВВП (%)</w:t>
      </w:r>
    </w:p>
    <w:p w:rsidR="00B83CE8" w:rsidRPr="00B83CE8" w:rsidRDefault="00B83CE8" w:rsidP="00B83CE8">
      <w:pPr>
        <w:rPr>
          <w:rStyle w:val="tlid-translation"/>
          <w:szCs w:val="24"/>
        </w:rPr>
      </w:pPr>
      <w:r w:rsidRPr="00B83CE8">
        <w:rPr>
          <w:rStyle w:val="tlid-translation"/>
          <w:szCs w:val="24"/>
        </w:rPr>
        <w:t>Профицит или дефицит денежных средств представляет собой доходы (включая гранты) за вычетом расходов и чистого приобретения нефинансовых активов. В руководстве по СГФ 1986 года нефинансовые активы были включены в состав доходов и расходов в валовом выражении. Этот профицит или дефицит наличности наиболее близок к предыдущему общему балансу бюджета (по-прежнему отсутствует кредитование за вычетом погашения, которое теперь является статьей финансирования в чистом приобретении финансовых активов).</w:t>
      </w:r>
    </w:p>
    <w:p w:rsidR="00B83CE8" w:rsidRPr="00B83CE8" w:rsidRDefault="00B83CE8" w:rsidP="00B83CE8">
      <w:pPr>
        <w:rPr>
          <w:rStyle w:val="tlid-translation"/>
          <w:szCs w:val="24"/>
        </w:rPr>
      </w:pPr>
      <w:r w:rsidRPr="00B83CE8">
        <w:rPr>
          <w:rStyle w:val="tlid-translation"/>
          <w:szCs w:val="24"/>
        </w:rPr>
        <w:t>(3) Валовая PSD, центральное правительство-D2, все сроки погашения, D1+ SDR + валюта и депозиты, номинальная стоимость в процентах от ВВП (%)</w:t>
      </w:r>
    </w:p>
    <w:p w:rsidR="006202F9" w:rsidRDefault="00B83CE8" w:rsidP="00B83CE8">
      <w:pPr>
        <w:rPr>
          <w:rStyle w:val="tlid-translation"/>
          <w:szCs w:val="24"/>
        </w:rPr>
      </w:pPr>
      <w:r w:rsidRPr="00B83CE8">
        <w:rPr>
          <w:rStyle w:val="tlid-translation"/>
          <w:szCs w:val="24"/>
        </w:rPr>
        <w:t>Покрытие инструментов D2 в соответствии с этой классификацией включает (1) долговые ценные бумаги, (2) кредиты, (3) специальные права заимствования и (4) валюту и депозиты в процентах от ВВП.</w:t>
      </w:r>
    </w:p>
    <w:p w:rsidR="00912E6E" w:rsidRPr="00912E6E" w:rsidRDefault="00912E6E" w:rsidP="00912E6E">
      <w:pPr>
        <w:rPr>
          <w:rStyle w:val="tlid-translation"/>
          <w:b/>
          <w:szCs w:val="24"/>
        </w:rPr>
      </w:pPr>
      <w:r w:rsidRPr="00912E6E">
        <w:rPr>
          <w:rStyle w:val="tlid-translation"/>
          <w:b/>
          <w:szCs w:val="24"/>
        </w:rPr>
        <w:t>3. Реальный сектор</w:t>
      </w:r>
    </w:p>
    <w:p w:rsidR="00912E6E" w:rsidRPr="00912E6E" w:rsidRDefault="00912E6E" w:rsidP="00912E6E">
      <w:pPr>
        <w:rPr>
          <w:rStyle w:val="tlid-translation"/>
          <w:szCs w:val="24"/>
        </w:rPr>
      </w:pPr>
      <w:r w:rsidRPr="00912E6E">
        <w:rPr>
          <w:rStyle w:val="tlid-translation"/>
          <w:szCs w:val="24"/>
        </w:rPr>
        <w:t xml:space="preserve">ВВП измеряет общий объем производства товаров и услуг в стране. В течение многих десятилетий это был всеобъемлющий показатель рыночной активности, используемый для самых разных аналитических целей, таких как измерение производительности, </w:t>
      </w:r>
      <w:r w:rsidRPr="00912E6E">
        <w:rPr>
          <w:rStyle w:val="tlid-translation"/>
          <w:szCs w:val="24"/>
        </w:rPr>
        <w:lastRenderedPageBreak/>
        <w:t>проведение денежно-кредитной политики и прогнозирование налоговых поступлений. В этом разделе мы отслеживаем тенденции роста ВВП; Валовое накопление капитала; Экспорт товаров и услуг; Импорт товаров и услуг; Бытовое потребление; государственное потребление; и индекс потребительских цен для отслеживания ценовых тенденций.</w:t>
      </w:r>
    </w:p>
    <w:p w:rsidR="00912E6E" w:rsidRPr="00912E6E" w:rsidRDefault="00912E6E" w:rsidP="00912E6E">
      <w:pPr>
        <w:rPr>
          <w:rStyle w:val="tlid-translation"/>
          <w:szCs w:val="24"/>
        </w:rPr>
      </w:pPr>
      <w:r w:rsidRPr="00912E6E">
        <w:rPr>
          <w:rStyle w:val="tlid-translation"/>
          <w:szCs w:val="24"/>
        </w:rPr>
        <w:t>(1) Годовой рост ВВП (%)</w:t>
      </w:r>
    </w:p>
    <w:p w:rsidR="00912E6E" w:rsidRPr="00912E6E" w:rsidRDefault="00912E6E" w:rsidP="00912E6E">
      <w:pPr>
        <w:rPr>
          <w:rStyle w:val="tlid-translation"/>
          <w:szCs w:val="24"/>
        </w:rPr>
      </w:pPr>
      <w:r w:rsidRPr="00912E6E">
        <w:rPr>
          <w:rStyle w:val="tlid-translation"/>
          <w:szCs w:val="24"/>
        </w:rPr>
        <w:t>ВВП представляет собой сумму валовой добавленной стоимости всех производителей-резидентов в экономике плюс любые налоги на продукты и минус любые субсидии, не включенные в стоимость продуктов. Он рассчитывается без вычетов на амортизацию произведенных активов или истощение и деградацию природных ресурсов.</w:t>
      </w:r>
    </w:p>
    <w:p w:rsidR="00912E6E" w:rsidRPr="00912E6E" w:rsidRDefault="00912E6E" w:rsidP="00912E6E">
      <w:pPr>
        <w:rPr>
          <w:rStyle w:val="tlid-translation"/>
          <w:szCs w:val="24"/>
        </w:rPr>
      </w:pPr>
      <w:r w:rsidRPr="00912E6E">
        <w:rPr>
          <w:rStyle w:val="tlid-translation"/>
          <w:szCs w:val="24"/>
        </w:rPr>
        <w:t>(2) Ежегодный рост валового накопления капитала (%)</w:t>
      </w:r>
    </w:p>
    <w:p w:rsidR="00912E6E" w:rsidRDefault="00912E6E" w:rsidP="00912E6E">
      <w:pPr>
        <w:rPr>
          <w:rStyle w:val="tlid-translation"/>
          <w:szCs w:val="24"/>
        </w:rPr>
      </w:pPr>
      <w:r w:rsidRPr="00912E6E">
        <w:rPr>
          <w:rStyle w:val="tlid-translation"/>
          <w:szCs w:val="24"/>
        </w:rPr>
        <w:t>Валовое накопление капитала (ранее валовые внутренние инвестиции) состоит из затрат на добавление основных фондов экономики плюс чистые изменения уровня товарно-материальных запасов. К основным средствам относятся жилые дома, другие здания и сооружения (включая благоустройство территории), машины и оборудование, системы вооружения, культивируемые биологические ресурсы и продукты интеллектуальной собственности (НИОКР, разведка полезных ископаемых, программное обеспечение и т. д.). Запасы - это запасы товаров, хранящиеся у фирм для покрытия временных или неожиданных колебаний производства или продаж, а также «незавершенного производства». Согласно СНС 2008 года, чистое приобретение ценностей также считается накоплением капитала.</w:t>
      </w:r>
    </w:p>
    <w:p w:rsidR="00130C80" w:rsidRPr="00130C80" w:rsidRDefault="00130C80" w:rsidP="00130C80">
      <w:pPr>
        <w:rPr>
          <w:rStyle w:val="tlid-translation"/>
          <w:szCs w:val="24"/>
        </w:rPr>
      </w:pPr>
      <w:r w:rsidRPr="00130C80">
        <w:rPr>
          <w:rStyle w:val="tlid-translation"/>
          <w:szCs w:val="24"/>
        </w:rPr>
        <w:t>(3) Ежегодный рост расходов на конечное потребление домохозяйств и НКОДХ (%)</w:t>
      </w:r>
    </w:p>
    <w:p w:rsidR="00130C80" w:rsidRPr="00130C80" w:rsidRDefault="00130C80" w:rsidP="00130C80">
      <w:pPr>
        <w:rPr>
          <w:rStyle w:val="tlid-translation"/>
          <w:szCs w:val="24"/>
        </w:rPr>
      </w:pPr>
      <w:r w:rsidRPr="00130C80">
        <w:rPr>
          <w:rStyle w:val="tlid-translation"/>
          <w:szCs w:val="24"/>
        </w:rPr>
        <w:t>Расходы на конечное потребление домохозяйств (ранее</w:t>
      </w:r>
      <w:r>
        <w:rPr>
          <w:rStyle w:val="tlid-translation"/>
          <w:szCs w:val="24"/>
        </w:rPr>
        <w:t xml:space="preserve"> -</w:t>
      </w:r>
      <w:r w:rsidRPr="00130C80">
        <w:rPr>
          <w:rStyle w:val="tlid-translation"/>
          <w:szCs w:val="24"/>
        </w:rPr>
        <w:t xml:space="preserve"> частное потребление) — это рыночная стоимость всех товаров и услуг, включая товары длительного пользования (такие как автомобили, стиральные машины и домашние компьютеры), приобретаемые домохозяйствами. Он не включает покупку жилья, но включает вмененную арендную плату за жилье, занимаемое собственником. Он также включает платежи и сборы правительствам за получение разрешений и лицензий. В WDI потребительские расходы домохозяйств включают расходы некоммерческих организаций, обслуживающих домохозяйства, даже если страна сообщает об этом отдельно.</w:t>
      </w:r>
    </w:p>
    <w:p w:rsidR="00130C80" w:rsidRPr="00130C80" w:rsidRDefault="00130C80" w:rsidP="00130C80">
      <w:pPr>
        <w:rPr>
          <w:rStyle w:val="tlid-translation"/>
          <w:szCs w:val="24"/>
        </w:rPr>
      </w:pPr>
      <w:r w:rsidRPr="00130C80">
        <w:rPr>
          <w:rStyle w:val="tlid-translation"/>
          <w:szCs w:val="24"/>
        </w:rPr>
        <w:t>(4) Годовой рост расходов на конечное потребление сектора государственного управления (%)</w:t>
      </w:r>
    </w:p>
    <w:p w:rsidR="00130C80" w:rsidRPr="00130C80" w:rsidRDefault="00130C80" w:rsidP="00130C80">
      <w:pPr>
        <w:rPr>
          <w:rStyle w:val="tlid-translation"/>
          <w:szCs w:val="24"/>
        </w:rPr>
      </w:pPr>
      <w:r w:rsidRPr="00130C80">
        <w:rPr>
          <w:rStyle w:val="tlid-translation"/>
          <w:szCs w:val="24"/>
        </w:rPr>
        <w:t>Расходы на конечное потребление сектора государственного управления (ранее потребление сектора государственного управления) включают все текущие расходы правительства на приобретение товаров и услуг (включая оплату труда работников и потребление основного капитала).</w:t>
      </w:r>
    </w:p>
    <w:p w:rsidR="00130C80" w:rsidRPr="00130C80" w:rsidRDefault="00130C80" w:rsidP="00130C80">
      <w:pPr>
        <w:rPr>
          <w:rStyle w:val="tlid-translation"/>
          <w:szCs w:val="24"/>
        </w:rPr>
      </w:pPr>
      <w:r w:rsidRPr="00130C80">
        <w:rPr>
          <w:rStyle w:val="tlid-translation"/>
          <w:szCs w:val="24"/>
        </w:rPr>
        <w:t>(5) Годовой рост экспорта товаров и услуг (%)</w:t>
      </w:r>
    </w:p>
    <w:p w:rsidR="00B83CE8" w:rsidRDefault="00130C80" w:rsidP="00130C80">
      <w:pPr>
        <w:rPr>
          <w:rStyle w:val="tlid-translation"/>
          <w:szCs w:val="24"/>
        </w:rPr>
      </w:pPr>
      <w:r w:rsidRPr="00130C80">
        <w:rPr>
          <w:rStyle w:val="tlid-translation"/>
          <w:szCs w:val="24"/>
        </w:rPr>
        <w:t xml:space="preserve">Экспорт товаров и услуг представляет собой стоимость всех товаров и других рыночных услуг, предоставляемых остальному миру. Они включают стоимость товаров, фрахт, </w:t>
      </w:r>
      <w:r w:rsidRPr="00130C80">
        <w:rPr>
          <w:rStyle w:val="tlid-translation"/>
          <w:szCs w:val="24"/>
        </w:rPr>
        <w:lastRenderedPageBreak/>
        <w:t>страхование, транспорт, поездки, роялти, лицензионные сборы и другие услуги, такие как связь, строительство, финансовые, информационные, деловые, личные и государственные услуги.</w:t>
      </w:r>
    </w:p>
    <w:p w:rsidR="006A07D5" w:rsidRPr="006A07D5" w:rsidRDefault="006A07D5" w:rsidP="006A07D5">
      <w:pPr>
        <w:rPr>
          <w:rStyle w:val="tlid-translation"/>
          <w:szCs w:val="24"/>
        </w:rPr>
      </w:pPr>
      <w:r w:rsidRPr="006A07D5">
        <w:rPr>
          <w:rStyle w:val="tlid-translation"/>
          <w:szCs w:val="24"/>
        </w:rPr>
        <w:t>(6) Годовой рост импорта товаров и услуг (%)</w:t>
      </w:r>
    </w:p>
    <w:p w:rsidR="006A07D5" w:rsidRPr="006A07D5" w:rsidRDefault="006A07D5" w:rsidP="006A07D5">
      <w:pPr>
        <w:rPr>
          <w:rStyle w:val="tlid-translation"/>
          <w:szCs w:val="24"/>
        </w:rPr>
      </w:pPr>
      <w:r w:rsidRPr="006A07D5">
        <w:rPr>
          <w:rStyle w:val="tlid-translation"/>
          <w:szCs w:val="24"/>
        </w:rPr>
        <w:t>Импорт товаров и услуг представляет собой стоимость всех товаров и других рыночных услуг, полученных от остального мира. Они включают стоимость товаров, фрахт, страхование, транспорт, поездки, роялти, лицензионные сборы и другие услуги, такие как связь, строительство, финансовые, информационные, деловые, личные и государственные услуги.</w:t>
      </w:r>
    </w:p>
    <w:p w:rsidR="006A07D5" w:rsidRPr="006A07D5" w:rsidRDefault="006A07D5" w:rsidP="006A07D5">
      <w:pPr>
        <w:rPr>
          <w:rStyle w:val="tlid-translation"/>
          <w:szCs w:val="24"/>
        </w:rPr>
      </w:pPr>
      <w:r w:rsidRPr="006A07D5">
        <w:rPr>
          <w:rStyle w:val="tlid-translation"/>
          <w:szCs w:val="24"/>
        </w:rPr>
        <w:t>(7) Годовая инфляция, потребительские цены (%)</w:t>
      </w:r>
    </w:p>
    <w:p w:rsidR="00130C80" w:rsidRDefault="006A07D5" w:rsidP="006A07D5">
      <w:pPr>
        <w:rPr>
          <w:rStyle w:val="tlid-translation"/>
          <w:szCs w:val="24"/>
        </w:rPr>
      </w:pPr>
      <w:r w:rsidRPr="006A07D5">
        <w:rPr>
          <w:rStyle w:val="tlid-translation"/>
          <w:szCs w:val="24"/>
        </w:rPr>
        <w:t>Индекс потребительских цен отражает изменения в стоимости приобретения корзины товаров и услуг для среднего потребителя, которые могут быть фиксированными или меняться через определенные промежутки времени, например</w:t>
      </w:r>
      <w:r>
        <w:rPr>
          <w:rStyle w:val="tlid-translation"/>
          <w:szCs w:val="24"/>
        </w:rPr>
        <w:t>,</w:t>
      </w:r>
      <w:r w:rsidRPr="006A07D5">
        <w:rPr>
          <w:rStyle w:val="tlid-translation"/>
          <w:szCs w:val="24"/>
        </w:rPr>
        <w:t xml:space="preserve"> ежегодно. Обычно используется формула Ласпейреса. Данные являются средними за период.</w:t>
      </w:r>
    </w:p>
    <w:p w:rsidR="00912E6E" w:rsidRPr="00912E6E" w:rsidRDefault="00912E6E" w:rsidP="00912E6E">
      <w:pPr>
        <w:rPr>
          <w:rStyle w:val="tlid-translation"/>
          <w:b/>
          <w:szCs w:val="24"/>
        </w:rPr>
      </w:pPr>
      <w:r w:rsidRPr="00912E6E">
        <w:rPr>
          <w:rStyle w:val="tlid-translation"/>
          <w:b/>
          <w:szCs w:val="24"/>
        </w:rPr>
        <w:t>4. Финансовый сектор</w:t>
      </w:r>
    </w:p>
    <w:p w:rsidR="00912E6E" w:rsidRPr="00912E6E" w:rsidRDefault="00912E6E" w:rsidP="00912E6E">
      <w:pPr>
        <w:rPr>
          <w:rStyle w:val="tlid-translation"/>
          <w:szCs w:val="24"/>
        </w:rPr>
      </w:pPr>
      <w:r w:rsidRPr="00912E6E">
        <w:rPr>
          <w:rStyle w:val="tlid-translation"/>
          <w:szCs w:val="24"/>
        </w:rPr>
        <w:t>Показатели финансового сектора необходимы для измерения стабильности финансового рынка и экономической стабильности страны. Более сильные финансовые институты играют важную роль в экономических показателях страны. Сила этих институтов измеряется следующими показателями.</w:t>
      </w:r>
    </w:p>
    <w:p w:rsidR="00912E6E" w:rsidRPr="00912E6E" w:rsidRDefault="00912E6E" w:rsidP="00912E6E">
      <w:pPr>
        <w:rPr>
          <w:rStyle w:val="tlid-translation"/>
          <w:szCs w:val="24"/>
        </w:rPr>
      </w:pPr>
      <w:r w:rsidRPr="00912E6E">
        <w:rPr>
          <w:rStyle w:val="tlid-translation"/>
          <w:szCs w:val="24"/>
        </w:rPr>
        <w:t>(1) Отношение капитала банка к активам (%)</w:t>
      </w:r>
    </w:p>
    <w:p w:rsidR="00912E6E" w:rsidRPr="00912E6E" w:rsidRDefault="00912E6E" w:rsidP="00912E6E">
      <w:pPr>
        <w:rPr>
          <w:rStyle w:val="tlid-translation"/>
          <w:szCs w:val="24"/>
        </w:rPr>
      </w:pPr>
      <w:r w:rsidRPr="00912E6E">
        <w:rPr>
          <w:rStyle w:val="tlid-translation"/>
          <w:szCs w:val="24"/>
        </w:rPr>
        <w:t>Банковский капитал к активам – это отношение банковского капитала и резервов к совокупным активам. Капитал и резервы включают в себя средства, внесенные владельцами, нераспределенную прибыль, общие и специальные резервы, резервы и оценочные корректировки. Капитал состоит из капитала первого уровня (оплаченные акции и обыкновенные акции), который является общей характеристикой банковских систем всех стран, и общего регулятивного капитала, который включает в себя несколько определенных типов субординированных долговых инструментов, которые не нужно погашать, если средства необходимы для поддержания минимального уровня капитала (включая капитал 2-го и 3-го уровней). Общие активы включают все нефинансовые и финансовые активы.</w:t>
      </w:r>
    </w:p>
    <w:p w:rsidR="00912E6E" w:rsidRPr="00912E6E" w:rsidRDefault="00912E6E" w:rsidP="00912E6E">
      <w:pPr>
        <w:rPr>
          <w:rStyle w:val="tlid-translation"/>
          <w:szCs w:val="24"/>
        </w:rPr>
      </w:pPr>
      <w:r w:rsidRPr="00912E6E">
        <w:rPr>
          <w:rStyle w:val="tlid-translation"/>
          <w:szCs w:val="24"/>
        </w:rPr>
        <w:t xml:space="preserve">(2) </w:t>
      </w:r>
      <w:r w:rsidR="00A95ACB" w:rsidRPr="004E4D1F">
        <w:rPr>
          <w:rStyle w:val="tlid-translation"/>
          <w:szCs w:val="24"/>
        </w:rPr>
        <w:t>Банковские необслуживаемые кредиты к общей сумме кредитов(%)</w:t>
      </w:r>
    </w:p>
    <w:p w:rsidR="00912E6E" w:rsidRPr="00912E6E" w:rsidRDefault="00912E6E" w:rsidP="00912E6E">
      <w:pPr>
        <w:rPr>
          <w:rStyle w:val="tlid-translation"/>
          <w:szCs w:val="24"/>
        </w:rPr>
      </w:pPr>
      <w:r w:rsidRPr="00912E6E">
        <w:rPr>
          <w:rStyle w:val="tlid-translation"/>
          <w:szCs w:val="24"/>
        </w:rPr>
        <w:t xml:space="preserve">Отношение </w:t>
      </w:r>
      <w:r w:rsidR="00A95ACB">
        <w:rPr>
          <w:rStyle w:val="tlid-translation"/>
          <w:szCs w:val="24"/>
        </w:rPr>
        <w:t>необслуживаемы</w:t>
      </w:r>
      <w:r w:rsidRPr="00912E6E">
        <w:rPr>
          <w:rStyle w:val="tlid-translation"/>
          <w:szCs w:val="24"/>
        </w:rPr>
        <w:t xml:space="preserve">х кредитов банков к общей сумме валовых кредитов представляет собой стоимость </w:t>
      </w:r>
      <w:r w:rsidR="00AB7C85" w:rsidRPr="00AB7C85">
        <w:rPr>
          <w:szCs w:val="24"/>
        </w:rPr>
        <w:t>необслуживаемых</w:t>
      </w:r>
      <w:r w:rsidRPr="00912E6E">
        <w:rPr>
          <w:rStyle w:val="tlid-translation"/>
          <w:szCs w:val="24"/>
        </w:rPr>
        <w:t xml:space="preserve"> кредитов, деленную на общую стоимость кредитного портфеля (включая </w:t>
      </w:r>
      <w:r w:rsidR="00A95ACB">
        <w:rPr>
          <w:rStyle w:val="tlid-translation"/>
          <w:szCs w:val="24"/>
        </w:rPr>
        <w:t>необслуживаемы</w:t>
      </w:r>
      <w:r w:rsidRPr="00912E6E">
        <w:rPr>
          <w:rStyle w:val="tlid-translation"/>
          <w:szCs w:val="24"/>
        </w:rPr>
        <w:t>е кредиты до вычета конкретных резервов на возможные потери по ссудам). Сумма кредита, признанная недействующей, должна представлять собой валовую стоимость кредита, отраженную в балансовом отчете, а не только просроченную сумму.</w:t>
      </w:r>
    </w:p>
    <w:p w:rsidR="00912E6E" w:rsidRPr="00912E6E" w:rsidRDefault="00912E6E" w:rsidP="00912E6E">
      <w:pPr>
        <w:rPr>
          <w:rStyle w:val="tlid-translation"/>
          <w:szCs w:val="24"/>
        </w:rPr>
      </w:pPr>
      <w:r w:rsidRPr="00912E6E">
        <w:rPr>
          <w:rStyle w:val="tlid-translation"/>
          <w:szCs w:val="24"/>
        </w:rPr>
        <w:lastRenderedPageBreak/>
        <w:t>(3) Ежегодный рост широкой денежной массы (%)</w:t>
      </w:r>
    </w:p>
    <w:p w:rsidR="00912E6E" w:rsidRPr="00912E6E" w:rsidRDefault="00912E6E" w:rsidP="00912E6E">
      <w:pPr>
        <w:rPr>
          <w:rStyle w:val="tlid-translation"/>
          <w:szCs w:val="24"/>
        </w:rPr>
      </w:pPr>
      <w:r w:rsidRPr="00912E6E">
        <w:rPr>
          <w:rStyle w:val="tlid-translation"/>
          <w:szCs w:val="24"/>
        </w:rPr>
        <w:t>Широкие деньги — это сумма валюты вне банков; депозиты до востребования, кроме депозитов центрального правительства; время, сбережения и депозиты в иностранной валюте секторов-резидентов, кроме центрального правительства; банковские и дорожные чеки; и другие ценные бумаги, такие как депозитные сертификаты и коммерческие бумаги.</w:t>
      </w:r>
    </w:p>
    <w:p w:rsidR="00912E6E" w:rsidRPr="00912E6E" w:rsidRDefault="00912E6E" w:rsidP="00912E6E">
      <w:pPr>
        <w:rPr>
          <w:rStyle w:val="tlid-translation"/>
          <w:szCs w:val="24"/>
        </w:rPr>
      </w:pPr>
      <w:r w:rsidRPr="00912E6E">
        <w:rPr>
          <w:rStyle w:val="tlid-translation"/>
          <w:szCs w:val="24"/>
        </w:rPr>
        <w:t>(4) Отношение широкой денежной массы к общим резервам</w:t>
      </w:r>
    </w:p>
    <w:p w:rsidR="00912E6E" w:rsidRDefault="00912E6E" w:rsidP="00912E6E">
      <w:pPr>
        <w:rPr>
          <w:rStyle w:val="tlid-translation"/>
          <w:szCs w:val="24"/>
        </w:rPr>
      </w:pPr>
      <w:r w:rsidRPr="00912E6E">
        <w:rPr>
          <w:rStyle w:val="tlid-translation"/>
          <w:szCs w:val="24"/>
        </w:rPr>
        <w:t>Широкая денежная масса (строка ИФС 35Л.. ЗК) - сумма денег вне банков; депозиты до востребования, кроме депозитов центрального правительства; время, сбережения и депозиты в иностранной валюте секторов-резидентов, кроме центрального правительства; банковские и дорожные чеки; и другие ценные бумаги, такие как депозитные сертификаты и коммерческие бумаги.</w:t>
      </w:r>
    </w:p>
    <w:p w:rsidR="00AB7C85" w:rsidRPr="00AB7C85" w:rsidRDefault="00AB7C85" w:rsidP="00AB7C85">
      <w:pPr>
        <w:rPr>
          <w:rStyle w:val="tlid-translation"/>
          <w:b/>
          <w:szCs w:val="24"/>
        </w:rPr>
      </w:pPr>
      <w:r w:rsidRPr="00AB7C85">
        <w:rPr>
          <w:rStyle w:val="tlid-translation"/>
          <w:b/>
          <w:szCs w:val="24"/>
        </w:rPr>
        <w:t>5. Безработица</w:t>
      </w:r>
    </w:p>
    <w:p w:rsidR="00AB7C85" w:rsidRPr="00AB7C85" w:rsidRDefault="00AB7C85" w:rsidP="00AB7C85">
      <w:pPr>
        <w:rPr>
          <w:rStyle w:val="tlid-translation"/>
          <w:szCs w:val="24"/>
        </w:rPr>
      </w:pPr>
      <w:r w:rsidRPr="00AB7C85">
        <w:rPr>
          <w:rStyle w:val="tlid-translation"/>
          <w:szCs w:val="24"/>
        </w:rPr>
        <w:t>Тенденции данных об уровне безработицы являются жизненно важным индикатором для анализа долгосрочного экономического развития страны (ЦУР 8.5.2). Более сильный и устойчивый экономический рост часто приводит к снижению уровня безработицы.</w:t>
      </w:r>
    </w:p>
    <w:p w:rsidR="00AB7C85" w:rsidRPr="00AB7C85" w:rsidRDefault="00AB7C85" w:rsidP="00AB7C85">
      <w:pPr>
        <w:rPr>
          <w:rStyle w:val="tlid-translation"/>
          <w:szCs w:val="24"/>
        </w:rPr>
      </w:pPr>
      <w:r w:rsidRPr="00AB7C85">
        <w:rPr>
          <w:rStyle w:val="tlid-translation"/>
          <w:szCs w:val="24"/>
        </w:rPr>
        <w:t>Общая безработица от общей численности рабочей силы (национальная оценка) (%)</w:t>
      </w:r>
    </w:p>
    <w:p w:rsidR="00AB7C85" w:rsidRDefault="00AB7C85" w:rsidP="00AB7C85">
      <w:pPr>
        <w:rPr>
          <w:rStyle w:val="tlid-translation"/>
          <w:szCs w:val="24"/>
        </w:rPr>
      </w:pPr>
      <w:r w:rsidRPr="00AB7C85">
        <w:rPr>
          <w:rStyle w:val="tlid-translation"/>
          <w:szCs w:val="24"/>
        </w:rPr>
        <w:t>Безработица относится к доле рабочей силы, которая не имеет работы, но доступна и ищет работу. Определения рабочей силы и безработицы различаются в зависимости от страны.</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AB7C85" w:rsidRPr="00AB7C85" w:rsidRDefault="00AB7C85" w:rsidP="00AB7C85">
      <w:r w:rsidRPr="00AB7C85">
        <w:t>Проценты, кроме этих:</w:t>
      </w:r>
    </w:p>
    <w:p w:rsidR="00AB7C85" w:rsidRPr="00AB7C85" w:rsidRDefault="00AB7C85" w:rsidP="00AB7C85">
      <w:r w:rsidRPr="00AB7C85">
        <w:t>• Портфельные инвестиции, нетто (платежный баланс, текущие доллары США)</w:t>
      </w:r>
    </w:p>
    <w:p w:rsidR="00AB7C85" w:rsidRPr="00AB7C85" w:rsidRDefault="00AB7C85" w:rsidP="00AB7C85">
      <w:r w:rsidRPr="00AB7C85">
        <w:t>• Общие резервы в месяцах импорта (коэффициент)</w:t>
      </w:r>
    </w:p>
    <w:p w:rsidR="00AB7C85" w:rsidRPr="00AB7C85" w:rsidRDefault="00AB7C85" w:rsidP="00AB7C85">
      <w:r w:rsidRPr="00AB7C85">
        <w:t>• Отношение широкой денежной массы к совокупным резервам (коэффициент)</w:t>
      </w:r>
    </w:p>
    <w:p w:rsidR="00407E4E" w:rsidRPr="00BD29EC" w:rsidRDefault="00AB7C85" w:rsidP="00AB7C85">
      <w:r w:rsidRPr="00AB7C85">
        <w:t>• Альтернативный коэффициент пересчета DEC (единая денежная единица за доллар США) (коэффициент)</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AB7C85" w:rsidRDefault="00AB7C85" w:rsidP="00AB7C85">
      <w:r w:rsidRPr="00AB7C85">
        <w:t>Руководство МВФ по платежному балансу 6 для внешнего сектора:</w:t>
      </w:r>
    </w:p>
    <w:p w:rsidR="00AB7C85" w:rsidRDefault="00172B45" w:rsidP="00AB7C85">
      <w:hyperlink r:id="rId8" w:history="1">
        <w:r w:rsidR="00AB7C85" w:rsidRPr="00747BA8">
          <w:rPr>
            <w:rStyle w:val="ac"/>
          </w:rPr>
          <w:t>https://www.imf.org/external/pubs/ft/bop/2007/pdf/bpm6.pdf</w:t>
        </w:r>
      </w:hyperlink>
    </w:p>
    <w:p w:rsidR="00AB7C85" w:rsidRDefault="00AB7C85" w:rsidP="00AB7C85">
      <w:r w:rsidRPr="00AB7C85">
        <w:t>Международная финансовая статистика МВФ для финансового сектора</w:t>
      </w:r>
      <w:r>
        <w:t xml:space="preserve">: </w:t>
      </w:r>
    </w:p>
    <w:p w:rsidR="00AB7C85" w:rsidRDefault="00172B45" w:rsidP="00AB7C85">
      <w:hyperlink r:id="rId9" w:history="1">
        <w:r w:rsidR="00AB7C85" w:rsidRPr="00747BA8">
          <w:rPr>
            <w:rStyle w:val="ac"/>
          </w:rPr>
          <w:t>http://data.imf.org/?sk=4C514D48-B6BA-49ED-8AB9-52B0C1A0179B&amp;sId=1537997141415</w:t>
        </w:r>
      </w:hyperlink>
    </w:p>
    <w:p w:rsidR="00AB7C85" w:rsidRDefault="00AB7C85" w:rsidP="00AB7C85"/>
    <w:p w:rsidR="00AB7C85" w:rsidRDefault="00AB7C85" w:rsidP="00AB7C85">
      <w:r w:rsidRPr="00AB7C85">
        <w:lastRenderedPageBreak/>
        <w:t>Государственная финансовая статистика МВФ для бюджетно-налогового сектора</w:t>
      </w:r>
      <w:r>
        <w:t xml:space="preserve">: </w:t>
      </w:r>
    </w:p>
    <w:p w:rsidR="00AB7C85" w:rsidRDefault="00172B45" w:rsidP="00AB7C85">
      <w:hyperlink r:id="rId10" w:history="1">
        <w:r w:rsidR="00AB7C85" w:rsidRPr="00747BA8">
          <w:rPr>
            <w:rStyle w:val="ac"/>
          </w:rPr>
          <w:t>https://www.imf.org/external/pubs/ft/gfs/manual/gfs.htm</w:t>
        </w:r>
      </w:hyperlink>
    </w:p>
    <w:p w:rsidR="00AB7C85" w:rsidRDefault="00AB7C85" w:rsidP="00AB7C85">
      <w:r w:rsidRPr="00AB7C85">
        <w:t>Система национальных счетов реального сектора</w:t>
      </w:r>
      <w:r>
        <w:t xml:space="preserve">: </w:t>
      </w:r>
    </w:p>
    <w:p w:rsidR="00AB7C85" w:rsidRDefault="00172B45" w:rsidP="00AB7C85">
      <w:hyperlink r:id="rId11" w:history="1">
        <w:r w:rsidR="00AB7C85" w:rsidRPr="00747BA8">
          <w:rPr>
            <w:rStyle w:val="ac"/>
          </w:rPr>
          <w:t>https://unstats.un.org/unsd/nationalaccount/sna.asp</w:t>
        </w:r>
      </w:hyperlink>
    </w:p>
    <w:p w:rsidR="000A229E" w:rsidRPr="00AB7C85" w:rsidRDefault="000A229E" w:rsidP="0075371E">
      <w:pPr>
        <w:pStyle w:val="MText"/>
        <w:rPr>
          <w:color w:val="auto"/>
          <w:sz w:val="24"/>
          <w:szCs w:val="24"/>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AB7C85" w:rsidRPr="00BD29EC" w:rsidRDefault="00AB7C85" w:rsidP="00AB7C85">
      <w:r w:rsidRPr="00AB7C85">
        <w:t xml:space="preserve">Источником данных являются </w:t>
      </w:r>
      <w:r>
        <w:t xml:space="preserve">показатели </w:t>
      </w:r>
      <w:r w:rsidRPr="00AB7C85">
        <w:t>мирового развития (http://wdi.worldbank.org/) — подборка данных о развитии от стран и международных агентств, охватывающая 1400 показателей временного ряда для 217 стран по многим показателям за 60 лет.</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B00C1E" w:rsidRPr="00BD29EC" w:rsidRDefault="00B00C1E" w:rsidP="00B00C1E">
      <w:r w:rsidRPr="00B00C1E">
        <w:t>Данные и соответствующая информация собираются из источников данных, перечисленных выше.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B00C1E" w:rsidRPr="00BD29EC" w:rsidRDefault="00B00C1E" w:rsidP="00B00C1E">
      <w:r w:rsidRPr="00B00C1E">
        <w:t>Идущий процесс</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B00C1E" w:rsidRPr="00BD29EC" w:rsidRDefault="00B00C1E" w:rsidP="00B00C1E">
      <w:r w:rsidRPr="00B00C1E">
        <w:t>Каждый июль и декабрь. Однако данные могут обновляться, когда страны пересматривают свои экономические данные ежемесячно или ежеквартально, меняют методологию или охват или вводят новые веса.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B00C1E" w:rsidRPr="00A71EC6" w:rsidRDefault="00B00C1E" w:rsidP="00B00C1E">
      <w:r w:rsidRPr="00B00C1E">
        <w:t>Международная организация труда (МОТ), Международный валютный фонд (МВФ), Организация экономического сотрудничества и развития (ОЭСР), Всемирный банк и Всемирная торговая организация (ВТО)</w:t>
      </w:r>
      <w:r>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B00C1E" w:rsidRPr="00BD29EC" w:rsidRDefault="00B00C1E" w:rsidP="00B00C1E">
      <w:r>
        <w:t>Всемирный банк.</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B00C1E" w:rsidP="00B00C1E">
      <w:r>
        <w:t>Не применимо.</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B00C1E" w:rsidP="00B00C1E">
      <w:r w:rsidRPr="00B00C1E">
        <w:t xml:space="preserve">Чтобы предоставить стандартизированный инструмент для мониторинга макроэкономической стабильности стран, Всемирный банк разработал панель макроэкономических показателей, включающую важные макроэкономические показатели, охватывающие внешний, финансовый, фискальный и реальный секторы. Выбор </w:t>
      </w:r>
      <w:r w:rsidRPr="00B00C1E">
        <w:lastRenderedPageBreak/>
        <w:t>индикатора основан на существующих схемах макроэкономического мониторинга, разработанных и используемых международными и региональными агентствами, такими как МВФ, ВБ, ЕЦБ и ОЭСР.</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B00C1E" w:rsidRPr="00BD29EC" w:rsidRDefault="00B00C1E" w:rsidP="00B00C1E">
      <w:r w:rsidRPr="00B00C1E">
        <w:t>Методологии для выбранных индикаторов соответствуют давно установленным международным стандартам, как указано в 2. c. Например, национальные статистические управления составляют данные о реальном секторе в соответствии с Системой национальных счетов 1993/2008 гг. Аналогичным образом, центральные банки и министерства финансов собирают балансовые платежи в соответствии с Руководством по платежному балансу МВФ, финансовые показатели в соответствии с Международной финансовой статистикой МВФ, и фискальные показатели в соответствии со статистикой государственных финансов МВФ. Однако реализация на национальном уровне может различаться. Для получения дополнительной информации об отдельных показателях посетите страницу «Показатели мирового развития» (WDI) по адресу https://databank.worldbank.org/source/world-development-indicators.</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B00C1E" w:rsidRDefault="00B00C1E" w:rsidP="00A71EC6">
      <w:pPr>
        <w:pStyle w:val="MHeader2"/>
        <w:pBdr>
          <w:bottom w:val="single" w:sz="12" w:space="3" w:color="DDDDDD"/>
        </w:pBdr>
        <w:rPr>
          <w:color w:val="auto"/>
          <w:sz w:val="24"/>
          <w:szCs w:val="24"/>
          <w:lang w:val="ru-RU"/>
        </w:rPr>
      </w:pPr>
      <w:r>
        <w:rPr>
          <w:color w:val="auto"/>
          <w:sz w:val="24"/>
          <w:szCs w:val="24"/>
          <w:lang w:val="ru-RU"/>
        </w:rPr>
        <w:t>Не применимо.</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E15F9" w:rsidRPr="00BD29EC"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694160" w:rsidRPr="00BD29EC" w:rsidRDefault="00B00C1E" w:rsidP="00B00C1E">
      <w:r>
        <w:t>Не применимо</w:t>
      </w:r>
      <w:r w:rsidRPr="00BD29EC">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00C1E" w:rsidRDefault="00B00C1E" w:rsidP="00B00C1E">
      <w:r w:rsidRPr="00B00C1E">
        <w:t>Средневзвешенное значение, если таковое имеется, и медиана годовой инфляции и потребительских цен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Pr="00040034" w:rsidRDefault="002E15F9" w:rsidP="0075371E">
      <w:pPr>
        <w:pStyle w:val="MHeader2"/>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B00C1E" w:rsidRDefault="00B00C1E" w:rsidP="00B00C1E">
      <w:r w:rsidRPr="00B00C1E">
        <w:t>Количество стран с хотя бы 1 точкой данных по показателю</w:t>
      </w:r>
    </w:p>
    <w:p w:rsidR="00B00C1E" w:rsidRDefault="00B00C1E" w:rsidP="00B00C1E"/>
    <w:p w:rsidR="00B00C1E" w:rsidRDefault="00B00C1E" w:rsidP="00B00C1E"/>
    <w:tbl>
      <w:tblPr>
        <w:tblW w:w="8995" w:type="dxa"/>
        <w:tblLook w:val="04A0"/>
      </w:tblPr>
      <w:tblGrid>
        <w:gridCol w:w="6835"/>
        <w:gridCol w:w="2160"/>
      </w:tblGrid>
      <w:tr w:rsidR="00B00C1E" w:rsidRPr="008566AA" w:rsidTr="00A55E3E">
        <w:trPr>
          <w:trHeight w:val="288"/>
        </w:trPr>
        <w:tc>
          <w:tcPr>
            <w:tcW w:w="6835" w:type="dxa"/>
            <w:tcBorders>
              <w:top w:val="single" w:sz="4" w:space="0" w:color="auto"/>
              <w:left w:val="single" w:sz="4" w:space="0" w:color="auto"/>
              <w:bottom w:val="single" w:sz="4" w:space="0" w:color="auto"/>
              <w:right w:val="single" w:sz="4" w:space="0" w:color="auto"/>
            </w:tcBorders>
            <w:shd w:val="clear" w:color="auto" w:fill="auto"/>
            <w:vAlign w:val="bottom"/>
          </w:tcPr>
          <w:p w:rsidR="00B00C1E" w:rsidRPr="008566AA" w:rsidRDefault="00B00C1E" w:rsidP="00B00C1E">
            <w:pPr>
              <w:rPr>
                <w:b/>
                <w:bCs/>
              </w:rPr>
            </w:pPr>
            <w:r w:rsidRPr="008566AA">
              <w:rPr>
                <w:b/>
                <w:bCs/>
              </w:rPr>
              <w:lastRenderedPageBreak/>
              <w:t>Показатель</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B00C1E" w:rsidRPr="008566AA" w:rsidRDefault="00B00C1E" w:rsidP="00B00C1E">
            <w:pPr>
              <w:rPr>
                <w:b/>
                <w:bCs/>
              </w:rPr>
            </w:pPr>
            <w:r w:rsidRPr="008566AA">
              <w:rPr>
                <w:b/>
                <w:bCs/>
              </w:rPr>
              <w:t>Количество экономик</w:t>
            </w:r>
          </w:p>
        </w:tc>
      </w:tr>
      <w:tr w:rsidR="00B00C1E" w:rsidRPr="008566AA" w:rsidTr="00A55E3E">
        <w:trPr>
          <w:trHeight w:val="288"/>
        </w:trPr>
        <w:tc>
          <w:tcPr>
            <w:tcW w:w="6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Сальдо счета текущих операций как доля ВВП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196</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Портфельные инвестиции, нетто (платежный баланс, текущие доллары США)</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196</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Прямые иностранные инвестиции, чистый приток, в процентах от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203</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Полученные личные денежные переводы в процентах от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196</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Валовая PSD, центральное правительство-D2, все сроки погашения, D1+ SDR + валюта и депозиты, номинальная стоимость, в процентах от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44</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Объем внешнего долга в процентах от ВНД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119</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Обслуживание долга (только PPG и МВФ, % экспорта товаров, услуг и первичных доходов)</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122</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rPr>
                <w:rStyle w:val="tlid-translation"/>
                <w:szCs w:val="24"/>
              </w:rPr>
              <w:t>Банковские необслуживаемые кредиты к общей сумме кредитов(%)</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141</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Отношение капитала к активам банка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137</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Общие резервы в месяцах импорта</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180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Отношение широкой денежной массы к общим резервам</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160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Годовой рост широкой денежной массы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170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Годовая инфляция, потребительские цены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194</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Профицит/дефицит денежных средств в процентах от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153</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00C1E" w:rsidP="00B00C1E">
            <w:r w:rsidRPr="008566AA">
              <w:t>Налоговые поступления в процентах от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156</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Годовой рост расходов на конечное потребление сектора государственного управления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173</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Годовой рост расходов на конечное потребление домохозяйств и НКОДХ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175</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Годовой рост экспорта товаров и услуг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180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Годовой рост валового накопления капитала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171</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lastRenderedPageBreak/>
              <w:t>Годовой прирост импорта товаров и услуг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180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Годовой рост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219</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Альтернативный коэффициент пересчета DEC (единая денежная единица за доллар США)</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220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Общая безработица от общей численности рабочей силы (национальная оценка)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220</w:t>
            </w:r>
          </w:p>
        </w:tc>
      </w:tr>
      <w:tr w:rsidR="00B00C1E" w:rsidRPr="008566AA" w:rsidTr="00A55E3E">
        <w:trPr>
          <w:trHeight w:val="288"/>
        </w:trPr>
        <w:tc>
          <w:tcPr>
            <w:tcW w:w="6835" w:type="dxa"/>
            <w:tcBorders>
              <w:top w:val="nil"/>
              <w:left w:val="single" w:sz="4" w:space="0" w:color="auto"/>
              <w:bottom w:val="single" w:sz="4" w:space="0" w:color="auto"/>
              <w:right w:val="single" w:sz="4" w:space="0" w:color="auto"/>
            </w:tcBorders>
            <w:shd w:val="clear" w:color="auto" w:fill="auto"/>
            <w:vAlign w:val="bottom"/>
            <w:hideMark/>
          </w:tcPr>
          <w:p w:rsidR="00B00C1E" w:rsidRPr="008566AA" w:rsidRDefault="00BC74C1" w:rsidP="00B00C1E">
            <w:r w:rsidRPr="008566AA">
              <w:t>Торговля товарами как доля ВВП (%)</w:t>
            </w:r>
          </w:p>
        </w:tc>
        <w:tc>
          <w:tcPr>
            <w:tcW w:w="2160" w:type="dxa"/>
            <w:tcBorders>
              <w:top w:val="nil"/>
              <w:left w:val="nil"/>
              <w:bottom w:val="single" w:sz="4" w:space="0" w:color="auto"/>
              <w:right w:val="single" w:sz="4" w:space="0" w:color="auto"/>
            </w:tcBorders>
            <w:shd w:val="clear" w:color="auto" w:fill="auto"/>
            <w:noWrap/>
            <w:vAlign w:val="center"/>
            <w:hideMark/>
          </w:tcPr>
          <w:p w:rsidR="00B00C1E" w:rsidRPr="008566AA" w:rsidRDefault="00B00C1E" w:rsidP="00B00C1E">
            <w:r w:rsidRPr="008566AA">
              <w:t>209</w:t>
            </w:r>
          </w:p>
        </w:tc>
      </w:tr>
    </w:tbl>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2A35E3" w:rsidRDefault="002A35E3" w:rsidP="002A35E3">
      <w:pPr>
        <w:rPr>
          <w:lang w:eastAsia="en-GB"/>
        </w:rPr>
      </w:pPr>
      <w:r w:rsidRPr="002A35E3">
        <w:rPr>
          <w:lang w:eastAsia="en-GB"/>
        </w:rPr>
        <w:t>Макроэкономические данные организованы в соответствии с международными стандартами, такими как Система национальных счетов (СНС) и Платежный баланс (ПБ). Однако реализация на национальном уровне может различаться.</w:t>
      </w:r>
    </w:p>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040034">
        <w:rPr>
          <w:rFonts w:eastAsia="Times New Roman"/>
          <w:b/>
          <w:szCs w:val="24"/>
          <w:lang w:val="en-US" w:eastAsia="en-GB"/>
        </w:rPr>
        <w:t xml:space="preserve">7. </w:t>
      </w:r>
      <w:r>
        <w:rPr>
          <w:rFonts w:eastAsia="Times New Roman"/>
          <w:b/>
          <w:szCs w:val="24"/>
          <w:lang w:eastAsia="en-GB"/>
        </w:rPr>
        <w:t>Ссылкиидокументы</w:t>
      </w:r>
    </w:p>
    <w:p w:rsidR="002A35E3" w:rsidRPr="002A35E3" w:rsidRDefault="002A35E3" w:rsidP="002A35E3">
      <w:pPr>
        <w:rPr>
          <w:szCs w:val="24"/>
        </w:rPr>
      </w:pPr>
      <w:r w:rsidRPr="002A35E3">
        <w:rPr>
          <w:rStyle w:val="af5"/>
          <w:szCs w:val="24"/>
        </w:rPr>
        <w:t>URL:</w:t>
      </w:r>
    </w:p>
    <w:p w:rsidR="002A35E3" w:rsidRPr="002A35E3" w:rsidRDefault="002A35E3" w:rsidP="002A35E3">
      <w:pPr>
        <w:rPr>
          <w:szCs w:val="24"/>
        </w:rPr>
      </w:pPr>
      <w:r w:rsidRPr="002A35E3">
        <w:rPr>
          <w:szCs w:val="24"/>
        </w:rPr>
        <w:t>www.worldbank.org</w:t>
      </w:r>
    </w:p>
    <w:p w:rsidR="002A35E3" w:rsidRPr="002A35E3" w:rsidRDefault="002A35E3" w:rsidP="002A35E3">
      <w:pPr>
        <w:rPr>
          <w:szCs w:val="24"/>
        </w:rPr>
      </w:pPr>
      <w:r>
        <w:rPr>
          <w:rStyle w:val="af5"/>
          <w:szCs w:val="24"/>
        </w:rPr>
        <w:t>Использованные документы</w:t>
      </w:r>
      <w:r w:rsidRPr="002A35E3">
        <w:rPr>
          <w:rStyle w:val="af5"/>
          <w:szCs w:val="24"/>
        </w:rPr>
        <w:t>:</w:t>
      </w:r>
    </w:p>
    <w:p w:rsidR="002A35E3" w:rsidRPr="002A35E3" w:rsidRDefault="002A35E3" w:rsidP="002A35E3">
      <w:pPr>
        <w:rPr>
          <w:rFonts w:eastAsia="Times New Roman"/>
          <w:szCs w:val="24"/>
          <w:lang w:val="en-GB" w:eastAsia="en-GB"/>
        </w:rPr>
      </w:pPr>
      <w:r w:rsidRPr="002A35E3">
        <w:rPr>
          <w:szCs w:val="24"/>
        </w:rPr>
        <w:t xml:space="preserve">Показатели мирового развития (WDI), Всемирный банк </w:t>
      </w:r>
      <w:bookmarkStart w:id="5" w:name="_GoBack"/>
      <w:bookmarkEnd w:id="5"/>
      <w:r w:rsidRPr="002A35E3">
        <w:rPr>
          <w:szCs w:val="24"/>
        </w:rPr>
        <w:t>(https://databank.worldbank.org/source/world-development-indicators)</w:t>
      </w:r>
    </w:p>
    <w:sectPr w:rsidR="002A35E3" w:rsidRPr="002A35E3" w:rsidSect="00172B45">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C2" w:rsidRDefault="00A936C2" w:rsidP="00F73DBC">
      <w:pPr>
        <w:spacing w:after="0" w:line="240" w:lineRule="auto"/>
      </w:pPr>
      <w:r>
        <w:separator/>
      </w:r>
    </w:p>
  </w:endnote>
  <w:endnote w:type="continuationSeparator" w:id="1">
    <w:p w:rsidR="00A936C2" w:rsidRDefault="00A936C2"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C2" w:rsidRDefault="00A936C2" w:rsidP="00F73DBC">
      <w:pPr>
        <w:spacing w:after="0" w:line="240" w:lineRule="auto"/>
      </w:pPr>
      <w:r>
        <w:separator/>
      </w:r>
    </w:p>
  </w:footnote>
  <w:footnote w:type="continuationSeparator" w:id="1">
    <w:p w:rsidR="00A936C2" w:rsidRDefault="00A936C2"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e"/>
      <w:jc w:val="right"/>
      <w:rPr>
        <w:i/>
      </w:rPr>
    </w:pPr>
    <w:r w:rsidRPr="00087B96">
      <w:rPr>
        <w:i/>
      </w:rPr>
      <w:t xml:space="preserve">Неофициальный перевод </w:t>
    </w:r>
  </w:p>
  <w:p w:rsidR="009508D1" w:rsidRPr="00087B96" w:rsidRDefault="009508D1" w:rsidP="009508D1">
    <w:pPr>
      <w:pStyle w:val="ae"/>
      <w:jc w:val="right"/>
    </w:pPr>
    <w:r w:rsidRPr="00087B96">
      <w:t xml:space="preserve">Последнее обновление: </w:t>
    </w:r>
    <w:r w:rsidR="00495496">
      <w:t>ок</w:t>
    </w:r>
    <w:r w:rsidR="00B22AB5">
      <w:t xml:space="preserve">тябрь </w:t>
    </w:r>
    <w:r w:rsidR="00781DE7" w:rsidRPr="00087B96">
      <w:t>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18FC"/>
    <w:rsid w:val="00004BE3"/>
    <w:rsid w:val="00033E1C"/>
    <w:rsid w:val="00040034"/>
    <w:rsid w:val="000410BA"/>
    <w:rsid w:val="000476F9"/>
    <w:rsid w:val="00053D20"/>
    <w:rsid w:val="00087B96"/>
    <w:rsid w:val="000A210D"/>
    <w:rsid w:val="000A229E"/>
    <w:rsid w:val="000C5EF5"/>
    <w:rsid w:val="000F3B83"/>
    <w:rsid w:val="00107A08"/>
    <w:rsid w:val="00116248"/>
    <w:rsid w:val="00130C80"/>
    <w:rsid w:val="001470A2"/>
    <w:rsid w:val="00147D8F"/>
    <w:rsid w:val="001612F6"/>
    <w:rsid w:val="00165896"/>
    <w:rsid w:val="00172B45"/>
    <w:rsid w:val="001762D0"/>
    <w:rsid w:val="0018353F"/>
    <w:rsid w:val="0018497B"/>
    <w:rsid w:val="001A163A"/>
    <w:rsid w:val="001C4663"/>
    <w:rsid w:val="001E2FC9"/>
    <w:rsid w:val="002064C4"/>
    <w:rsid w:val="002306F8"/>
    <w:rsid w:val="002652D0"/>
    <w:rsid w:val="00291FA0"/>
    <w:rsid w:val="002A35E3"/>
    <w:rsid w:val="002C7BF9"/>
    <w:rsid w:val="002E122C"/>
    <w:rsid w:val="002E15F9"/>
    <w:rsid w:val="002F63E5"/>
    <w:rsid w:val="00303D71"/>
    <w:rsid w:val="003143BC"/>
    <w:rsid w:val="00320C65"/>
    <w:rsid w:val="00322B59"/>
    <w:rsid w:val="003746BC"/>
    <w:rsid w:val="003859BD"/>
    <w:rsid w:val="003A325C"/>
    <w:rsid w:val="003B3294"/>
    <w:rsid w:val="003D33FA"/>
    <w:rsid w:val="003D58DC"/>
    <w:rsid w:val="003D7A38"/>
    <w:rsid w:val="00407AF0"/>
    <w:rsid w:val="00407E4E"/>
    <w:rsid w:val="004143B4"/>
    <w:rsid w:val="00421928"/>
    <w:rsid w:val="004344AC"/>
    <w:rsid w:val="00456E71"/>
    <w:rsid w:val="00467B9B"/>
    <w:rsid w:val="00495496"/>
    <w:rsid w:val="004B2AD0"/>
    <w:rsid w:val="004D2413"/>
    <w:rsid w:val="004E087E"/>
    <w:rsid w:val="005016B8"/>
    <w:rsid w:val="00503B4A"/>
    <w:rsid w:val="00504837"/>
    <w:rsid w:val="00506A91"/>
    <w:rsid w:val="00532D98"/>
    <w:rsid w:val="00587D0B"/>
    <w:rsid w:val="005A4DCB"/>
    <w:rsid w:val="005C19BB"/>
    <w:rsid w:val="005C6119"/>
    <w:rsid w:val="005E47BD"/>
    <w:rsid w:val="005F2C0B"/>
    <w:rsid w:val="006202F9"/>
    <w:rsid w:val="00655F55"/>
    <w:rsid w:val="006704C2"/>
    <w:rsid w:val="00682107"/>
    <w:rsid w:val="00690B09"/>
    <w:rsid w:val="00691C96"/>
    <w:rsid w:val="00694160"/>
    <w:rsid w:val="006A07D5"/>
    <w:rsid w:val="006B260E"/>
    <w:rsid w:val="006B3939"/>
    <w:rsid w:val="006C43F8"/>
    <w:rsid w:val="006D5488"/>
    <w:rsid w:val="006D7049"/>
    <w:rsid w:val="00702333"/>
    <w:rsid w:val="00705161"/>
    <w:rsid w:val="00724018"/>
    <w:rsid w:val="00741A39"/>
    <w:rsid w:val="0075371E"/>
    <w:rsid w:val="00753F18"/>
    <w:rsid w:val="00760F87"/>
    <w:rsid w:val="00780F08"/>
    <w:rsid w:val="00781DE7"/>
    <w:rsid w:val="007953D8"/>
    <w:rsid w:val="007B07B2"/>
    <w:rsid w:val="007B0CFD"/>
    <w:rsid w:val="007B32CE"/>
    <w:rsid w:val="007C27E0"/>
    <w:rsid w:val="007D1185"/>
    <w:rsid w:val="007D1FD7"/>
    <w:rsid w:val="007F06DF"/>
    <w:rsid w:val="008138AD"/>
    <w:rsid w:val="00836F3E"/>
    <w:rsid w:val="00853C09"/>
    <w:rsid w:val="008566AA"/>
    <w:rsid w:val="00864C1A"/>
    <w:rsid w:val="00912E6E"/>
    <w:rsid w:val="0092739E"/>
    <w:rsid w:val="009508D1"/>
    <w:rsid w:val="00957A62"/>
    <w:rsid w:val="00963238"/>
    <w:rsid w:val="009655B4"/>
    <w:rsid w:val="009737AE"/>
    <w:rsid w:val="00980F79"/>
    <w:rsid w:val="00982FE8"/>
    <w:rsid w:val="009C064B"/>
    <w:rsid w:val="009D4322"/>
    <w:rsid w:val="009F43A6"/>
    <w:rsid w:val="00A110F9"/>
    <w:rsid w:val="00A53D4B"/>
    <w:rsid w:val="00A55E3E"/>
    <w:rsid w:val="00A618FC"/>
    <w:rsid w:val="00A71EC6"/>
    <w:rsid w:val="00A82CD3"/>
    <w:rsid w:val="00A91FDE"/>
    <w:rsid w:val="00A936C2"/>
    <w:rsid w:val="00A95ACB"/>
    <w:rsid w:val="00AB7C85"/>
    <w:rsid w:val="00AC1A97"/>
    <w:rsid w:val="00B00C1E"/>
    <w:rsid w:val="00B0378B"/>
    <w:rsid w:val="00B06B4E"/>
    <w:rsid w:val="00B22AB5"/>
    <w:rsid w:val="00B34E6B"/>
    <w:rsid w:val="00B518DC"/>
    <w:rsid w:val="00B72F77"/>
    <w:rsid w:val="00B80FC8"/>
    <w:rsid w:val="00B83CE8"/>
    <w:rsid w:val="00BC74C1"/>
    <w:rsid w:val="00BD29EC"/>
    <w:rsid w:val="00BE2C5D"/>
    <w:rsid w:val="00BE415C"/>
    <w:rsid w:val="00C47A4A"/>
    <w:rsid w:val="00C515AF"/>
    <w:rsid w:val="00C8596F"/>
    <w:rsid w:val="00C90708"/>
    <w:rsid w:val="00C95AB2"/>
    <w:rsid w:val="00CA1CB1"/>
    <w:rsid w:val="00CA53CA"/>
    <w:rsid w:val="00D05466"/>
    <w:rsid w:val="00D2619D"/>
    <w:rsid w:val="00DA19D7"/>
    <w:rsid w:val="00DC18AA"/>
    <w:rsid w:val="00E123F7"/>
    <w:rsid w:val="00E21B43"/>
    <w:rsid w:val="00E27922"/>
    <w:rsid w:val="00E33CA8"/>
    <w:rsid w:val="00E436F6"/>
    <w:rsid w:val="00E559F9"/>
    <w:rsid w:val="00E90164"/>
    <w:rsid w:val="00E90BD4"/>
    <w:rsid w:val="00EA206F"/>
    <w:rsid w:val="00EB362A"/>
    <w:rsid w:val="00EB389E"/>
    <w:rsid w:val="00EE0900"/>
    <w:rsid w:val="00F374BA"/>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paragraph" w:styleId="af4">
    <w:name w:val="No Spacing"/>
    <w:uiPriority w:val="1"/>
    <w:qFormat/>
    <w:rsid w:val="00724018"/>
    <w:pPr>
      <w:jc w:val="both"/>
    </w:pPr>
    <w:rPr>
      <w:rFonts w:ascii="Times New Roman" w:hAnsi="Times New Roman"/>
      <w:sz w:val="24"/>
      <w:szCs w:val="22"/>
      <w:lang w:eastAsia="en-US"/>
    </w:rPr>
  </w:style>
  <w:style w:type="character" w:customStyle="1" w:styleId="tlid-translation">
    <w:name w:val="tlid-translation"/>
    <w:basedOn w:val="a0"/>
    <w:rsid w:val="00E436F6"/>
  </w:style>
  <w:style w:type="paragraph" w:customStyle="1" w:styleId="MGTHeader">
    <w:name w:val="M.G+T.Header"/>
    <w:basedOn w:val="a"/>
    <w:link w:val="MGTHeaderChar"/>
    <w:qFormat/>
    <w:rsid w:val="00506A91"/>
    <w:pPr>
      <w:shd w:val="clear" w:color="auto" w:fill="F5F5F5"/>
      <w:spacing w:after="100" w:line="240" w:lineRule="auto"/>
      <w:jc w:val="left"/>
      <w:outlineLvl w:val="4"/>
    </w:pPr>
    <w:rPr>
      <w:rFonts w:ascii="Calibri" w:eastAsia="Times New Roman" w:hAnsi="Calibri"/>
      <w:color w:val="333333"/>
      <w:sz w:val="21"/>
      <w:szCs w:val="21"/>
      <w:lang w:val="en-GB" w:eastAsia="en-GB"/>
    </w:rPr>
  </w:style>
  <w:style w:type="character" w:customStyle="1" w:styleId="MGTHeaderChar">
    <w:name w:val="M.G+T.Header Char"/>
    <w:basedOn w:val="a0"/>
    <w:link w:val="MGTHeader"/>
    <w:rsid w:val="00506A91"/>
    <w:rPr>
      <w:rFonts w:eastAsia="Times New Roman" w:cs="Times New Roman"/>
      <w:color w:val="333333"/>
      <w:sz w:val="21"/>
      <w:szCs w:val="21"/>
      <w:shd w:val="clear" w:color="auto" w:fill="F5F5F5"/>
      <w:lang w:val="en-GB" w:eastAsia="en-GB"/>
    </w:rPr>
  </w:style>
  <w:style w:type="paragraph" w:customStyle="1" w:styleId="MIndHeader">
    <w:name w:val="M.Ind.Header"/>
    <w:basedOn w:val="a"/>
    <w:link w:val="MIndHeaderChar"/>
    <w:qFormat/>
    <w:rsid w:val="00506A91"/>
    <w:pPr>
      <w:shd w:val="clear" w:color="auto" w:fill="F5F5F5"/>
      <w:spacing w:after="100" w:line="240" w:lineRule="auto"/>
      <w:jc w:val="left"/>
      <w:outlineLvl w:val="1"/>
    </w:pPr>
    <w:rPr>
      <w:rFonts w:ascii="Calibri" w:eastAsia="Times New Roman" w:hAnsi="Calibri"/>
      <w:color w:val="1C75BC"/>
      <w:sz w:val="26"/>
      <w:lang w:val="en-GB" w:eastAsia="en-GB"/>
    </w:rPr>
  </w:style>
  <w:style w:type="character" w:customStyle="1" w:styleId="MIndHeaderChar">
    <w:name w:val="M.Ind.Header Char"/>
    <w:basedOn w:val="a0"/>
    <w:link w:val="MIndHeader"/>
    <w:rsid w:val="00506A91"/>
    <w:rPr>
      <w:rFonts w:eastAsia="Times New Roman" w:cs="Times New Roman"/>
      <w:color w:val="1C75BC"/>
      <w:sz w:val="26"/>
      <w:shd w:val="clear" w:color="auto" w:fill="F5F5F5"/>
      <w:lang w:val="en-GB" w:eastAsia="en-GB"/>
    </w:rPr>
  </w:style>
  <w:style w:type="paragraph" w:customStyle="1" w:styleId="form-control-static">
    <w:name w:val="form-control-static"/>
    <w:basedOn w:val="a"/>
    <w:rsid w:val="002A35E3"/>
    <w:pPr>
      <w:spacing w:before="100" w:beforeAutospacing="1" w:after="100" w:afterAutospacing="1" w:line="240" w:lineRule="auto"/>
      <w:jc w:val="left"/>
    </w:pPr>
    <w:rPr>
      <w:rFonts w:eastAsia="Times New Roman"/>
      <w:szCs w:val="24"/>
      <w:lang w:val="en-GB" w:eastAsia="en-GB"/>
    </w:rPr>
  </w:style>
  <w:style w:type="character" w:styleId="af5">
    <w:name w:val="Strong"/>
    <w:basedOn w:val="a0"/>
    <w:uiPriority w:val="22"/>
    <w:qFormat/>
    <w:rsid w:val="002A35E3"/>
    <w:rPr>
      <w:b/>
      <w:bCs/>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pubs/ft/bop/2007/pdf/bpm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nationalaccount/sna.asp" TargetMode="External"/><Relationship Id="rId5" Type="http://schemas.openxmlformats.org/officeDocument/2006/relationships/webSettings" Target="webSettings.xml"/><Relationship Id="rId10" Type="http://schemas.openxmlformats.org/officeDocument/2006/relationships/hyperlink" Target="https://www.imf.org/external/pubs/ft/gfs/manual/gfs.htm" TargetMode="External"/><Relationship Id="rId4" Type="http://schemas.openxmlformats.org/officeDocument/2006/relationships/settings" Target="settings.xml"/><Relationship Id="rId9" Type="http://schemas.openxmlformats.org/officeDocument/2006/relationships/hyperlink" Target="http://data.imf.org/?sk=4C514D48-B6BA-49ED-8AB9-52B0C1A0179B&amp;sId=15379971414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42E8-5E82-4557-8FD2-9C473FDA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23401</CharactersWithSpaces>
  <SharedDoc>false</SharedDoc>
  <HLinks>
    <vt:vector size="24" baseType="variant">
      <vt:variant>
        <vt:i4>6946876</vt:i4>
      </vt:variant>
      <vt:variant>
        <vt:i4>9</vt:i4>
      </vt:variant>
      <vt:variant>
        <vt:i4>0</vt:i4>
      </vt:variant>
      <vt:variant>
        <vt:i4>5</vt:i4>
      </vt:variant>
      <vt:variant>
        <vt:lpwstr>https://unstats.un.org/unsd/nationalaccount/sna.asp</vt:lpwstr>
      </vt:variant>
      <vt:variant>
        <vt:lpwstr/>
      </vt:variant>
      <vt:variant>
        <vt:i4>6619240</vt:i4>
      </vt:variant>
      <vt:variant>
        <vt:i4>6</vt:i4>
      </vt:variant>
      <vt:variant>
        <vt:i4>0</vt:i4>
      </vt:variant>
      <vt:variant>
        <vt:i4>5</vt:i4>
      </vt:variant>
      <vt:variant>
        <vt:lpwstr>https://www.imf.org/external/pubs/ft/gfs/manual/gfs.htm</vt:lpwstr>
      </vt:variant>
      <vt:variant>
        <vt:lpwstr/>
      </vt:variant>
      <vt:variant>
        <vt:i4>3407904</vt:i4>
      </vt:variant>
      <vt:variant>
        <vt:i4>3</vt:i4>
      </vt:variant>
      <vt:variant>
        <vt:i4>0</vt:i4>
      </vt:variant>
      <vt:variant>
        <vt:i4>5</vt:i4>
      </vt:variant>
      <vt:variant>
        <vt:lpwstr>http://data.imf.org/?sk=4C514D48-B6BA-49ED-8AB9-52B0C1A0179B&amp;sId=1537997141415</vt:lpwstr>
      </vt:variant>
      <vt:variant>
        <vt:lpwstr/>
      </vt:variant>
      <vt:variant>
        <vt:i4>2359345</vt:i4>
      </vt:variant>
      <vt:variant>
        <vt:i4>0</vt:i4>
      </vt:variant>
      <vt:variant>
        <vt:i4>0</vt:i4>
      </vt:variant>
      <vt:variant>
        <vt:i4>5</vt:i4>
      </vt:variant>
      <vt:variant>
        <vt:lpwstr>https://www.imf.org/external/pubs/ft/bop/2007/pdf/bpm6.pdf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2023-02-02T04:43:00Z</dcterms:created>
  <dcterms:modified xsi:type="dcterms:W3CDTF">2023-02-02T04:43:00Z</dcterms:modified>
</cp:coreProperties>
</file>