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486970" w:rsidRDefault="006C4BFD" w:rsidP="006C4BFD">
      <w:pPr>
        <w:spacing w:after="0"/>
        <w:jc w:val="center"/>
        <w:rPr>
          <w:rFonts w:cstheme="minorHAnsi"/>
        </w:rPr>
      </w:pPr>
      <w:r w:rsidRPr="00486970">
        <w:rPr>
          <w:rFonts w:eastAsia="Times New Roman" w:cstheme="minorHAnsi"/>
          <w:color w:val="1C75BC"/>
          <w:sz w:val="36"/>
          <w:szCs w:val="36"/>
          <w:lang w:eastAsia="en-GB"/>
        </w:rPr>
        <w:t>SDG indicator metadata</w:t>
      </w:r>
    </w:p>
    <w:p w14:paraId="129054E9" w14:textId="2E583254" w:rsidR="006C4BFD" w:rsidRPr="00486970" w:rsidRDefault="002C2510" w:rsidP="006C4BFD">
      <w:pPr>
        <w:spacing w:after="0"/>
        <w:jc w:val="center"/>
        <w:rPr>
          <w:rFonts w:eastAsia="Times New Roman" w:cstheme="minorHAnsi"/>
          <w:b/>
          <w:bCs/>
          <w:color w:val="4A4A4A"/>
          <w:sz w:val="21"/>
          <w:szCs w:val="21"/>
          <w:lang w:eastAsia="en-GB"/>
        </w:rPr>
      </w:pPr>
      <w:r w:rsidRPr="00486970">
        <w:rPr>
          <w:rFonts w:eastAsia="Times New Roman" w:cstheme="minorHAnsi"/>
          <w:b/>
          <w:bCs/>
          <w:color w:val="4A4A4A"/>
          <w:sz w:val="21"/>
          <w:szCs w:val="21"/>
          <w:lang w:eastAsia="en-GB"/>
        </w:rPr>
        <w:t xml:space="preserve">(Harmonized </w:t>
      </w:r>
      <w:r w:rsidR="00942694" w:rsidRPr="00486970">
        <w:rPr>
          <w:rFonts w:eastAsia="Times New Roman" w:cstheme="minorHAnsi"/>
          <w:b/>
          <w:bCs/>
          <w:color w:val="4A4A4A"/>
          <w:sz w:val="21"/>
          <w:szCs w:val="21"/>
          <w:lang w:eastAsia="en-GB"/>
        </w:rPr>
        <w:t xml:space="preserve">metadata </w:t>
      </w:r>
      <w:r w:rsidRPr="00486970">
        <w:rPr>
          <w:rFonts w:eastAsia="Times New Roman" w:cstheme="minorHAnsi"/>
          <w:b/>
          <w:bCs/>
          <w:color w:val="4A4A4A"/>
          <w:sz w:val="21"/>
          <w:szCs w:val="21"/>
          <w:lang w:eastAsia="en-GB"/>
        </w:rPr>
        <w:t>template - format version 1.0)</w:t>
      </w:r>
    </w:p>
    <w:p w14:paraId="773F63CF" w14:textId="77777777" w:rsidR="006C4BFD" w:rsidRPr="00486970" w:rsidRDefault="006C4BFD" w:rsidP="006C4BFD">
      <w:pPr>
        <w:spacing w:after="0"/>
        <w:rPr>
          <w:rFonts w:eastAsia="Times New Roman" w:cstheme="minorHAnsi"/>
          <w:b/>
          <w:bCs/>
          <w:color w:val="4A4A4A"/>
          <w:sz w:val="21"/>
          <w:szCs w:val="21"/>
          <w:lang w:eastAsia="en-GB"/>
        </w:rPr>
      </w:pPr>
    </w:p>
    <w:p w14:paraId="6AEAC6DA" w14:textId="6C7C2D3A" w:rsidR="00B31E2C" w:rsidRPr="00486970" w:rsidRDefault="00B31E2C" w:rsidP="00EA05D3">
      <w:pPr>
        <w:pStyle w:val="MIndHeader2"/>
        <w:rPr>
          <w:rFonts w:cstheme="minorHAnsi"/>
        </w:rPr>
      </w:pPr>
      <w:r w:rsidRPr="00486970">
        <w:rPr>
          <w:rFonts w:cstheme="minorHAnsi"/>
        </w:rPr>
        <w:t>0. Indicator information</w:t>
      </w:r>
    </w:p>
    <w:p w14:paraId="043ED752" w14:textId="28D7692E" w:rsidR="00D24330" w:rsidRPr="00486970" w:rsidRDefault="00D24330" w:rsidP="00EA05D3">
      <w:pPr>
        <w:pStyle w:val="MIndHeader"/>
        <w:rPr>
          <w:rFonts w:cstheme="minorHAnsi"/>
        </w:rPr>
      </w:pPr>
      <w:r w:rsidRPr="031B9AC8">
        <w:rPr>
          <w:rFonts w:cstheme="minorBidi"/>
        </w:rPr>
        <w:t>0.a. Goal</w:t>
      </w:r>
    </w:p>
    <w:p w14:paraId="070A2368" w14:textId="30E8C45E" w:rsidR="01FE9CB3" w:rsidRDefault="01FE9CB3" w:rsidP="031B9AC8">
      <w:pPr>
        <w:pStyle w:val="MGTHeader"/>
        <w:rPr>
          <w:rFonts w:ascii="Calibri" w:hAnsi="Calibri"/>
        </w:rPr>
      </w:pPr>
      <w:r w:rsidRPr="031B9AC8">
        <w:rPr>
          <w:rFonts w:ascii="Calibri" w:eastAsia="Calibri" w:hAnsi="Calibri" w:cs="Calibri"/>
          <w:color w:val="444444"/>
        </w:rPr>
        <w:t>Goal 3: Ensure healthy lives and promote well-being for all at all ages</w:t>
      </w:r>
    </w:p>
    <w:p w14:paraId="084142D2" w14:textId="4C6E98EE" w:rsidR="00D24330" w:rsidRPr="00486970" w:rsidRDefault="00D24330" w:rsidP="00D24330">
      <w:pPr>
        <w:pStyle w:val="MIndHeader"/>
        <w:rPr>
          <w:rFonts w:cstheme="minorHAnsi"/>
        </w:rPr>
      </w:pPr>
      <w:r w:rsidRPr="031B9AC8">
        <w:rPr>
          <w:rFonts w:cstheme="minorBidi"/>
        </w:rPr>
        <w:t>0.b. Target</w:t>
      </w:r>
    </w:p>
    <w:p w14:paraId="1603E632" w14:textId="36082C9A" w:rsidR="75C3850F" w:rsidRDefault="75C3850F" w:rsidP="031B9AC8">
      <w:pPr>
        <w:pStyle w:val="MGTHeader"/>
        <w:rPr>
          <w:rFonts w:ascii="Calibri" w:hAnsi="Calibri"/>
        </w:rPr>
      </w:pPr>
      <w:r w:rsidRPr="031B9AC8">
        <w:rPr>
          <w:rFonts w:ascii="Calibri" w:eastAsia="Calibri" w:hAnsi="Calibri" w:cs="Calibri"/>
          <w:color w:val="444444"/>
        </w:rPr>
        <w:t>Target 3.b: 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p w14:paraId="3E67E7E0" w14:textId="3A8D8181" w:rsidR="00D24330" w:rsidRPr="00486970" w:rsidRDefault="00D24330" w:rsidP="00D24330">
      <w:pPr>
        <w:pStyle w:val="MIndHeader"/>
        <w:rPr>
          <w:rFonts w:cstheme="minorHAnsi"/>
        </w:rPr>
      </w:pPr>
      <w:r w:rsidRPr="00486970">
        <w:rPr>
          <w:rFonts w:cstheme="minorHAnsi"/>
        </w:rPr>
        <w:t>0.c. Indicator</w:t>
      </w:r>
    </w:p>
    <w:p w14:paraId="0BA08C79" w14:textId="77777777" w:rsidR="00F70A66" w:rsidRPr="00486970" w:rsidRDefault="00F70A66" w:rsidP="00D24330">
      <w:pPr>
        <w:pStyle w:val="MIndHeader"/>
        <w:rPr>
          <w:rFonts w:cstheme="minorHAnsi"/>
          <w:color w:val="333333"/>
          <w:sz w:val="21"/>
          <w:szCs w:val="21"/>
        </w:rPr>
      </w:pPr>
      <w:r w:rsidRPr="00486970">
        <w:rPr>
          <w:rFonts w:cstheme="minorHAnsi"/>
          <w:color w:val="333333"/>
          <w:sz w:val="21"/>
          <w:szCs w:val="21"/>
        </w:rPr>
        <w:t xml:space="preserve">Indicator 3.b.3: Proportion of health facilities that have a core set of relevant essential medicines available and affordable on a sustainable basis </w:t>
      </w:r>
    </w:p>
    <w:p w14:paraId="37E5E4F6" w14:textId="0FE2D20A" w:rsidR="00D24330" w:rsidRPr="002F66E3" w:rsidRDefault="00D24330" w:rsidP="00D24330">
      <w:pPr>
        <w:pStyle w:val="MIndHeader"/>
        <w:rPr>
          <w:rFonts w:cstheme="minorHAnsi"/>
          <w:lang w:val="es-ES"/>
        </w:rPr>
      </w:pPr>
      <w:r w:rsidRPr="002F66E3">
        <w:rPr>
          <w:rFonts w:cstheme="minorHAnsi"/>
          <w:lang w:val="es-ES"/>
        </w:rPr>
        <w:t>0.d. Series</w:t>
      </w:r>
    </w:p>
    <w:p w14:paraId="5B6DCD74" w14:textId="77777777" w:rsidR="003B6F65" w:rsidRPr="002F66E3" w:rsidRDefault="003B6F65" w:rsidP="00D24330">
      <w:pPr>
        <w:pStyle w:val="MIndHeader"/>
        <w:rPr>
          <w:rFonts w:cstheme="minorHAnsi"/>
          <w:lang w:val="es-ES"/>
        </w:rPr>
      </w:pPr>
    </w:p>
    <w:p w14:paraId="157DACE7" w14:textId="10D1CB38" w:rsidR="00D24330" w:rsidRPr="002F66E3" w:rsidRDefault="00D24330" w:rsidP="00D24330">
      <w:pPr>
        <w:pStyle w:val="MIndHeader"/>
        <w:rPr>
          <w:rFonts w:cstheme="minorHAnsi"/>
          <w:lang w:val="es-ES"/>
        </w:rPr>
      </w:pPr>
      <w:r w:rsidRPr="002F66E3">
        <w:rPr>
          <w:rFonts w:cstheme="minorHAnsi"/>
          <w:lang w:val="es-ES"/>
        </w:rPr>
        <w:t>0.e. Metadata update</w:t>
      </w:r>
    </w:p>
    <w:p w14:paraId="03424B60" w14:textId="7563EC7D" w:rsidR="00D24330" w:rsidRPr="002F66E3" w:rsidRDefault="00D95579" w:rsidP="39DF3A99">
      <w:pPr>
        <w:pStyle w:val="MGTHeader"/>
        <w:rPr>
          <w:rFonts w:cstheme="minorBidi"/>
          <w:lang w:val="es-ES"/>
        </w:rPr>
      </w:pPr>
      <w:r w:rsidRPr="002F66E3">
        <w:rPr>
          <w:rFonts w:cstheme="minorBidi"/>
          <w:lang w:val="es-ES"/>
        </w:rPr>
        <w:t>2019</w:t>
      </w:r>
      <w:r w:rsidR="25316EE1" w:rsidRPr="002F66E3">
        <w:rPr>
          <w:rFonts w:cstheme="minorBidi"/>
          <w:lang w:val="es-ES"/>
        </w:rPr>
        <w:t>-01-01</w:t>
      </w:r>
    </w:p>
    <w:p w14:paraId="415C9FF1" w14:textId="77777777" w:rsidR="00D24330" w:rsidRPr="00486970" w:rsidRDefault="00D24330" w:rsidP="00D24330">
      <w:pPr>
        <w:pStyle w:val="MIndHeader"/>
        <w:rPr>
          <w:rFonts w:cstheme="minorHAnsi"/>
        </w:rPr>
      </w:pPr>
      <w:r w:rsidRPr="00486970">
        <w:rPr>
          <w:rFonts w:cstheme="minorHAnsi"/>
        </w:rPr>
        <w:t>0.f. Related indicators</w:t>
      </w:r>
    </w:p>
    <w:p w14:paraId="4F5E5D57" w14:textId="684E79E9" w:rsidR="005012B9" w:rsidRPr="00486970" w:rsidRDefault="005012B9" w:rsidP="00486970">
      <w:pPr>
        <w:pStyle w:val="MGTHeader"/>
        <w:rPr>
          <w:rFonts w:cstheme="minorHAnsi"/>
        </w:rPr>
      </w:pPr>
      <w:r w:rsidRPr="00486970">
        <w:rPr>
          <w:rFonts w:cstheme="minorHAnsi"/>
        </w:rPr>
        <w:t>3.b.1- Proportion of the target population covered by all vaccines included in their national programme</w:t>
      </w:r>
    </w:p>
    <w:p w14:paraId="722FABC4" w14:textId="35015757" w:rsidR="005012B9" w:rsidRPr="00486970" w:rsidRDefault="005012B9" w:rsidP="00486970">
      <w:pPr>
        <w:pStyle w:val="MGTHeader"/>
        <w:rPr>
          <w:rFonts w:cstheme="minorHAnsi"/>
        </w:rPr>
      </w:pPr>
      <w:r w:rsidRPr="00486970">
        <w:rPr>
          <w:rFonts w:cstheme="minorHAnsi"/>
        </w:rPr>
        <w:t>3.b.2- Total net official development assistance to medical research and basic health sectors</w:t>
      </w:r>
    </w:p>
    <w:p w14:paraId="29DD8440" w14:textId="1DDDC0F0" w:rsidR="005012B9" w:rsidRPr="00486970" w:rsidRDefault="005012B9" w:rsidP="00486970">
      <w:pPr>
        <w:pStyle w:val="MGTHeader"/>
        <w:rPr>
          <w:rFonts w:cstheme="minorHAnsi"/>
        </w:rPr>
      </w:pPr>
      <w:r w:rsidRPr="00486970">
        <w:rPr>
          <w:rFonts w:cstheme="minorHAnsi"/>
        </w:rPr>
        <w:t xml:space="preserve">3.8.1-Coverage of essential health services (defined as the average coverage of essential services based on tracer interventions that include reproductive, maternal, </w:t>
      </w:r>
      <w:r w:rsidR="003B6F65" w:rsidRPr="00486970">
        <w:rPr>
          <w:rFonts w:cstheme="minorHAnsi"/>
        </w:rPr>
        <w:t>new born</w:t>
      </w:r>
      <w:r w:rsidRPr="00486970">
        <w:rPr>
          <w:rFonts w:cstheme="minorHAnsi"/>
        </w:rPr>
        <w:t xml:space="preserve"> and child health,</w:t>
      </w:r>
      <w:r w:rsidR="005B2719">
        <w:rPr>
          <w:rFonts w:cstheme="minorHAnsi"/>
        </w:rPr>
        <w:t xml:space="preserve"> </w:t>
      </w:r>
      <w:r w:rsidRPr="00486970">
        <w:rPr>
          <w:rFonts w:cstheme="minorHAnsi"/>
        </w:rPr>
        <w:t>infectious diseases, non-communicable diseases and service capacity and access, among the general and the most disadvantaged population)</w:t>
      </w:r>
    </w:p>
    <w:p w14:paraId="30B7955C" w14:textId="0F80802C" w:rsidR="005012B9" w:rsidRPr="00486970" w:rsidRDefault="005012B9" w:rsidP="00486970">
      <w:pPr>
        <w:pStyle w:val="MGTHeader"/>
        <w:rPr>
          <w:rFonts w:cstheme="minorHAnsi"/>
        </w:rPr>
      </w:pPr>
      <w:r w:rsidRPr="00486970">
        <w:rPr>
          <w:rFonts w:cstheme="minorHAnsi"/>
        </w:rPr>
        <w:t>3.8.2-Proportion of population with large household expenditures on health as a share of total household expenditure or income</w:t>
      </w:r>
    </w:p>
    <w:p w14:paraId="077BC49E" w14:textId="77777777" w:rsidR="00D24330" w:rsidRPr="00486970" w:rsidRDefault="00D24330" w:rsidP="00D24330">
      <w:pPr>
        <w:pStyle w:val="MIndHeader"/>
        <w:rPr>
          <w:rFonts w:cstheme="minorHAnsi"/>
        </w:rPr>
      </w:pPr>
      <w:r w:rsidRPr="00486970">
        <w:rPr>
          <w:rFonts w:cstheme="minorHAnsi"/>
        </w:rPr>
        <w:t>0.g. International organisations(s) responsible for global monitoring</w:t>
      </w:r>
    </w:p>
    <w:p w14:paraId="19F29921" w14:textId="582B1AB1" w:rsidR="008D1D39" w:rsidRPr="00486970" w:rsidRDefault="00F70A66" w:rsidP="00486970">
      <w:pPr>
        <w:pStyle w:val="MGTHeader"/>
        <w:rPr>
          <w:rStyle w:val="eop"/>
          <w:rFonts w:cstheme="minorHAnsi"/>
        </w:rPr>
      </w:pPr>
      <w:r w:rsidRPr="00486970">
        <w:rPr>
          <w:rStyle w:val="normaltextrun"/>
          <w:rFonts w:cstheme="minorHAnsi"/>
        </w:rPr>
        <w:t>World Health Organization (WHO)</w:t>
      </w:r>
    </w:p>
    <w:p w14:paraId="6FDB091F" w14:textId="77777777" w:rsidR="00486970" w:rsidRPr="00486970" w:rsidRDefault="00486970" w:rsidP="00573631">
      <w:pPr>
        <w:shd w:val="clear" w:color="auto" w:fill="FFFFFF"/>
        <w:spacing w:after="0"/>
        <w:rPr>
          <w:rFonts w:eastAsia="Times New Roman" w:cstheme="minorHAnsi"/>
          <w:color w:val="4A4A4A"/>
          <w:sz w:val="21"/>
          <w:szCs w:val="21"/>
          <w:lang w:eastAsia="en-GB"/>
        </w:rPr>
      </w:pPr>
    </w:p>
    <w:p w14:paraId="12E0D73A" w14:textId="48126E58" w:rsidR="00B31E2C" w:rsidRPr="00486970"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486970">
        <w:rPr>
          <w:rFonts w:cstheme="minorHAnsi"/>
        </w:rPr>
        <w:t>1. Data reporter</w:t>
      </w:r>
      <w:bookmarkEnd w:id="0"/>
      <w:bookmarkEnd w:id="1"/>
      <w:bookmarkEnd w:id="2"/>
      <w:bookmarkEnd w:id="3"/>
      <w:bookmarkEnd w:id="4"/>
    </w:p>
    <w:p w14:paraId="0BD77982" w14:textId="72DFE854" w:rsidR="00576CFA" w:rsidRPr="00486970" w:rsidRDefault="00576CFA" w:rsidP="00F719A8">
      <w:pPr>
        <w:pStyle w:val="MHeader2"/>
        <w:rPr>
          <w:rFonts w:cstheme="minorHAnsi"/>
        </w:rPr>
      </w:pPr>
      <w:r w:rsidRPr="00486970">
        <w:rPr>
          <w:rFonts w:cstheme="minorHAnsi"/>
        </w:rPr>
        <w:t>1.a. Organisation</w:t>
      </w:r>
    </w:p>
    <w:p w14:paraId="6E829FD0" w14:textId="08ABCACD" w:rsidR="00F719A8" w:rsidRPr="00486970" w:rsidRDefault="00F70A66" w:rsidP="00486970">
      <w:pPr>
        <w:pStyle w:val="MText"/>
        <w:rPr>
          <w:rStyle w:val="normaltextrun"/>
          <w:rFonts w:cstheme="minorHAnsi"/>
        </w:rPr>
      </w:pPr>
      <w:r w:rsidRPr="00486970">
        <w:rPr>
          <w:rStyle w:val="normaltextrun"/>
          <w:rFonts w:cstheme="minorHAnsi"/>
        </w:rPr>
        <w:t>World Health Organization (WHO)</w:t>
      </w:r>
    </w:p>
    <w:p w14:paraId="0964CCC7" w14:textId="77777777" w:rsidR="00486970" w:rsidRPr="00486970" w:rsidRDefault="00486970" w:rsidP="00576CFA">
      <w:pPr>
        <w:pStyle w:val="MText"/>
        <w:rPr>
          <w:rFonts w:cstheme="minorHAnsi"/>
        </w:rPr>
      </w:pPr>
    </w:p>
    <w:p w14:paraId="14915AC8" w14:textId="7D506133" w:rsidR="00B31E2C" w:rsidRPr="00486970" w:rsidRDefault="00B31E2C" w:rsidP="008B0AC7">
      <w:pPr>
        <w:pStyle w:val="MHeader"/>
        <w:rPr>
          <w:rFonts w:cstheme="minorHAnsi"/>
        </w:rPr>
      </w:pPr>
      <w:r w:rsidRPr="00486970">
        <w:rPr>
          <w:rFonts w:cstheme="minorHAnsi"/>
        </w:rPr>
        <w:t>2. Definition, concepts, and classifications</w:t>
      </w:r>
    </w:p>
    <w:p w14:paraId="2AC373EA" w14:textId="44236363" w:rsidR="008B0AC7" w:rsidRPr="00486970" w:rsidRDefault="008B0AC7" w:rsidP="00F719A8">
      <w:pPr>
        <w:pStyle w:val="MHeader2"/>
        <w:rPr>
          <w:rFonts w:cstheme="minorHAnsi"/>
        </w:rPr>
      </w:pPr>
      <w:r w:rsidRPr="00486970">
        <w:rPr>
          <w:rFonts w:cstheme="minorHAnsi"/>
        </w:rPr>
        <w:t>2.a. Definition and concepts</w:t>
      </w:r>
    </w:p>
    <w:p w14:paraId="6745A66F" w14:textId="418FCD6D"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lang w:val="en-GB"/>
        </w:rPr>
        <w:t>Definition:</w:t>
      </w:r>
    </w:p>
    <w:p w14:paraId="760EEF8D" w14:textId="0314E7EE"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lastRenderedPageBreak/>
        <w:t>Proportion of health facilities that have a core set of relevant essential medicines available and affordable on a sustainable basis.</w:t>
      </w:r>
    </w:p>
    <w:p w14:paraId="3608DE66" w14:textId="1D7854B9"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 indicator is a multidimensional index reported as a proportion (%) of health facilities that have a defined core set of quality-assured medicines that are available and affordable relative to the total number of surveyed health facilities</w:t>
      </w:r>
      <w:r w:rsidR="005B271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at national level.</w:t>
      </w:r>
    </w:p>
    <w:p w14:paraId="0D48B15F" w14:textId="5E1A3EA0"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p>
    <w:p w14:paraId="752D3956" w14:textId="2FE16AE6"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p>
    <w:p w14:paraId="62FD8376" w14:textId="733FDA4A"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lang w:val="en-GB"/>
        </w:rPr>
        <w:t>Concepts:</w:t>
      </w:r>
    </w:p>
    <w:p w14:paraId="32A94360" w14:textId="5C9B35C9"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Indicator 3.b.3 is defined as the “Proportion of health facilities that have a core set of relevant essential medicines available and affordable on a sustainable basis”.This indicator is based on the proportion of facilities (pharmacies, hospitals, clinics,primary care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centers, public/private,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etc.) where core essential medicines from the identified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set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available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purchase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 their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prices are affordable, compared to the total number of facilities surveyed.</w:t>
      </w:r>
    </w:p>
    <w:p w14:paraId="228A76DE" w14:textId="5F091BFF"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There are several core concepts that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used for measuring</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indicator 3.b.3:</w:t>
      </w:r>
    </w:p>
    <w:p w14:paraId="34FEF6F2" w14:textId="647D1D91" w:rsidR="00F70A66" w:rsidRPr="00486970" w:rsidRDefault="00F70A66" w:rsidP="00397ADD">
      <w:pPr>
        <w:pStyle w:val="paragraph"/>
        <w:numPr>
          <w:ilvl w:val="0"/>
          <w:numId w:val="1"/>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Availability of medicine</w:t>
      </w:r>
    </w:p>
    <w:p w14:paraId="345462A7" w14:textId="7B83EB89" w:rsidR="00F70A66" w:rsidRPr="00486970" w:rsidRDefault="00F70A66" w:rsidP="00397ADD">
      <w:pPr>
        <w:pStyle w:val="paragraph"/>
        <w:numPr>
          <w:ilvl w:val="0"/>
          <w:numId w:val="2"/>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Affordability of medicine</w:t>
      </w:r>
    </w:p>
    <w:p w14:paraId="2459781C" w14:textId="3B56022D" w:rsidR="00F70A66" w:rsidRPr="00486970" w:rsidRDefault="00F70A66" w:rsidP="00F70A66">
      <w:pPr>
        <w:pStyle w:val="paragraph"/>
        <w:shd w:val="clear" w:color="auto" w:fill="FFFFFF"/>
        <w:spacing w:before="0" w:beforeAutospacing="0" w:after="0" w:afterAutospacing="0"/>
        <w:ind w:left="72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sz w:val="22"/>
          <w:szCs w:val="22"/>
          <w:lang w:val="en-GB"/>
        </w:rPr>
        <w:t>→</w:t>
      </w:r>
      <w:r w:rsidRPr="00486970">
        <w:rPr>
          <w:rStyle w:val="normaltextrun"/>
          <w:rFonts w:asciiTheme="minorHAnsi" w:hAnsiTheme="minorHAnsi" w:cstheme="minorHAnsi"/>
          <w:color w:val="4A4A4A"/>
          <w:sz w:val="22"/>
          <w:szCs w:val="22"/>
          <w:lang w:val="en-GB"/>
        </w:rPr>
        <w:t>to define affordability,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additional concepts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used:</w:t>
      </w:r>
    </w:p>
    <w:p w14:paraId="1761A30A" w14:textId="5C44B19B"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Daily dose treatment of the medicine</w:t>
      </w:r>
    </w:p>
    <w:p w14:paraId="17B87A72" w14:textId="0B0F317A"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National poverty line</w:t>
      </w:r>
    </w:p>
    <w:p w14:paraId="1B3E29A7" w14:textId="06D128DE"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Wage of the lowest paid unskilled government worker</w:t>
      </w:r>
    </w:p>
    <w:p w14:paraId="3AD0B506" w14:textId="21197F87" w:rsidR="00F70A66" w:rsidRPr="00486970" w:rsidRDefault="00F70A66" w:rsidP="00397ADD">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Core set of relevant essential medicines (defined on a global level)</w:t>
      </w:r>
    </w:p>
    <w:p w14:paraId="73BD7A59" w14:textId="58700FB9"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sz w:val="22"/>
          <w:szCs w:val="22"/>
          <w:lang w:val="en-GB"/>
        </w:rPr>
        <w:t>→</w:t>
      </w:r>
      <w:r w:rsidRPr="00486970">
        <w:rPr>
          <w:rStyle w:val="normaltextrun"/>
          <w:rFonts w:asciiTheme="minorHAnsi" w:hAnsiTheme="minorHAnsi" w:cstheme="minorHAnsi"/>
          <w:color w:val="4A4A4A"/>
          <w:sz w:val="22"/>
          <w:szCs w:val="22"/>
          <w:lang w:val="en-GB"/>
        </w:rPr>
        <w:t>to apply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core set of relevant essential medicines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defined on a global level</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 all</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countries,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additional concept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used:</w:t>
      </w:r>
    </w:p>
    <w:p w14:paraId="470B9A00" w14:textId="34889CB6" w:rsidR="00F70A66" w:rsidRPr="00AC1F56" w:rsidRDefault="00F70A66" w:rsidP="00397ADD">
      <w:pPr>
        <w:pStyle w:val="paragraph"/>
        <w:numPr>
          <w:ilvl w:val="0"/>
          <w:numId w:val="5"/>
        </w:numPr>
        <w:shd w:val="clear" w:color="auto" w:fill="FFFFFF"/>
        <w:spacing w:before="0" w:beforeAutospacing="0" w:after="0" w:afterAutospacing="0"/>
        <w:ind w:left="1080" w:firstLine="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global burden of disease</w:t>
      </w:r>
    </w:p>
    <w:p w14:paraId="77F0C5F5" w14:textId="77777777" w:rsidR="00AC1F56" w:rsidRPr="00486970" w:rsidRDefault="00AC1F56" w:rsidP="005B2719">
      <w:pPr>
        <w:pStyle w:val="paragraph"/>
        <w:shd w:val="clear" w:color="auto" w:fill="FFFFFF"/>
        <w:spacing w:before="0" w:beforeAutospacing="0" w:after="0" w:afterAutospacing="0"/>
        <w:ind w:left="1080"/>
        <w:jc w:val="both"/>
        <w:textAlignment w:val="baseline"/>
        <w:rPr>
          <w:rFonts w:asciiTheme="minorHAnsi" w:hAnsiTheme="minorHAnsi" w:cstheme="minorHAnsi"/>
          <w:color w:val="4A4A4A"/>
          <w:sz w:val="22"/>
          <w:szCs w:val="22"/>
        </w:rPr>
      </w:pPr>
    </w:p>
    <w:p w14:paraId="1346A686" w14:textId="4ACEC14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1)A medicine is</w:t>
      </w:r>
      <w:r w:rsidR="00AC1F56">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available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 a facility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when it is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found in this facility by the interviewer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on the day of</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data collection.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Availability is measured as a binary variable with 1=medicine is available and 0=otherwise.</w:t>
      </w:r>
    </w:p>
    <w:p w14:paraId="186F30D5" w14:textId="7E1DD0E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2) A medicine is</w:t>
      </w:r>
      <w:r w:rsidR="00AC1F56">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affordable</w:t>
      </w:r>
      <w:r w:rsidR="00AC1F56">
        <w:rPr>
          <w:rStyle w:val="normaltextrun"/>
          <w:rFonts w:asciiTheme="minorHAnsi" w:hAnsiTheme="minorHAnsi" w:cstheme="minorHAnsi"/>
          <w:color w:val="4A4A4A"/>
          <w:sz w:val="22"/>
          <w:szCs w:val="22"/>
          <w:u w:val="single"/>
          <w:lang w:val="en-GB"/>
        </w:rPr>
        <w:t xml:space="preserve"> </w:t>
      </w:r>
      <w:r w:rsidRPr="00486970">
        <w:rPr>
          <w:rStyle w:val="normaltextrun"/>
          <w:rFonts w:asciiTheme="minorHAnsi" w:hAnsiTheme="minorHAnsi" w:cstheme="minorHAnsi"/>
          <w:color w:val="4A4A4A"/>
          <w:sz w:val="22"/>
          <w:szCs w:val="22"/>
          <w:lang w:val="en-GB"/>
        </w:rPr>
        <w:t>when no extra daily wages (EDW) are needed for the lowest paid unskilled government sector worker (LPGW wage) to purchase a monthly dose treatment of this medicine after fulfilling basic needs represented by the national poverty line (NPL). Affordability is measured as a ratio</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of 1) 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sum of the NPL and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price per daily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dose of</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treatment of the medicine (DDD), over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2)</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LPGW salary. This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measures 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number of extra daily wages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needed to cover the cost of the medicines in the core set and that can</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vary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between 0 and infinity.</w:t>
      </w:r>
    </w:p>
    <w:p w14:paraId="7CB12029" w14:textId="2FC43AF3"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i/>
          <w:iCs/>
          <w:color w:val="4A4A4A"/>
          <w:sz w:val="22"/>
          <w:szCs w:val="22"/>
          <w:lang w:val="en-GB"/>
        </w:rPr>
        <w:t>2.a)</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Daily</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dose of</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treatment (DDD)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an average maintenance dose per day for a medicine used for its main indication in adults.</w:t>
      </w:r>
      <w:r w:rsidRPr="00486970">
        <w:rPr>
          <w:rStyle w:val="superscript"/>
          <w:rFonts w:asciiTheme="minorHAnsi" w:hAnsiTheme="minorHAnsi" w:cstheme="minorHAnsi"/>
          <w:color w:val="4A4A4A"/>
          <w:sz w:val="17"/>
          <w:szCs w:val="17"/>
          <w:vertAlign w:val="superscript"/>
          <w:lang w:val="en-GB"/>
        </w:rPr>
        <w:t>2</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DDDs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allow</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comparisons of medicine use despite differences in strength, quantity or pack size.</w:t>
      </w:r>
    </w:p>
    <w:p w14:paraId="322BBB5B" w14:textId="44345D29"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i/>
          <w:iCs/>
          <w:color w:val="4A4A4A"/>
          <w:sz w:val="22"/>
          <w:szCs w:val="22"/>
          <w:lang w:val="en-GB"/>
        </w:rPr>
        <w:t>2.b) National poverty line (NLP)</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the benchmark for estimating poverty indicators that are consistent with the country's specific economic and social circumstances. NPLs reflect local perceptions of the level and composition of consumption or income needed to be non-poor.</w:t>
      </w:r>
    </w:p>
    <w:p w14:paraId="52BF72A4" w14:textId="587381DE" w:rsidR="00F70A66" w:rsidRPr="00486970" w:rsidRDefault="00F70A66" w:rsidP="00F70A66">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2.c)</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w:t>
      </w:r>
      <w:r w:rsidRPr="00486970">
        <w:rPr>
          <w:rStyle w:val="normaltextrun"/>
          <w:rFonts w:asciiTheme="minorHAnsi" w:hAnsiTheme="minorHAnsi" w:cstheme="minorHAnsi"/>
          <w:i/>
          <w:iCs/>
          <w:color w:val="4A4A4A"/>
          <w:sz w:val="22"/>
          <w:szCs w:val="22"/>
          <w:lang w:val="en-GB"/>
        </w:rPr>
        <w:t>age</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of the lowest paid unskilled government worker (LPGW</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color w:val="4A4A4A"/>
          <w:sz w:val="22"/>
          <w:szCs w:val="22"/>
          <w:lang w:val="en-GB"/>
        </w:rPr>
        <w:t>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minimum living wage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that employees are entitled to receive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overcome of poverty</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reduction of</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inequalities.</w:t>
      </w:r>
    </w:p>
    <w:p w14:paraId="64244C9E" w14:textId="5F3F8616" w:rsidR="00F70A66" w:rsidRDefault="00F70A66" w:rsidP="006D207C">
      <w:pPr>
        <w:pStyle w:val="paragraph"/>
        <w:spacing w:before="0" w:beforeAutospacing="0" w:after="0" w:afterAutospacing="0"/>
        <w:jc w:val="both"/>
        <w:textAlignment w:val="baseline"/>
        <w:rPr>
          <w:rStyle w:val="eop"/>
          <w:rFonts w:asciiTheme="minorHAnsi" w:hAnsiTheme="minorHAnsi" w:cstheme="minorHAnsi"/>
          <w:color w:val="4A4A4A"/>
          <w:sz w:val="10"/>
          <w:szCs w:val="10"/>
        </w:rPr>
      </w:pPr>
      <w:r w:rsidRPr="00486970">
        <w:rPr>
          <w:rStyle w:val="normaltextrun"/>
          <w:rFonts w:asciiTheme="minorHAnsi" w:hAnsiTheme="minorHAnsi" w:cstheme="minorHAnsi"/>
          <w:color w:val="4A4A4A"/>
          <w:sz w:val="22"/>
          <w:szCs w:val="22"/>
          <w:lang w:val="en-GB"/>
        </w:rPr>
        <w:t>In other words, affordability of a medicine identifies how many (if any) extra daily wages are needed for an individual who earns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LPGW wage to be able to purchase a medicine. The computed EDW ratio aims to indicate whether the LPGW wage is enough for the individual who earns the lowest possible income to cover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1) the daily expenditures for food and non-food items used to define (relative or absolute) poverty using national standards (NPL) and 2)</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daily needs for a medicine (DDD). This ratio then requires transformation into a binary variable where medicine is affordable when zero extra daily wages are required to purchase it and not affordable otherwise.</w:t>
      </w:r>
      <w:r w:rsidRPr="00486970">
        <w:rPr>
          <w:rStyle w:val="eop"/>
          <w:rFonts w:asciiTheme="minorHAnsi" w:hAnsiTheme="minorHAnsi" w:cstheme="minorHAnsi"/>
          <w:color w:val="4A4A4A"/>
          <w:sz w:val="10"/>
          <w:szCs w:val="10"/>
        </w:rPr>
        <w:t> </w:t>
      </w:r>
    </w:p>
    <w:p w14:paraId="2307DE19" w14:textId="77777777" w:rsidR="005B2719" w:rsidRPr="00486970" w:rsidRDefault="005B2719" w:rsidP="006D207C">
      <w:pPr>
        <w:pStyle w:val="paragraph"/>
        <w:spacing w:before="0" w:beforeAutospacing="0" w:after="0" w:afterAutospacing="0"/>
        <w:jc w:val="both"/>
        <w:textAlignment w:val="baseline"/>
        <w:rPr>
          <w:rFonts w:asciiTheme="minorHAnsi" w:hAnsiTheme="minorHAnsi" w:cstheme="minorHAnsi"/>
          <w:color w:val="4A4A4A"/>
          <w:sz w:val="18"/>
          <w:szCs w:val="18"/>
        </w:rPr>
      </w:pPr>
    </w:p>
    <w:p w14:paraId="5F9C3957" w14:textId="3C11DE2D"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3B6F65">
        <w:rPr>
          <w:rStyle w:val="normaltextrun"/>
          <w:rFonts w:asciiTheme="minorHAnsi" w:hAnsiTheme="minorHAnsi" w:cstheme="minorHAnsi"/>
          <w:color w:val="4A4A4A"/>
          <w:sz w:val="22"/>
          <w:szCs w:val="22"/>
          <w:lang w:val="en-GB"/>
        </w:rPr>
        <w:t>3)The</w:t>
      </w:r>
      <w:r w:rsidR="00694499">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core set of relevant essential medicines</w:t>
      </w:r>
      <w:r w:rsidR="00694499">
        <w:rPr>
          <w:rStyle w:val="normaltextrun"/>
          <w:rFonts w:asciiTheme="minorHAnsi" w:hAnsiTheme="minorHAnsi" w:cstheme="minorHAnsi"/>
          <w:color w:val="4A4A4A"/>
          <w:sz w:val="22"/>
          <w:szCs w:val="22"/>
          <w:u w:val="single"/>
          <w:lang w:val="en-GB"/>
        </w:rPr>
        <w:t xml:space="preserve"> </w:t>
      </w:r>
      <w:r w:rsidRPr="00486970">
        <w:rPr>
          <w:rStyle w:val="normaltextrun"/>
          <w:rFonts w:asciiTheme="minorHAnsi" w:hAnsiTheme="minorHAnsi" w:cstheme="minorHAnsi"/>
          <w:color w:val="4A4A4A"/>
          <w:sz w:val="22"/>
          <w:szCs w:val="22"/>
          <w:lang w:val="en-GB"/>
        </w:rPr>
        <w:t>is 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list of</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tracer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essential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for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acute and chronic, communicable and non-communicable diseases in the primary health care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setting.</w:t>
      </w:r>
    </w:p>
    <w:p w14:paraId="0750A6AF" w14:textId="48CC0D32"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lastRenderedPageBreak/>
        <w:t>This basket of medicines has been selected from the 2017 WHO Model List of Essential Medicines and used in primary health care.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By definition, essential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are those that satisfy the priority health care needs of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population and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selected for inclusion on the Model List based on due consideration of disease prevalence, evidence of efficacy and safety, and consideration of cost and cost-effectiveness.</w:t>
      </w:r>
    </w:p>
    <w:p w14:paraId="3C174684" w14:textId="6613C4F4"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These 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listed in</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table 1</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color w:val="4A4A4A"/>
          <w:sz w:val="22"/>
          <w:szCs w:val="22"/>
          <w:lang w:val="en-GB"/>
        </w:rPr>
        <w:t>of</w:t>
      </w:r>
      <w:r w:rsidR="00694499">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Annex 1</w:t>
      </w:r>
      <w:r w:rsidRPr="00486970">
        <w:rPr>
          <w:rStyle w:val="normaltextrun"/>
          <w:rFonts w:asciiTheme="minorHAnsi" w:hAnsiTheme="minorHAnsi" w:cstheme="minorHAnsi"/>
          <w:color w:val="4A4A4A"/>
          <w:sz w:val="22"/>
          <w:szCs w:val="22"/>
          <w:lang w:val="en-GB"/>
        </w:rPr>
        <w:t>, where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detailed justification for including each medicine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also provided,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as well as online references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relevant treatment guidelines and sections in the WHO List of Essential Medicines.</w:t>
      </w:r>
    </w:p>
    <w:p w14:paraId="63F8FF9B" w14:textId="7A04B53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This list of medicines 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intended as 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reference.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However, to address regional and country specificities in terms of medicine needs,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 this basket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weighted according to the regional burden of disease.</w:t>
      </w:r>
    </w:p>
    <w:p w14:paraId="6272CC5A" w14:textId="7FE03254"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3.a)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global burden of disease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an assessment of the health of the world's population. More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specifically,</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disease burden</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provides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information on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and regional estimates of premature mortality, disability and loss of health for causes. The summary measure used to give an indication of the burden of disease is the disability adjusted life years (DALYs),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which represent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 person’s loss of the equivalent of one year of full health. This metric incorporates years of life lost due to death and years of life lost through living in states of less than full health (or disability).</w:t>
      </w:r>
    </w:p>
    <w:p w14:paraId="153B09C3" w14:textId="77777777" w:rsidR="00D51E7C" w:rsidRPr="00486970" w:rsidRDefault="00D51E7C" w:rsidP="00576CFA">
      <w:pPr>
        <w:pStyle w:val="MText"/>
        <w:rPr>
          <w:rFonts w:cstheme="minorHAnsi"/>
        </w:rPr>
      </w:pPr>
    </w:p>
    <w:p w14:paraId="7932F8BD" w14:textId="3869C451" w:rsidR="008B0AC7" w:rsidRPr="00486970" w:rsidRDefault="00576CFA" w:rsidP="00F719A8">
      <w:pPr>
        <w:pStyle w:val="MHeader2"/>
        <w:rPr>
          <w:rFonts w:cstheme="minorHAnsi"/>
        </w:rPr>
      </w:pPr>
      <w:r w:rsidRPr="00486970">
        <w:rPr>
          <w:rFonts w:cstheme="minorHAnsi"/>
        </w:rPr>
        <w:t>2.b.</w:t>
      </w:r>
      <w:r w:rsidR="008B0AC7" w:rsidRPr="00486970">
        <w:rPr>
          <w:rFonts w:cstheme="minorHAnsi"/>
        </w:rPr>
        <w:t xml:space="preserve"> Unit of measure</w:t>
      </w:r>
    </w:p>
    <w:p w14:paraId="548E9AAA" w14:textId="77777777" w:rsidR="00EC2915" w:rsidRPr="00486970" w:rsidRDefault="00EC2915" w:rsidP="00576CFA">
      <w:pPr>
        <w:pStyle w:val="MText"/>
        <w:rPr>
          <w:rFonts w:cstheme="minorHAnsi"/>
        </w:rPr>
      </w:pPr>
    </w:p>
    <w:p w14:paraId="651AA7AC" w14:textId="5144B8C4" w:rsidR="00DA615C" w:rsidRPr="00486970" w:rsidRDefault="008B0AC7" w:rsidP="00F719A8">
      <w:pPr>
        <w:pStyle w:val="MHeader2"/>
        <w:rPr>
          <w:rFonts w:cstheme="minorHAnsi"/>
        </w:rPr>
      </w:pPr>
      <w:r w:rsidRPr="00486970">
        <w:rPr>
          <w:rFonts w:cstheme="minorHAnsi"/>
        </w:rPr>
        <w:t>2.c. Classifications</w:t>
      </w:r>
    </w:p>
    <w:p w14:paraId="39179B73" w14:textId="499EC3F4" w:rsidR="005012B9" w:rsidRDefault="005012B9" w:rsidP="00576CFA">
      <w:pPr>
        <w:pStyle w:val="MText"/>
        <w:rPr>
          <w:rFonts w:cstheme="minorHAnsi"/>
        </w:rPr>
      </w:pPr>
    </w:p>
    <w:p w14:paraId="6AD04320" w14:textId="77777777" w:rsidR="003B6F65" w:rsidRPr="00486970" w:rsidRDefault="003B6F65" w:rsidP="00576CFA">
      <w:pPr>
        <w:pStyle w:val="MText"/>
        <w:rPr>
          <w:rFonts w:cstheme="minorHAnsi"/>
        </w:rPr>
      </w:pPr>
    </w:p>
    <w:p w14:paraId="1D3AEECA" w14:textId="4C5EC949" w:rsidR="00B31E2C" w:rsidRPr="00486970" w:rsidRDefault="00B31E2C" w:rsidP="00F719A8">
      <w:pPr>
        <w:pStyle w:val="MHeader"/>
        <w:rPr>
          <w:rFonts w:cstheme="minorHAnsi"/>
        </w:rPr>
      </w:pPr>
      <w:r w:rsidRPr="00486970">
        <w:rPr>
          <w:rFonts w:cstheme="minorHAnsi"/>
        </w:rPr>
        <w:t>3. Data source type and data collection method</w:t>
      </w:r>
    </w:p>
    <w:p w14:paraId="340B050E" w14:textId="31C09E5F" w:rsidR="008B0AC7" w:rsidRPr="00486970" w:rsidRDefault="008B0AC7" w:rsidP="00F719A8">
      <w:pPr>
        <w:pStyle w:val="MHeader2"/>
        <w:rPr>
          <w:rFonts w:cstheme="minorHAnsi"/>
        </w:rPr>
      </w:pPr>
      <w:r w:rsidRPr="00486970">
        <w:rPr>
          <w:rFonts w:cstheme="minorHAnsi"/>
        </w:rPr>
        <w:t>3.a. Data sources</w:t>
      </w:r>
    </w:p>
    <w:p w14:paraId="0CD974B7"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The indicator relies on three data sources that have been used by countries to collect information on medicine prices and availability:</w:t>
      </w:r>
    </w:p>
    <w:p w14:paraId="0D5F3559" w14:textId="77777777" w:rsidR="005012B9" w:rsidRPr="00486970" w:rsidRDefault="005012B9" w:rsidP="00397ADD">
      <w:pPr>
        <w:numPr>
          <w:ilvl w:val="0"/>
          <w:numId w:val="32"/>
        </w:numPr>
        <w:shd w:val="clear" w:color="auto" w:fill="FFFFFF" w:themeFill="background1"/>
        <w:spacing w:after="120" w:line="240" w:lineRule="auto"/>
        <w:contextualSpacing/>
        <w:rPr>
          <w:rFonts w:cstheme="minorHAnsi"/>
          <w:color w:val="4A4A4A"/>
          <w:lang w:eastAsia="en-GB"/>
        </w:rPr>
      </w:pPr>
      <w:r w:rsidRPr="00486970">
        <w:rPr>
          <w:rFonts w:eastAsia="Times New Roman" w:cstheme="minorHAnsi"/>
          <w:color w:val="4A4A4A"/>
          <w:lang w:eastAsia="en-GB"/>
        </w:rPr>
        <w:t xml:space="preserve">Health Action International Project supported by the WHO </w:t>
      </w:r>
      <w:r w:rsidRPr="00486970">
        <w:rPr>
          <w:rFonts w:eastAsia="Times New Roman" w:cstheme="minorHAnsi"/>
          <w:b/>
          <w:bCs/>
          <w:color w:val="4A4A4A"/>
          <w:lang w:eastAsia="en-GB"/>
        </w:rPr>
        <w:t>[HAI/WHO]</w:t>
      </w:r>
    </w:p>
    <w:p w14:paraId="188E58E6" w14:textId="77777777" w:rsidR="005012B9" w:rsidRPr="00486970" w:rsidRDefault="005012B9" w:rsidP="00397ADD">
      <w:pPr>
        <w:numPr>
          <w:ilvl w:val="0"/>
          <w:numId w:val="32"/>
        </w:numPr>
        <w:shd w:val="clear" w:color="auto" w:fill="FFFFFF" w:themeFill="background1"/>
        <w:spacing w:after="120" w:line="240" w:lineRule="auto"/>
        <w:contextualSpacing/>
        <w:rPr>
          <w:rFonts w:cstheme="minorHAnsi"/>
          <w:color w:val="4A4A4A"/>
          <w:lang w:eastAsia="en-GB"/>
        </w:rPr>
      </w:pPr>
      <w:r w:rsidRPr="00486970">
        <w:rPr>
          <w:rFonts w:eastAsia="Times New Roman" w:cstheme="minorHAnsi"/>
          <w:color w:val="4A4A4A"/>
          <w:lang w:eastAsia="en-GB"/>
        </w:rPr>
        <w:t xml:space="preserve">The Service Availability and Readiness Assessment survey </w:t>
      </w:r>
      <w:r w:rsidRPr="00486970">
        <w:rPr>
          <w:rFonts w:eastAsia="Times New Roman" w:cstheme="minorHAnsi"/>
          <w:b/>
          <w:bCs/>
          <w:color w:val="4A4A4A"/>
          <w:lang w:eastAsia="en-GB"/>
        </w:rPr>
        <w:t>[SARA]</w:t>
      </w:r>
    </w:p>
    <w:p w14:paraId="27F5208F" w14:textId="77777777" w:rsidR="005012B9" w:rsidRPr="00486970" w:rsidRDefault="005012B9" w:rsidP="00397ADD">
      <w:pPr>
        <w:numPr>
          <w:ilvl w:val="0"/>
          <w:numId w:val="32"/>
        </w:numPr>
        <w:shd w:val="clear" w:color="auto" w:fill="FFFFFF" w:themeFill="background1"/>
        <w:spacing w:after="120" w:line="240" w:lineRule="auto"/>
        <w:contextualSpacing/>
        <w:rPr>
          <w:rFonts w:eastAsia="Times New Roman" w:cstheme="minorHAnsi"/>
          <w:color w:val="4A4A4A"/>
          <w:lang w:eastAsia="en-GB"/>
        </w:rPr>
      </w:pPr>
      <w:r w:rsidRPr="00486970">
        <w:rPr>
          <w:rFonts w:eastAsia="Times New Roman" w:cstheme="minorHAnsi"/>
          <w:color w:val="4A4A4A"/>
          <w:lang w:eastAsia="en-GB"/>
        </w:rPr>
        <w:t xml:space="preserve">The WHO Medicines Price and Availability Monitoring mobile application </w:t>
      </w:r>
      <w:r w:rsidRPr="00486970">
        <w:rPr>
          <w:rFonts w:eastAsia="Times New Roman" w:cstheme="minorHAnsi"/>
          <w:b/>
          <w:bCs/>
          <w:color w:val="4A4A4A"/>
          <w:lang w:eastAsia="en-GB"/>
        </w:rPr>
        <w:t>[EMP MedMon]</w:t>
      </w:r>
    </w:p>
    <w:p w14:paraId="01EEDFDA"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486970">
        <w:rPr>
          <w:rFonts w:eastAsia="Times New Roman" w:cstheme="minorHAnsi"/>
          <w:color w:val="4A4A4A"/>
          <w:lang w:eastAsia="en-GB"/>
        </w:rPr>
        <w:t xml:space="preserve">Health Action International Project supported by WHO </w:t>
      </w:r>
      <w:r w:rsidRPr="00486970">
        <w:rPr>
          <w:rFonts w:eastAsia="Times New Roman" w:cstheme="minorHAnsi"/>
          <w:b/>
          <w:bCs/>
          <w:color w:val="4A4A4A"/>
          <w:lang w:eastAsia="en-GB"/>
        </w:rPr>
        <w:t>[HAI/WHO]</w:t>
      </w:r>
      <w:r w:rsidRPr="00486970">
        <w:rPr>
          <w:rFonts w:cstheme="minorHAnsi"/>
          <w:color w:val="4A4A4A"/>
        </w:rPr>
        <w:t xml:space="preserve"> </w:t>
      </w:r>
      <w:r w:rsidRPr="00486970">
        <w:rPr>
          <w:rFonts w:eastAsia="Times New Roman" w:cstheme="minorHAnsi"/>
          <w:color w:val="4A4A4A"/>
          <w:lang w:eastAsia="en-GB"/>
        </w:rPr>
        <w:t>provides</w:t>
      </w:r>
      <w:r w:rsidRPr="00486970">
        <w:rPr>
          <w:rFonts w:cstheme="minorHAnsi"/>
          <w:color w:val="4A4A4A"/>
        </w:rPr>
        <w:t xml:space="preserve"> </w:t>
      </w:r>
      <w:r w:rsidRPr="00486970">
        <w:rPr>
          <w:rFonts w:eastAsia="Times New Roman" w:cstheme="minorHAnsi"/>
          <w:color w:val="4A4A4A"/>
          <w:lang w:eastAsia="en-GB"/>
        </w:rPr>
        <w:t xml:space="preserve">data from national and sub-national surveys that have used the WHO/HAI methodology, Measuring Medicine Prices, Availability and Affordability and Price Components. The database is available at the following link: </w:t>
      </w:r>
      <w:hyperlink r:id="rId11">
        <w:r w:rsidRPr="00486970">
          <w:rPr>
            <w:rFonts w:eastAsia="Times New Roman" w:cstheme="minorHAnsi"/>
            <w:color w:val="4A4A4A"/>
            <w:u w:val="single"/>
            <w:lang w:eastAsia="en-GB"/>
          </w:rPr>
          <w:t>http://haiweb.org/what-we-do/price-availability-affordability/price-availability-data/</w:t>
        </w:r>
      </w:hyperlink>
      <w:r w:rsidRPr="00486970">
        <w:rPr>
          <w:rFonts w:eastAsia="Times New Roman" w:cstheme="minorHAnsi"/>
          <w:color w:val="4A4A4A"/>
          <w:lang w:eastAsia="en-GB"/>
        </w:rPr>
        <w:t xml:space="preserve"> </w:t>
      </w:r>
    </w:p>
    <w:p w14:paraId="440E4FC3"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The Service Availability and Readiness Assessment </w:t>
      </w:r>
      <w:r w:rsidRPr="00486970">
        <w:rPr>
          <w:rFonts w:eastAsia="Times New Roman" w:cstheme="minorHAnsi"/>
          <w:b/>
          <w:bCs/>
          <w:color w:val="4A4A4A"/>
          <w:lang w:eastAsia="en-GB"/>
        </w:rPr>
        <w:t xml:space="preserve">[SARA] </w:t>
      </w:r>
      <w:r w:rsidRPr="00486970">
        <w:rPr>
          <w:rFonts w:eastAsia="Times New Roman" w:cstheme="minorHAnsi"/>
          <w:color w:val="4A4A4A"/>
          <w:lang w:eastAsia="en-GB"/>
        </w:rPr>
        <w:t xml:space="preserve">is a health facility assessment tool designed to assess and monitor availability and readiness of the services provided in the health sector and to generate evidence to support the planning and managing of a health system. </w:t>
      </w:r>
    </w:p>
    <w:p w14:paraId="7416D411"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The WHO Medicines Price and Availability Monitoring mobile application </w:t>
      </w:r>
      <w:r w:rsidRPr="00486970">
        <w:rPr>
          <w:rFonts w:eastAsia="Times New Roman" w:cstheme="minorHAnsi"/>
          <w:b/>
          <w:bCs/>
          <w:color w:val="4A4A4A"/>
          <w:lang w:eastAsia="en-GB"/>
        </w:rPr>
        <w:t xml:space="preserve">[EMP MedMon] </w:t>
      </w:r>
      <w:r w:rsidRPr="00486970">
        <w:rPr>
          <w:rFonts w:eastAsia="Times New Roman" w:cstheme="minorHAnsi"/>
          <w:color w:val="4A4A4A"/>
          <w:lang w:eastAsia="en-GB"/>
        </w:rPr>
        <w:t>can be</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 xml:space="preserve">considered as an updated version of the HAI/WHO tool for collecting data on medicine prices and availability. This data collection tool was created based on the two previously mentioned existing and well-established methodologies. This application is used at facility level to collect information on availability and price of the agreed-upon core basket of medicines. </w:t>
      </w:r>
    </w:p>
    <w:p w14:paraId="2AD2740F"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The EMP MedMon is easier to use, faster to conduct and consumes much fewer resources for collecting data. It also allows for a modular approach to defining the basket, which is highly useful and convenient for the purposes of this indicator.</w:t>
      </w:r>
    </w:p>
    <w:p w14:paraId="06E2E78B" w14:textId="77777777" w:rsidR="005012B9" w:rsidRPr="00486970" w:rsidRDefault="005012B9" w:rsidP="005012B9">
      <w:pPr>
        <w:pStyle w:val="MHeader2"/>
        <w:rPr>
          <w:rFonts w:cstheme="minorHAnsi"/>
          <w:color w:val="4A4A4A"/>
          <w:sz w:val="22"/>
          <w:szCs w:val="22"/>
        </w:rPr>
      </w:pPr>
      <w:r w:rsidRPr="00486970">
        <w:rPr>
          <w:rFonts w:cstheme="minorHAnsi"/>
          <w:color w:val="4A4A4A"/>
          <w:sz w:val="22"/>
          <w:szCs w:val="22"/>
        </w:rPr>
        <w:lastRenderedPageBreak/>
        <w:t>In order to compute historical data points prior to 2018, data from HAI/WHO is used. To compute current and future data points, SARA and EMP MedMon are recommended</w:t>
      </w:r>
    </w:p>
    <w:p w14:paraId="37335F96" w14:textId="77777777" w:rsidR="005012B9" w:rsidRPr="00486970" w:rsidRDefault="005012B9" w:rsidP="005012B9">
      <w:pPr>
        <w:pStyle w:val="MHeader2"/>
        <w:rPr>
          <w:rFonts w:cstheme="minorHAnsi"/>
          <w:color w:val="4A4A4A"/>
          <w:sz w:val="22"/>
          <w:szCs w:val="22"/>
        </w:rPr>
      </w:pPr>
    </w:p>
    <w:p w14:paraId="79368080" w14:textId="49D97A3D" w:rsidR="008B0AC7" w:rsidRPr="00486970" w:rsidRDefault="00576CFA" w:rsidP="005012B9">
      <w:pPr>
        <w:pStyle w:val="MHeader2"/>
        <w:rPr>
          <w:rFonts w:cstheme="minorHAnsi"/>
        </w:rPr>
      </w:pPr>
      <w:r w:rsidRPr="00486970">
        <w:rPr>
          <w:rFonts w:cstheme="minorHAnsi"/>
        </w:rPr>
        <w:t>3.b</w:t>
      </w:r>
      <w:r w:rsidR="008B0AC7" w:rsidRPr="00486970">
        <w:rPr>
          <w:rFonts w:cstheme="minorHAnsi"/>
        </w:rPr>
        <w:t>. Data collection method</w:t>
      </w:r>
    </w:p>
    <w:p w14:paraId="7755BAA9" w14:textId="48E26C63"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r w:rsidRPr="00486970">
        <w:rPr>
          <w:rFonts w:eastAsia="Times New Roman" w:cstheme="minorHAnsi"/>
          <w:color w:val="4A4A4A"/>
          <w:u w:val="single"/>
          <w:lang w:eastAsia="en-US"/>
        </w:rPr>
        <w:t>Availability and affordability of medicines</w:t>
      </w:r>
    </w:p>
    <w:p w14:paraId="2EE6D291" w14:textId="1DB22C95"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WHO obtains SARA survey data on availability and affordability from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r w:rsidR="00694499">
        <w:rPr>
          <w:rFonts w:eastAsia="Times New Roman" w:cstheme="minorHAnsi"/>
          <w:color w:val="4A4A4A"/>
          <w:lang w:eastAsia="en-US"/>
        </w:rPr>
        <w:t xml:space="preserve"> </w:t>
      </w:r>
      <w:r w:rsidRPr="00486970">
        <w:rPr>
          <w:rFonts w:eastAsia="Times New Roman" w:cstheme="minorHAnsi"/>
          <w:color w:val="4A4A4A"/>
          <w:lang w:eastAsia="en-US"/>
        </w:rPr>
        <w:t>Ministries of Health (MoH).</w:t>
      </w:r>
      <w:r w:rsidR="00694499">
        <w:rPr>
          <w:rFonts w:eastAsia="Times New Roman" w:cstheme="minorHAnsi"/>
          <w:color w:val="4A4A4A"/>
          <w:lang w:eastAsia="en-US"/>
        </w:rPr>
        <w:t xml:space="preserve"> </w:t>
      </w:r>
      <w:r w:rsidRPr="00486970">
        <w:rPr>
          <w:rFonts w:eastAsia="Times New Roman" w:cstheme="minorHAnsi"/>
          <w:color w:val="4A4A4A"/>
          <w:lang w:eastAsia="en-US"/>
        </w:rPr>
        <w:t>HAI/WHO historical data collected at</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color w:val="4A4A4A"/>
          <w:lang w:eastAsia="en-US"/>
        </w:rPr>
        <w:t>facility level</w:t>
      </w:r>
      <w:r w:rsidR="00694499">
        <w:rPr>
          <w:rFonts w:eastAsia="Times New Roman" w:cstheme="minorHAnsi"/>
          <w:color w:val="4A4A4A"/>
          <w:lang w:eastAsia="en-US"/>
        </w:rPr>
        <w:t xml:space="preserve"> </w:t>
      </w:r>
      <w:r w:rsidRPr="00486970">
        <w:rPr>
          <w:rFonts w:eastAsia="Times New Roman" w:cstheme="minorHAnsi"/>
          <w:color w:val="4A4A4A"/>
          <w:lang w:eastAsia="en-US"/>
        </w:rPr>
        <w:t>is available from HAI</w:t>
      </w:r>
      <w:r w:rsidR="00694499">
        <w:rPr>
          <w:rFonts w:eastAsia="Times New Roman" w:cstheme="minorHAnsi"/>
          <w:color w:val="4A4A4A"/>
          <w:lang w:eastAsia="en-US"/>
        </w:rPr>
        <w:t xml:space="preserve"> </w:t>
      </w:r>
      <w:r w:rsidRPr="00486970">
        <w:rPr>
          <w:rFonts w:eastAsia="Times New Roman" w:cstheme="minorHAnsi"/>
          <w:color w:val="4A4A4A"/>
          <w:lang w:eastAsia="en-US"/>
        </w:rPr>
        <w:t>by request,</w:t>
      </w:r>
      <w:r w:rsidR="00694499">
        <w:rPr>
          <w:rFonts w:eastAsia="Times New Roman" w:cstheme="minorHAnsi"/>
          <w:color w:val="4A4A4A"/>
          <w:lang w:eastAsia="en-US"/>
        </w:rPr>
        <w:t xml:space="preserve"> </w:t>
      </w:r>
      <w:r w:rsidRPr="00486970">
        <w:rPr>
          <w:rFonts w:eastAsia="Times New Roman" w:cstheme="minorHAnsi"/>
          <w:color w:val="4A4A4A"/>
          <w:lang w:eastAsia="en-US"/>
        </w:rPr>
        <w:t>as</w:t>
      </w:r>
      <w:r w:rsidR="00694499">
        <w:rPr>
          <w:rFonts w:eastAsia="Times New Roman" w:cstheme="minorHAnsi"/>
          <w:color w:val="4A4A4A"/>
          <w:lang w:eastAsia="en-US"/>
        </w:rPr>
        <w:t xml:space="preserve"> </w:t>
      </w:r>
      <w:r w:rsidRPr="00486970">
        <w:rPr>
          <w:rFonts w:eastAsia="Times New Roman" w:cstheme="minorHAnsi"/>
          <w:color w:val="4A4A4A"/>
          <w:lang w:eastAsia="en-US"/>
        </w:rPr>
        <w:t>publicly available HAI/WHO data on the HAI website</w:t>
      </w:r>
      <w:r w:rsidR="00694499">
        <w:rPr>
          <w:rFonts w:eastAsia="Times New Roman" w:cstheme="minorHAnsi"/>
          <w:color w:val="4A4A4A"/>
          <w:lang w:eastAsia="en-US"/>
        </w:rPr>
        <w:t xml:space="preserve"> </w:t>
      </w:r>
      <w:r w:rsidRPr="00486970">
        <w:rPr>
          <w:rFonts w:eastAsia="Times New Roman" w:cstheme="minorHAnsi"/>
          <w:color w:val="4A4A4A"/>
          <w:lang w:eastAsia="en-US"/>
        </w:rPr>
        <w:t>has</w:t>
      </w:r>
      <w:r w:rsidR="00694499">
        <w:rPr>
          <w:rFonts w:eastAsia="Times New Roman" w:cstheme="minorHAnsi"/>
          <w:color w:val="4A4A4A"/>
          <w:lang w:eastAsia="en-US"/>
        </w:rPr>
        <w:t xml:space="preserve"> </w:t>
      </w:r>
      <w:r w:rsidRPr="00486970">
        <w:rPr>
          <w:rFonts w:eastAsia="Times New Roman" w:cstheme="minorHAnsi"/>
          <w:color w:val="4A4A4A"/>
          <w:lang w:eastAsia="en-US"/>
        </w:rPr>
        <w:t>already aggregated at</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country level. The EMP</w:t>
      </w:r>
      <w:r w:rsidR="00694499">
        <w:rPr>
          <w:rFonts w:eastAsia="Times New Roman" w:cstheme="minorHAnsi"/>
          <w:color w:val="4A4A4A"/>
          <w:lang w:eastAsia="en-US"/>
        </w:rPr>
        <w:t xml:space="preserve"> </w:t>
      </w:r>
      <w:r w:rsidRPr="00486970">
        <w:rPr>
          <w:rFonts w:eastAsia="Times New Roman" w:cstheme="minorHAnsi"/>
          <w:color w:val="4A4A4A"/>
          <w:lang w:eastAsia="en-US"/>
        </w:rPr>
        <w:t>MedMon</w:t>
      </w:r>
      <w:r w:rsidR="00694499">
        <w:rPr>
          <w:rFonts w:eastAsia="Times New Roman" w:cstheme="minorHAnsi"/>
          <w:color w:val="4A4A4A"/>
          <w:lang w:eastAsia="en-US"/>
        </w:rPr>
        <w:t xml:space="preserve"> </w:t>
      </w:r>
      <w:r w:rsidRPr="00486970">
        <w:rPr>
          <w:rFonts w:eastAsia="Times New Roman" w:cstheme="minorHAnsi"/>
          <w:color w:val="4A4A4A"/>
          <w:lang w:eastAsia="en-US"/>
        </w:rPr>
        <w:t>data on availability and medicine prices</w:t>
      </w:r>
      <w:r w:rsidR="00694499">
        <w:rPr>
          <w:rFonts w:eastAsia="Times New Roman" w:cstheme="minorHAnsi"/>
          <w:color w:val="4A4A4A"/>
          <w:lang w:eastAsia="en-US"/>
        </w:rPr>
        <w:t xml:space="preserve"> </w:t>
      </w:r>
      <w:r w:rsidRPr="00486970">
        <w:rPr>
          <w:rFonts w:eastAsia="Times New Roman" w:cstheme="minorHAnsi"/>
          <w:color w:val="4A4A4A"/>
          <w:lang w:eastAsia="en-US"/>
        </w:rPr>
        <w:t>is</w:t>
      </w:r>
      <w:r w:rsidR="00694499">
        <w:rPr>
          <w:rFonts w:eastAsia="Times New Roman" w:cstheme="minorHAnsi"/>
          <w:color w:val="4A4A4A"/>
          <w:lang w:eastAsia="en-US"/>
        </w:rPr>
        <w:t xml:space="preserve"> </w:t>
      </w:r>
      <w:r w:rsidRPr="00486970">
        <w:rPr>
          <w:rFonts w:eastAsia="Times New Roman" w:cstheme="minorHAnsi"/>
          <w:color w:val="4A4A4A"/>
          <w:lang w:eastAsia="en-US"/>
        </w:rPr>
        <w:t>collected in collaboration between WHO and</w:t>
      </w:r>
      <w:r w:rsidR="00694499">
        <w:rPr>
          <w:rFonts w:eastAsia="Times New Roman" w:cstheme="minorHAnsi"/>
          <w:color w:val="4A4A4A"/>
          <w:lang w:eastAsia="en-US"/>
        </w:rPr>
        <w:t xml:space="preserve"> </w:t>
      </w:r>
      <w:r w:rsidRPr="00486970">
        <w:rPr>
          <w:rFonts w:eastAsia="Times New Roman" w:cstheme="minorHAnsi"/>
          <w:color w:val="4A4A4A"/>
          <w:lang w:eastAsia="en-US"/>
        </w:rPr>
        <w:t>Ministries of Health of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p>
    <w:p w14:paraId="6828D12D" w14:textId="5A61B3AE"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r w:rsidRPr="00486970">
        <w:rPr>
          <w:rFonts w:eastAsia="Times New Roman" w:cstheme="minorHAnsi"/>
          <w:color w:val="4A4A4A"/>
          <w:u w:val="single"/>
          <w:lang w:eastAsia="en-US"/>
        </w:rPr>
        <w:t>NPLs,</w:t>
      </w:r>
      <w:r w:rsidR="00694499">
        <w:rPr>
          <w:rFonts w:eastAsia="Times New Roman" w:cstheme="minorHAnsi"/>
          <w:color w:val="4A4A4A"/>
          <w:u w:val="single"/>
          <w:lang w:eastAsia="en-US"/>
        </w:rPr>
        <w:t xml:space="preserve"> </w:t>
      </w:r>
      <w:r w:rsidRPr="00486970">
        <w:rPr>
          <w:rFonts w:eastAsia="Times New Roman" w:cstheme="minorHAnsi"/>
          <w:color w:val="4A4A4A"/>
          <w:u w:val="single"/>
          <w:lang w:eastAsia="en-US"/>
        </w:rPr>
        <w:t>LPGW wages, DALYs:</w:t>
      </w:r>
    </w:p>
    <w:p w14:paraId="00ED96A6" w14:textId="34775739" w:rsidR="005012B9" w:rsidRPr="00486970" w:rsidRDefault="005012B9" w:rsidP="005012B9">
      <w:pPr>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National poverty reports consistently provide information on 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NPLs</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in local currency units. The</w:t>
      </w:r>
      <w:r w:rsidR="00694499">
        <w:rPr>
          <w:rFonts w:eastAsia="Times New Roman" w:cstheme="minorHAnsi"/>
          <w:color w:val="4A4A4A"/>
          <w:lang w:eastAsia="en-US"/>
        </w:rPr>
        <w:t xml:space="preserve"> </w:t>
      </w:r>
      <w:r w:rsidRPr="00486970">
        <w:rPr>
          <w:rFonts w:eastAsia="Times New Roman" w:cstheme="minorHAnsi"/>
          <w:color w:val="4A4A4A"/>
          <w:lang w:eastAsia="en-US"/>
        </w:rPr>
        <w:t>updated and recalculated</w:t>
      </w:r>
      <w:r w:rsidR="00694499">
        <w:rPr>
          <w:rFonts w:eastAsia="Times New Roman" w:cstheme="minorHAnsi"/>
          <w:color w:val="4A4A4A"/>
          <w:lang w:eastAsia="en-US"/>
        </w:rPr>
        <w:t xml:space="preserve"> </w:t>
      </w:r>
      <w:r w:rsidRPr="00486970">
        <w:rPr>
          <w:rFonts w:eastAsia="Times New Roman" w:cstheme="minorHAnsi"/>
          <w:color w:val="4A4A4A"/>
          <w:lang w:eastAsia="en-US"/>
        </w:rPr>
        <w:t>NPLs are</w:t>
      </w:r>
      <w:r w:rsidR="00694499">
        <w:rPr>
          <w:rFonts w:eastAsia="Times New Roman" w:cstheme="minorHAnsi"/>
          <w:color w:val="4A4A4A"/>
          <w:lang w:eastAsia="en-US"/>
        </w:rPr>
        <w:t xml:space="preserve"> </w:t>
      </w:r>
      <w:r w:rsidRPr="00486970">
        <w:rPr>
          <w:rFonts w:eastAsia="Times New Roman" w:cstheme="minorHAnsi"/>
          <w:color w:val="4A4A4A"/>
          <w:lang w:eastAsia="en-US"/>
        </w:rPr>
        <w:t>also published by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r w:rsidR="00694499">
        <w:rPr>
          <w:rFonts w:eastAsia="Times New Roman" w:cstheme="minorHAnsi"/>
          <w:color w:val="4A4A4A"/>
          <w:lang w:eastAsia="en-US"/>
        </w:rPr>
        <w:t xml:space="preserve"> </w:t>
      </w:r>
      <w:r w:rsidRPr="00486970">
        <w:rPr>
          <w:rFonts w:eastAsia="Times New Roman" w:cstheme="minorHAnsi"/>
          <w:color w:val="4A4A4A"/>
          <w:lang w:eastAsia="en-US"/>
        </w:rPr>
        <w:t>in these poverty reports.</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wage</w:t>
      </w:r>
      <w:r w:rsidR="00694499">
        <w:rPr>
          <w:rFonts w:eastAsia="Times New Roman" w:cstheme="minorHAnsi"/>
          <w:i/>
          <w:iCs/>
          <w:color w:val="4A4A4A"/>
          <w:lang w:eastAsia="en-US"/>
        </w:rPr>
        <w:t xml:space="preserve"> </w:t>
      </w:r>
      <w:r w:rsidRPr="00486970">
        <w:rPr>
          <w:rFonts w:eastAsia="Times New Roman" w:cstheme="minorHAnsi"/>
          <w:i/>
          <w:iCs/>
          <w:color w:val="4A4A4A"/>
          <w:lang w:eastAsia="en-US"/>
        </w:rPr>
        <w:t>of the</w:t>
      </w:r>
      <w:r w:rsidR="00694499">
        <w:rPr>
          <w:rFonts w:eastAsia="Times New Roman" w:cstheme="minorHAnsi"/>
          <w:i/>
          <w:iCs/>
          <w:color w:val="4A4A4A"/>
          <w:lang w:eastAsia="en-US"/>
        </w:rPr>
        <w:t xml:space="preserve"> </w:t>
      </w:r>
      <w:r w:rsidRPr="00486970">
        <w:rPr>
          <w:rFonts w:eastAsia="Times New Roman" w:cstheme="minorHAnsi"/>
          <w:i/>
          <w:iCs/>
          <w:color w:val="4A4A4A"/>
          <w:lang w:eastAsia="en-US"/>
        </w:rPr>
        <w:t>LPGW</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is published in the ILOSTAT database.</w:t>
      </w:r>
      <w:r w:rsidR="00694499">
        <w:rPr>
          <w:rFonts w:eastAsia="Times New Roman" w:cstheme="minorHAnsi"/>
          <w:color w:val="4A4A4A"/>
          <w:lang w:eastAsia="en-US"/>
        </w:rPr>
        <w:t xml:space="preserve"> </w:t>
      </w:r>
      <w:r w:rsidRPr="00486970">
        <w:rPr>
          <w:rFonts w:eastAsia="Times New Roman" w:cstheme="minorHAnsi"/>
          <w:color w:val="4A4A4A"/>
          <w:lang w:eastAsia="en-US"/>
        </w:rPr>
        <w:t>Information</w:t>
      </w:r>
      <w:r w:rsidR="00694499">
        <w:rPr>
          <w:rFonts w:eastAsia="Times New Roman" w:cstheme="minorHAnsi"/>
          <w:color w:val="4A4A4A"/>
          <w:lang w:eastAsia="en-US"/>
        </w:rPr>
        <w:t xml:space="preserve"> </w:t>
      </w:r>
      <w:r w:rsidRPr="00486970">
        <w:rPr>
          <w:rFonts w:eastAsia="Times New Roman" w:cstheme="minorHAnsi"/>
          <w:color w:val="4A4A4A"/>
          <w:lang w:eastAsia="en-US"/>
        </w:rPr>
        <w:t>regarding 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regional burden of diseases (DALYs)</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is publicly available</w:t>
      </w:r>
      <w:r w:rsidR="00694499">
        <w:rPr>
          <w:rFonts w:eastAsia="Times New Roman" w:cstheme="minorHAnsi"/>
          <w:color w:val="4A4A4A"/>
          <w:lang w:eastAsia="en-US"/>
        </w:rPr>
        <w:t xml:space="preserve"> </w:t>
      </w:r>
      <w:r w:rsidRPr="00486970">
        <w:rPr>
          <w:rFonts w:eastAsia="Times New Roman" w:cstheme="minorHAnsi"/>
          <w:color w:val="4A4A4A"/>
          <w:lang w:eastAsia="en-US"/>
        </w:rPr>
        <w:t>and</w:t>
      </w:r>
      <w:r w:rsidR="00694499">
        <w:rPr>
          <w:rFonts w:eastAsia="Times New Roman" w:cstheme="minorHAnsi"/>
          <w:color w:val="4A4A4A"/>
          <w:lang w:eastAsia="en-US"/>
        </w:rPr>
        <w:t xml:space="preserve"> </w:t>
      </w:r>
      <w:r w:rsidRPr="00486970">
        <w:rPr>
          <w:rFonts w:eastAsia="Times New Roman" w:cstheme="minorHAnsi"/>
          <w:color w:val="4A4A4A"/>
          <w:lang w:eastAsia="en-US"/>
        </w:rPr>
        <w:t>published</w:t>
      </w:r>
      <w:r w:rsidR="00694499">
        <w:rPr>
          <w:rFonts w:eastAsia="Times New Roman" w:cstheme="minorHAnsi"/>
          <w:color w:val="4A4A4A"/>
          <w:lang w:eastAsia="en-US"/>
        </w:rPr>
        <w:t xml:space="preserve"> </w:t>
      </w:r>
      <w:r w:rsidRPr="00486970">
        <w:rPr>
          <w:rFonts w:eastAsia="Times New Roman" w:cstheme="minorHAnsi"/>
          <w:color w:val="4A4A4A"/>
          <w:lang w:eastAsia="en-US"/>
        </w:rPr>
        <w:t>by WHO.</w:t>
      </w:r>
    </w:p>
    <w:p w14:paraId="35B915FA" w14:textId="6159FC8C"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p>
    <w:p w14:paraId="170A2C05" w14:textId="34873ECA" w:rsidR="00E46D96" w:rsidRPr="00486970" w:rsidRDefault="00E46D96" w:rsidP="00F719A8">
      <w:pPr>
        <w:pStyle w:val="MHeader2"/>
        <w:rPr>
          <w:rFonts w:cstheme="minorHAnsi"/>
        </w:rPr>
      </w:pPr>
      <w:r w:rsidRPr="00486970">
        <w:rPr>
          <w:rFonts w:cstheme="minorHAnsi"/>
        </w:rPr>
        <w:t>3.c. Data collection calendar</w:t>
      </w:r>
    </w:p>
    <w:p w14:paraId="02AA6825" w14:textId="146ACA90"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3B6F65">
        <w:rPr>
          <w:rFonts w:eastAsia="Times New Roman" w:cstheme="minorHAnsi"/>
          <w:color w:val="4A4A4A"/>
          <w:lang w:eastAsia="en-US"/>
        </w:rPr>
        <w:t>SARA</w:t>
      </w:r>
      <w:r w:rsidR="00694499">
        <w:rPr>
          <w:rFonts w:eastAsia="Times New Roman" w:cstheme="minorHAnsi"/>
          <w:color w:val="4A4A4A"/>
          <w:lang w:eastAsia="en-US"/>
        </w:rPr>
        <w:t xml:space="preserve"> </w:t>
      </w:r>
      <w:r w:rsidRPr="003B6F65">
        <w:rPr>
          <w:rFonts w:eastAsia="Times New Roman" w:cstheme="minorHAnsi"/>
          <w:color w:val="4A4A4A"/>
          <w:lang w:eastAsia="en-US"/>
        </w:rPr>
        <w:t>&amp; HAI/WHO:</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 activities have often been conducted using funds from international donors.</w:t>
      </w:r>
    </w:p>
    <w:p w14:paraId="5E6A0F9B" w14:textId="05600991"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3B6F65">
        <w:rPr>
          <w:rFonts w:eastAsia="Times New Roman" w:cstheme="minorHAnsi"/>
          <w:color w:val="4A4A4A"/>
          <w:lang w:eastAsia="en-US"/>
        </w:rPr>
        <w:t>EMP</w:t>
      </w:r>
      <w:r w:rsidR="00694499">
        <w:rPr>
          <w:rFonts w:eastAsia="Times New Roman" w:cstheme="minorHAnsi"/>
          <w:color w:val="4A4A4A"/>
          <w:lang w:eastAsia="en-US"/>
        </w:rPr>
        <w:t xml:space="preserve"> </w:t>
      </w:r>
      <w:r w:rsidRPr="003B6F65">
        <w:rPr>
          <w:rFonts w:eastAsia="Times New Roman" w:cstheme="minorHAnsi"/>
          <w:color w:val="4A4A4A"/>
          <w:lang w:eastAsia="en-US"/>
        </w:rPr>
        <w:t>MedMon:</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 activities</w:t>
      </w:r>
      <w:r w:rsidR="00694499">
        <w:rPr>
          <w:rFonts w:eastAsia="Times New Roman" w:cstheme="minorHAnsi"/>
          <w:color w:val="4A4A4A"/>
          <w:lang w:eastAsia="en-US"/>
        </w:rPr>
        <w:t xml:space="preserve"> </w:t>
      </w:r>
      <w:r w:rsidRPr="00486970">
        <w:rPr>
          <w:rFonts w:eastAsia="Times New Roman" w:cstheme="minorHAnsi"/>
          <w:color w:val="4A4A4A"/>
          <w:lang w:eastAsia="en-US"/>
        </w:rPr>
        <w:t>have been conducted using funds from international donors, but WHO is currently testing a sustainable regular monitoring mechanism through the integration of</w:t>
      </w:r>
      <w:r w:rsidR="00694499">
        <w:rPr>
          <w:rFonts w:eastAsia="Times New Roman" w:cstheme="minorHAnsi"/>
          <w:color w:val="4A4A4A"/>
          <w:lang w:eastAsia="en-US"/>
        </w:rPr>
        <w:t xml:space="preserve"> </w:t>
      </w:r>
      <w:r w:rsidRPr="00486970">
        <w:rPr>
          <w:rFonts w:eastAsia="Times New Roman" w:cstheme="minorHAnsi"/>
          <w:color w:val="4A4A4A"/>
          <w:lang w:eastAsia="en-US"/>
        </w:rPr>
        <w:t>similar</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w:t>
      </w:r>
      <w:r w:rsidR="00694499">
        <w:rPr>
          <w:rFonts w:eastAsia="Times New Roman" w:cstheme="minorHAnsi"/>
          <w:color w:val="4A4A4A"/>
          <w:lang w:eastAsia="en-US"/>
        </w:rPr>
        <w:t xml:space="preserve"> </w:t>
      </w:r>
      <w:r w:rsidRPr="00486970">
        <w:rPr>
          <w:rFonts w:eastAsia="Times New Roman" w:cstheme="minorHAnsi"/>
          <w:color w:val="4A4A4A"/>
          <w:lang w:eastAsia="en-US"/>
        </w:rPr>
        <w:t>during</w:t>
      </w:r>
      <w:r w:rsidR="00694499">
        <w:rPr>
          <w:rFonts w:eastAsia="Times New Roman" w:cstheme="minorHAnsi"/>
          <w:color w:val="4A4A4A"/>
          <w:lang w:eastAsia="en-US"/>
        </w:rPr>
        <w:t xml:space="preserve"> </w:t>
      </w:r>
      <w:r w:rsidRPr="00486970">
        <w:rPr>
          <w:rFonts w:eastAsia="Times New Roman" w:cstheme="minorHAnsi"/>
          <w:color w:val="4A4A4A"/>
          <w:lang w:eastAsia="en-US"/>
        </w:rPr>
        <w:t>government inspection of</w:t>
      </w:r>
      <w:r w:rsidR="00694499">
        <w:rPr>
          <w:rFonts w:eastAsia="Times New Roman" w:cstheme="minorHAnsi"/>
          <w:color w:val="4A4A4A"/>
          <w:lang w:eastAsia="en-US"/>
        </w:rPr>
        <w:t xml:space="preserve"> </w:t>
      </w:r>
      <w:r w:rsidRPr="00486970">
        <w:rPr>
          <w:rFonts w:eastAsia="Times New Roman" w:cstheme="minorHAnsi"/>
          <w:color w:val="4A4A4A"/>
          <w:lang w:eastAsia="en-US"/>
        </w:rPr>
        <w:t>health</w:t>
      </w:r>
      <w:r w:rsidR="00694499">
        <w:rPr>
          <w:rFonts w:eastAsia="Times New Roman" w:cstheme="minorHAnsi"/>
          <w:color w:val="4A4A4A"/>
          <w:lang w:eastAsia="en-US"/>
        </w:rPr>
        <w:t xml:space="preserve"> </w:t>
      </w:r>
      <w:r w:rsidRPr="00486970">
        <w:rPr>
          <w:rFonts w:eastAsia="Times New Roman" w:cstheme="minorHAnsi"/>
          <w:color w:val="4A4A4A"/>
          <w:lang w:eastAsia="en-US"/>
        </w:rPr>
        <w:t>facilities</w:t>
      </w:r>
      <w:r w:rsidR="00694499">
        <w:rPr>
          <w:rFonts w:eastAsia="Times New Roman" w:cstheme="minorHAnsi"/>
          <w:color w:val="4A4A4A"/>
          <w:lang w:eastAsia="en-US"/>
        </w:rPr>
        <w:t xml:space="preserve"> </w:t>
      </w:r>
      <w:r w:rsidRPr="00486970">
        <w:rPr>
          <w:rFonts w:eastAsia="Times New Roman" w:cstheme="minorHAnsi"/>
          <w:color w:val="4A4A4A"/>
          <w:lang w:eastAsia="en-US"/>
        </w:rPr>
        <w:t>or using country-determined sentinel monitoring sites.</w:t>
      </w:r>
    </w:p>
    <w:p w14:paraId="01BA862E" w14:textId="77777777" w:rsidR="00EC2915" w:rsidRPr="00486970" w:rsidRDefault="00EC2915" w:rsidP="00576CFA">
      <w:pPr>
        <w:pStyle w:val="MText"/>
        <w:rPr>
          <w:rFonts w:cstheme="minorHAnsi"/>
        </w:rPr>
      </w:pPr>
    </w:p>
    <w:p w14:paraId="7D466604" w14:textId="674844F0" w:rsidR="00E46D96" w:rsidRPr="00486970" w:rsidRDefault="00E46D96" w:rsidP="00F719A8">
      <w:pPr>
        <w:pStyle w:val="MHeader2"/>
        <w:rPr>
          <w:rFonts w:cstheme="minorHAnsi"/>
        </w:rPr>
      </w:pPr>
      <w:r w:rsidRPr="00486970">
        <w:rPr>
          <w:rFonts w:cstheme="minorHAnsi"/>
        </w:rPr>
        <w:t>3.d. Data release calendar</w:t>
      </w:r>
    </w:p>
    <w:p w14:paraId="64C749BD" w14:textId="5DC0227C" w:rsidR="00EC2915" w:rsidRDefault="005012B9" w:rsidP="00576CFA">
      <w:pPr>
        <w:pStyle w:val="MText"/>
        <w:rPr>
          <w:rStyle w:val="eop"/>
          <w:rFonts w:cstheme="minorHAnsi"/>
          <w:sz w:val="22"/>
          <w:szCs w:val="22"/>
        </w:rPr>
      </w:pPr>
      <w:r w:rsidRPr="00486970">
        <w:rPr>
          <w:rStyle w:val="normaltextrun"/>
          <w:rFonts w:cstheme="minorHAnsi"/>
          <w:sz w:val="22"/>
          <w:szCs w:val="22"/>
        </w:rPr>
        <w:t>Based on historical data points, the first release of the SDG indicator 3.b.3</w:t>
      </w:r>
      <w:r w:rsidR="00694499">
        <w:rPr>
          <w:rStyle w:val="normaltextrun"/>
          <w:rFonts w:cstheme="minorHAnsi"/>
          <w:sz w:val="22"/>
          <w:szCs w:val="22"/>
        </w:rPr>
        <w:t xml:space="preserve"> </w:t>
      </w:r>
      <w:r w:rsidRPr="00486970">
        <w:rPr>
          <w:rStyle w:val="normaltextrun"/>
          <w:rFonts w:cstheme="minorHAnsi"/>
          <w:sz w:val="22"/>
          <w:szCs w:val="22"/>
        </w:rPr>
        <w:t>results</w:t>
      </w:r>
      <w:r w:rsidR="00694499">
        <w:rPr>
          <w:rStyle w:val="normaltextrun"/>
          <w:rFonts w:cstheme="minorHAnsi"/>
          <w:sz w:val="22"/>
          <w:szCs w:val="22"/>
        </w:rPr>
        <w:t xml:space="preserve"> </w:t>
      </w:r>
      <w:r w:rsidRPr="00486970">
        <w:rPr>
          <w:rStyle w:val="normaltextrun"/>
          <w:rFonts w:cstheme="minorHAnsi"/>
          <w:sz w:val="22"/>
          <w:szCs w:val="22"/>
        </w:rPr>
        <w:t>is planned for</w:t>
      </w:r>
      <w:r w:rsidR="00694499">
        <w:rPr>
          <w:rStyle w:val="normaltextrun"/>
          <w:rFonts w:cstheme="minorHAnsi"/>
          <w:sz w:val="22"/>
          <w:szCs w:val="22"/>
        </w:rPr>
        <w:t xml:space="preserve"> </w:t>
      </w:r>
      <w:r w:rsidRPr="00486970">
        <w:rPr>
          <w:rStyle w:val="normaltextrun"/>
          <w:rFonts w:cstheme="minorHAnsi"/>
          <w:sz w:val="22"/>
          <w:szCs w:val="22"/>
        </w:rPr>
        <w:t>the</w:t>
      </w:r>
      <w:r w:rsidR="00694499">
        <w:rPr>
          <w:rStyle w:val="normaltextrun"/>
          <w:rFonts w:cstheme="minorHAnsi"/>
          <w:sz w:val="22"/>
          <w:szCs w:val="22"/>
        </w:rPr>
        <w:t xml:space="preserve"> </w:t>
      </w:r>
      <w:r w:rsidRPr="00486970">
        <w:rPr>
          <w:rStyle w:val="normaltextrun"/>
          <w:rFonts w:cstheme="minorHAnsi"/>
          <w:sz w:val="22"/>
          <w:szCs w:val="22"/>
        </w:rPr>
        <w:t>summer</w:t>
      </w:r>
      <w:r w:rsidR="00694499">
        <w:rPr>
          <w:rStyle w:val="normaltextrun"/>
          <w:rFonts w:cstheme="minorHAnsi"/>
          <w:sz w:val="22"/>
          <w:szCs w:val="22"/>
        </w:rPr>
        <w:t xml:space="preserve"> </w:t>
      </w:r>
      <w:r w:rsidRPr="00486970">
        <w:rPr>
          <w:rStyle w:val="normaltextrun"/>
          <w:rFonts w:cstheme="minorHAnsi"/>
          <w:sz w:val="22"/>
          <w:szCs w:val="22"/>
        </w:rPr>
        <w:t>of</w:t>
      </w:r>
      <w:r w:rsidR="00694499">
        <w:rPr>
          <w:rStyle w:val="normaltextrun"/>
          <w:rFonts w:cstheme="minorHAnsi"/>
          <w:sz w:val="22"/>
          <w:szCs w:val="22"/>
        </w:rPr>
        <w:t xml:space="preserve"> </w:t>
      </w:r>
      <w:r w:rsidRPr="00486970">
        <w:rPr>
          <w:rStyle w:val="normaltextrun"/>
          <w:rFonts w:cstheme="minorHAnsi"/>
          <w:sz w:val="22"/>
          <w:szCs w:val="22"/>
        </w:rPr>
        <w:t>2019.</w:t>
      </w:r>
      <w:r w:rsidR="00694499">
        <w:rPr>
          <w:rStyle w:val="normaltextrun"/>
          <w:rFonts w:cstheme="minorHAnsi"/>
          <w:sz w:val="22"/>
          <w:szCs w:val="22"/>
        </w:rPr>
        <w:t xml:space="preserve"> </w:t>
      </w:r>
      <w:r w:rsidRPr="00486970">
        <w:rPr>
          <w:rStyle w:val="normaltextrun"/>
          <w:rFonts w:cstheme="minorHAnsi"/>
          <w:sz w:val="22"/>
          <w:szCs w:val="22"/>
        </w:rPr>
        <w:t>Subsequently,</w:t>
      </w:r>
      <w:r w:rsidR="00694499">
        <w:rPr>
          <w:rStyle w:val="normaltextrun"/>
          <w:rFonts w:cstheme="minorHAnsi"/>
          <w:sz w:val="22"/>
          <w:szCs w:val="22"/>
        </w:rPr>
        <w:t xml:space="preserve"> </w:t>
      </w:r>
      <w:r w:rsidRPr="00486970">
        <w:rPr>
          <w:rStyle w:val="normaltextrun"/>
          <w:rFonts w:cstheme="minorHAnsi"/>
          <w:sz w:val="22"/>
          <w:szCs w:val="22"/>
        </w:rPr>
        <w:t>updated values will be calculated and published on an annual basis.</w:t>
      </w:r>
    </w:p>
    <w:p w14:paraId="396D1995" w14:textId="77777777" w:rsidR="00486970" w:rsidRPr="00486970" w:rsidRDefault="00486970" w:rsidP="00576CFA">
      <w:pPr>
        <w:pStyle w:val="MText"/>
        <w:rPr>
          <w:rFonts w:cstheme="minorHAnsi"/>
        </w:rPr>
      </w:pPr>
    </w:p>
    <w:p w14:paraId="3A4F3065" w14:textId="3AD52F9D" w:rsidR="00E46D96" w:rsidRPr="00486970" w:rsidRDefault="00E46D96" w:rsidP="00F719A8">
      <w:pPr>
        <w:pStyle w:val="MHeader2"/>
        <w:rPr>
          <w:rFonts w:cstheme="minorHAnsi"/>
        </w:rPr>
      </w:pPr>
      <w:r w:rsidRPr="00486970">
        <w:rPr>
          <w:rFonts w:cstheme="minorHAnsi"/>
        </w:rPr>
        <w:t>3.e. Data providers</w:t>
      </w:r>
    </w:p>
    <w:p w14:paraId="50A66E64" w14:textId="797AC9B1" w:rsidR="00EC2915" w:rsidRPr="00486970" w:rsidRDefault="005012B9" w:rsidP="00576CFA">
      <w:pPr>
        <w:pStyle w:val="MText"/>
        <w:rPr>
          <w:rStyle w:val="eop"/>
          <w:rFonts w:cstheme="minorHAnsi"/>
          <w:sz w:val="22"/>
          <w:szCs w:val="22"/>
        </w:rPr>
      </w:pPr>
      <w:r w:rsidRPr="003B6F65">
        <w:rPr>
          <w:rStyle w:val="normaltextrun"/>
          <w:rFonts w:cstheme="minorHAnsi"/>
          <w:sz w:val="22"/>
          <w:szCs w:val="22"/>
        </w:rPr>
        <w:t>SARA, HAI/WHO, EMP</w:t>
      </w:r>
      <w:r w:rsidR="00694499">
        <w:rPr>
          <w:rStyle w:val="normaltextrun"/>
          <w:rFonts w:cstheme="minorHAnsi"/>
          <w:sz w:val="22"/>
          <w:szCs w:val="22"/>
        </w:rPr>
        <w:t xml:space="preserve"> </w:t>
      </w:r>
      <w:r w:rsidRPr="003B6F65">
        <w:rPr>
          <w:rStyle w:val="normaltextrun"/>
          <w:rFonts w:cstheme="minorHAnsi"/>
          <w:sz w:val="22"/>
          <w:szCs w:val="22"/>
        </w:rPr>
        <w:t>MedMon</w:t>
      </w:r>
      <w:r w:rsidRPr="00486970">
        <w:rPr>
          <w:rStyle w:val="normaltextrun"/>
          <w:rFonts w:cstheme="minorHAnsi"/>
          <w:b/>
          <w:bCs/>
          <w:sz w:val="22"/>
          <w:szCs w:val="22"/>
        </w:rPr>
        <w:t>:</w:t>
      </w:r>
      <w:r w:rsidR="00694499">
        <w:rPr>
          <w:rStyle w:val="normaltextrun"/>
          <w:rFonts w:cstheme="minorHAnsi"/>
          <w:b/>
          <w:bCs/>
          <w:sz w:val="22"/>
          <w:szCs w:val="22"/>
        </w:rPr>
        <w:t xml:space="preserve"> </w:t>
      </w:r>
      <w:r w:rsidRPr="00486970">
        <w:rPr>
          <w:rStyle w:val="normaltextrun"/>
          <w:rFonts w:cstheme="minorHAnsi"/>
          <w:sz w:val="22"/>
          <w:szCs w:val="22"/>
        </w:rPr>
        <w:t>Data is collected by the</w:t>
      </w:r>
      <w:r w:rsidR="00694499">
        <w:rPr>
          <w:rStyle w:val="normaltextrun"/>
          <w:rFonts w:cstheme="minorHAnsi"/>
          <w:sz w:val="22"/>
          <w:szCs w:val="22"/>
        </w:rPr>
        <w:t xml:space="preserve"> </w:t>
      </w:r>
      <w:r w:rsidRPr="00486970">
        <w:rPr>
          <w:rStyle w:val="normaltextrun"/>
          <w:rFonts w:cstheme="minorHAnsi"/>
          <w:sz w:val="22"/>
          <w:szCs w:val="22"/>
        </w:rPr>
        <w:t>countries’</w:t>
      </w:r>
      <w:r w:rsidR="00694499">
        <w:rPr>
          <w:rStyle w:val="normaltextrun"/>
          <w:rFonts w:cstheme="minorHAnsi"/>
          <w:sz w:val="22"/>
          <w:szCs w:val="22"/>
        </w:rPr>
        <w:t xml:space="preserve"> </w:t>
      </w:r>
      <w:r w:rsidRPr="00486970">
        <w:rPr>
          <w:rStyle w:val="normaltextrun"/>
          <w:rFonts w:cstheme="minorHAnsi"/>
          <w:sz w:val="22"/>
          <w:szCs w:val="22"/>
        </w:rPr>
        <w:t>Ministries of Health (MOH),</w:t>
      </w:r>
      <w:r w:rsidR="00694499">
        <w:rPr>
          <w:rStyle w:val="normaltextrun"/>
          <w:rFonts w:cstheme="minorHAnsi"/>
          <w:sz w:val="22"/>
          <w:szCs w:val="22"/>
        </w:rPr>
        <w:t xml:space="preserve"> </w:t>
      </w:r>
      <w:r w:rsidRPr="00486970">
        <w:rPr>
          <w:rStyle w:val="normaltextrun"/>
          <w:rFonts w:cstheme="minorHAnsi"/>
          <w:sz w:val="22"/>
          <w:szCs w:val="22"/>
        </w:rPr>
        <w:t>often with the support of the WHO country office.</w:t>
      </w:r>
      <w:r w:rsidR="00694499">
        <w:rPr>
          <w:rStyle w:val="normaltextrun"/>
          <w:rFonts w:cstheme="minorHAnsi"/>
          <w:sz w:val="22"/>
          <w:szCs w:val="22"/>
        </w:rPr>
        <w:t xml:space="preserve"> </w:t>
      </w:r>
      <w:r w:rsidRPr="00486970">
        <w:rPr>
          <w:rStyle w:val="normaltextrun"/>
          <w:rFonts w:cstheme="minorHAnsi"/>
          <w:sz w:val="22"/>
          <w:szCs w:val="22"/>
        </w:rPr>
        <w:t>Data</w:t>
      </w:r>
      <w:r w:rsidR="00694499">
        <w:rPr>
          <w:rStyle w:val="normaltextrun"/>
          <w:rFonts w:cstheme="minorHAnsi"/>
          <w:sz w:val="22"/>
          <w:szCs w:val="22"/>
        </w:rPr>
        <w:t xml:space="preserve"> </w:t>
      </w:r>
      <w:r w:rsidRPr="00486970">
        <w:rPr>
          <w:rStyle w:val="normaltextrun"/>
          <w:rFonts w:cstheme="minorHAnsi"/>
          <w:sz w:val="22"/>
          <w:szCs w:val="22"/>
        </w:rPr>
        <w:t>is</w:t>
      </w:r>
      <w:r w:rsidR="00694499">
        <w:rPr>
          <w:rStyle w:val="normaltextrun"/>
          <w:rFonts w:cstheme="minorHAnsi"/>
          <w:sz w:val="22"/>
          <w:szCs w:val="22"/>
        </w:rPr>
        <w:t xml:space="preserve"> </w:t>
      </w:r>
      <w:r w:rsidRPr="00486970">
        <w:rPr>
          <w:rStyle w:val="normaltextrun"/>
          <w:rFonts w:cstheme="minorHAnsi"/>
          <w:sz w:val="22"/>
          <w:szCs w:val="22"/>
        </w:rPr>
        <w:t>then</w:t>
      </w:r>
      <w:r w:rsidR="00694499">
        <w:rPr>
          <w:rStyle w:val="normaltextrun"/>
          <w:rFonts w:cstheme="minorHAnsi"/>
          <w:sz w:val="22"/>
          <w:szCs w:val="22"/>
        </w:rPr>
        <w:t xml:space="preserve"> </w:t>
      </w:r>
      <w:r w:rsidRPr="00486970">
        <w:rPr>
          <w:rStyle w:val="normaltextrun"/>
          <w:rFonts w:cstheme="minorHAnsi"/>
          <w:sz w:val="22"/>
          <w:szCs w:val="22"/>
        </w:rPr>
        <w:t>validated by</w:t>
      </w:r>
      <w:r w:rsidR="00694499">
        <w:rPr>
          <w:rStyle w:val="normaltextrun"/>
          <w:rFonts w:cstheme="minorHAnsi"/>
          <w:sz w:val="22"/>
          <w:szCs w:val="22"/>
        </w:rPr>
        <w:t xml:space="preserve"> </w:t>
      </w:r>
      <w:r w:rsidRPr="00486970">
        <w:rPr>
          <w:rStyle w:val="normaltextrun"/>
          <w:rFonts w:cstheme="minorHAnsi"/>
          <w:sz w:val="22"/>
          <w:szCs w:val="22"/>
        </w:rPr>
        <w:t>MoH-based</w:t>
      </w:r>
      <w:r w:rsidR="00694499">
        <w:rPr>
          <w:rStyle w:val="normaltextrun"/>
          <w:rFonts w:cstheme="minorHAnsi"/>
          <w:sz w:val="22"/>
          <w:szCs w:val="22"/>
        </w:rPr>
        <w:t xml:space="preserve"> </w:t>
      </w:r>
      <w:r w:rsidRPr="00486970">
        <w:rPr>
          <w:rStyle w:val="normaltextrun"/>
          <w:rFonts w:cstheme="minorHAnsi"/>
          <w:sz w:val="22"/>
          <w:szCs w:val="22"/>
        </w:rPr>
        <w:t>statisticians and shared with WHO by request.</w:t>
      </w:r>
    </w:p>
    <w:p w14:paraId="77D3DDF2" w14:textId="77777777" w:rsidR="00486970" w:rsidRPr="00486970" w:rsidRDefault="00486970" w:rsidP="00576CFA">
      <w:pPr>
        <w:pStyle w:val="MText"/>
        <w:rPr>
          <w:rFonts w:cstheme="minorHAnsi"/>
        </w:rPr>
      </w:pPr>
    </w:p>
    <w:p w14:paraId="30DC8E05" w14:textId="484D6EC2" w:rsidR="00E46D96" w:rsidRPr="00486970" w:rsidRDefault="00E46D96" w:rsidP="00F719A8">
      <w:pPr>
        <w:pStyle w:val="MHeader2"/>
        <w:rPr>
          <w:rFonts w:cstheme="minorHAnsi"/>
        </w:rPr>
      </w:pPr>
      <w:r w:rsidRPr="00486970">
        <w:rPr>
          <w:rFonts w:cstheme="minorHAnsi"/>
        </w:rPr>
        <w:t>3.f. Data compilers</w:t>
      </w:r>
    </w:p>
    <w:p w14:paraId="5C43435B" w14:textId="527224F6" w:rsidR="00EC2915" w:rsidRPr="00486970" w:rsidRDefault="005012B9" w:rsidP="00576CFA">
      <w:pPr>
        <w:pStyle w:val="MText"/>
        <w:rPr>
          <w:rStyle w:val="eop"/>
          <w:rFonts w:cstheme="minorHAnsi"/>
          <w:sz w:val="22"/>
          <w:szCs w:val="22"/>
        </w:rPr>
      </w:pPr>
      <w:r w:rsidRPr="00486970">
        <w:rPr>
          <w:rStyle w:val="normaltextrun"/>
          <w:rFonts w:cstheme="minorHAnsi"/>
          <w:sz w:val="22"/>
          <w:szCs w:val="22"/>
        </w:rPr>
        <w:t>The World Health Organization</w:t>
      </w:r>
    </w:p>
    <w:p w14:paraId="5304BBA4" w14:textId="77777777" w:rsidR="005012B9" w:rsidRPr="00486970" w:rsidRDefault="005012B9" w:rsidP="00576CFA">
      <w:pPr>
        <w:pStyle w:val="MText"/>
        <w:rPr>
          <w:rFonts w:cstheme="minorHAnsi"/>
        </w:rPr>
      </w:pPr>
    </w:p>
    <w:p w14:paraId="5655E768" w14:textId="5429F32E" w:rsidR="00E46D96" w:rsidRPr="00486970" w:rsidRDefault="00E46D96" w:rsidP="00F719A8">
      <w:pPr>
        <w:pStyle w:val="MHeader2"/>
        <w:rPr>
          <w:rFonts w:cstheme="minorHAnsi"/>
        </w:rPr>
      </w:pPr>
      <w:r w:rsidRPr="00486970">
        <w:rPr>
          <w:rFonts w:cstheme="minorHAnsi"/>
        </w:rPr>
        <w:t>3.g. Institutional mandate</w:t>
      </w:r>
    </w:p>
    <w:p w14:paraId="7D007C3C" w14:textId="68631AC1" w:rsidR="00EC2915" w:rsidRPr="00486970" w:rsidRDefault="00EC2915" w:rsidP="00576CFA">
      <w:pPr>
        <w:pStyle w:val="MText"/>
        <w:rPr>
          <w:rFonts w:cstheme="minorHAnsi"/>
        </w:rPr>
      </w:pPr>
    </w:p>
    <w:p w14:paraId="3D063F4C" w14:textId="77777777" w:rsidR="00F719A8" w:rsidRPr="00486970" w:rsidRDefault="00F719A8" w:rsidP="00576CFA">
      <w:pPr>
        <w:pStyle w:val="MText"/>
        <w:rPr>
          <w:rFonts w:cstheme="minorHAnsi"/>
        </w:rPr>
      </w:pPr>
    </w:p>
    <w:p w14:paraId="6149DC94" w14:textId="05781947" w:rsidR="00B31E2C" w:rsidRPr="00486970" w:rsidRDefault="00B31E2C" w:rsidP="00AF5ED1">
      <w:pPr>
        <w:pStyle w:val="MHeader"/>
        <w:rPr>
          <w:rFonts w:cstheme="minorHAnsi"/>
        </w:rPr>
      </w:pPr>
      <w:r w:rsidRPr="00486970">
        <w:rPr>
          <w:rFonts w:cstheme="minorHAnsi"/>
        </w:rPr>
        <w:t>4. Other methodological considerations</w:t>
      </w:r>
    </w:p>
    <w:p w14:paraId="1AFA5517" w14:textId="54FD9B10" w:rsidR="00AF5ED1" w:rsidRPr="00486970" w:rsidRDefault="00576CFA" w:rsidP="00F719A8">
      <w:pPr>
        <w:pStyle w:val="MHeader2"/>
        <w:rPr>
          <w:rFonts w:cstheme="minorHAnsi"/>
        </w:rPr>
      </w:pPr>
      <w:r w:rsidRPr="00486970">
        <w:rPr>
          <w:rFonts w:cstheme="minorHAnsi"/>
        </w:rPr>
        <w:t>4.a. Rationale</w:t>
      </w:r>
    </w:p>
    <w:p w14:paraId="5B156459" w14:textId="05C8CFE0"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 xml:space="preserve">Measurement and monitoring of access to essential medicines are of high priority for the global development agenda given access is an integral part of the Universal Health Coverage movement and </w:t>
      </w:r>
      <w:r w:rsidRPr="00486970">
        <w:rPr>
          <w:rStyle w:val="normaltextrun"/>
          <w:rFonts w:asciiTheme="minorHAnsi" w:hAnsiTheme="minorHAnsi" w:cstheme="minorHAnsi"/>
          <w:color w:val="4A4A4A"/>
          <w:sz w:val="22"/>
          <w:szCs w:val="22"/>
          <w:lang w:val="en-GB"/>
        </w:rPr>
        <w:lastRenderedPageBreak/>
        <w:t>an indispensable element of the delivery of quality health care. Access to medicines is a composite multidimensional concept that is composed of the availability of medicines and the affordability of their prices. Information on these two dimensions has been collected and analysed since the 54</w:t>
      </w:r>
      <w:r w:rsidR="00B84B96" w:rsidRPr="00B84B96">
        <w:rPr>
          <w:rStyle w:val="normaltextrun"/>
          <w:rFonts w:asciiTheme="minorHAnsi" w:hAnsiTheme="minorHAnsi" w:cstheme="minorHAnsi"/>
          <w:color w:val="4A4A4A"/>
          <w:sz w:val="22"/>
          <w:szCs w:val="22"/>
          <w:vertAlign w:val="superscript"/>
          <w:lang w:val="en-GB"/>
        </w:rPr>
        <w:t>th</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World Health Assembly in 2001, when Member States adopted the WHO Medicines Strategy (resolution WHA54.11). This resolution led to the launch of the joint project on Medicine Prices and Availability by WHO and the international non-governmental organization Health Action International (HAI/WHO), as well as a proposed HAI/WHO methodology for collecting data and measuring components of access to medicines. To this day, this methodology has been widely implemented to produce useful analyses of availability and affordability of medicines, however the two dimensions have been evaluated separately.</w:t>
      </w:r>
    </w:p>
    <w:p w14:paraId="2E3344EF"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5EB7A30A" w14:textId="7FE843FC"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While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above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approach has provided an overview of the countries’ performance and progress on improving the affordability and availability of medicines, it has not allowed evaluation of overall access to medicines.</w:t>
      </w:r>
    </w:p>
    <w:p w14:paraId="0C851F79"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45F6A860" w14:textId="6A15216C"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This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evaluation is in turn essential as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success in ensuring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one of the dimensions (e.g.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availability) does not necessarily indicate the realization of the other (e.g.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affordability) and vice versa. For example, 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may focus its policy efforts on ensuring the availability of a core set of essential medicines in the event of low capacity of local production and/or challenges associated with geographic location. As a result of the proposed policies, medicines may become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available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but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their prices may not be affordable. The opposite situation is also possible, as lowering prices of medicines to increase affordability may be too restrictive for some pharmaceutical producers and lead to a decreased supply. Therefore, given the multidimensionality of access to medicines, it is necessary to evaluate both affordability and availability of 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at the same time.</w:t>
      </w:r>
    </w:p>
    <w:p w14:paraId="47B01C7A"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22A63A60" w14:textId="4A4151E8"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proposed</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methodology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indicator 3.b.3</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allows the combination of both dimensions into a single indicator</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evaluate the availability and affordability of medicines simultaneously. This methodology also allows for disaggregation so that each dimension can be analysed separately and the main driver of</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poor performance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of the overall index can be properly identified.</w:t>
      </w:r>
    </w:p>
    <w:p w14:paraId="46F0061A"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5E1A43FF" w14:textId="7405C35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Monitoring the core set of relevant essential medicines is based on the WHO</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Model List of</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Essential Medicines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(EML). The 2017 WHO EML contains 433 medications deemed essential for addressing the most important public health needs globally. The current index is computed based on a subset of</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tracer essential medicines for the treatment, prevention and management of acute and chronic, communicable and non-communicable diseases in</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primary health care setting.</w:t>
      </w:r>
    </w:p>
    <w:p w14:paraId="18EA7892" w14:textId="77777777" w:rsidR="00576CFA" w:rsidRPr="00486970" w:rsidRDefault="00576CFA" w:rsidP="00576CFA">
      <w:pPr>
        <w:pStyle w:val="MText"/>
        <w:rPr>
          <w:rFonts w:cstheme="minorHAnsi"/>
        </w:rPr>
      </w:pPr>
    </w:p>
    <w:p w14:paraId="2529B069" w14:textId="618DCD10" w:rsidR="00E1050F" w:rsidRPr="00486970" w:rsidRDefault="00E1050F" w:rsidP="00F719A8">
      <w:pPr>
        <w:pStyle w:val="MHeader2"/>
        <w:rPr>
          <w:rFonts w:cstheme="minorHAnsi"/>
        </w:rPr>
      </w:pPr>
      <w:r w:rsidRPr="00486970">
        <w:rPr>
          <w:rFonts w:cstheme="minorHAnsi"/>
        </w:rPr>
        <w:t>4.b. Comment and limitations</w:t>
      </w:r>
    </w:p>
    <w:p w14:paraId="2E69C227" w14:textId="745E1917" w:rsidR="00F70A66" w:rsidRPr="003B6F65" w:rsidRDefault="00F70A66" w:rsidP="00021E78">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sidRPr="00021E78">
        <w:rPr>
          <w:rStyle w:val="normaltextrun"/>
          <w:rFonts w:asciiTheme="minorHAnsi" w:hAnsiTheme="minorHAnsi" w:cstheme="minorHAnsi"/>
          <w:color w:val="4A4A4A"/>
          <w:sz w:val="22"/>
          <w:szCs w:val="22"/>
          <w:lang w:val="en-GB"/>
        </w:rPr>
        <w:t>On basket of tracer essential medicines:</w:t>
      </w:r>
    </w:p>
    <w:p w14:paraId="2A4A0D96" w14:textId="0126DE9A" w:rsidR="00F70A66" w:rsidRPr="006D207C" w:rsidRDefault="00F70A66" w:rsidP="003B6F65">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Although it is possible to regularly monitor all 400+ medicines on the current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Model List of Essential Medicines, indicator 3.b.3 requires a specific subset of this list. Over the years, several baskets of medicines have been defined for different purposes and used to conduct data collection and monitor price and availability. This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core set of medicines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does not replace the other existing baskets, and WHO teams and partners are encouraged and committed to continue ad hoc monitoring through other existing channels.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Throughout the process of identifying the core set of medicines, one area of focus has been to balance the selection of the tracer</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for primary health care with the size of the basket itself. 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proposed</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basket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represents a balanced approach to allow that relevant tracer medicines for primary health care are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monitored yet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ensuring a practical and feasible data collection and analysis.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listed in the basket are meant to be indicative of the access to medicines for primary health care but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 not serve as 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complete or exhaustive list.</w:t>
      </w:r>
    </w:p>
    <w:p w14:paraId="4B36748A" w14:textId="77777777" w:rsidR="006D207C" w:rsidRPr="00486970" w:rsidRDefault="006D207C" w:rsidP="006D207C">
      <w:pPr>
        <w:pStyle w:val="paragraph"/>
        <w:spacing w:before="0" w:beforeAutospacing="0" w:after="0" w:afterAutospacing="0"/>
        <w:ind w:left="360"/>
        <w:jc w:val="both"/>
        <w:textAlignment w:val="baseline"/>
        <w:rPr>
          <w:rFonts w:asciiTheme="minorHAnsi" w:hAnsiTheme="minorHAnsi" w:cstheme="minorHAnsi"/>
          <w:color w:val="4A4A4A"/>
          <w:sz w:val="22"/>
          <w:szCs w:val="22"/>
        </w:rPr>
      </w:pPr>
    </w:p>
    <w:p w14:paraId="75F80EE7" w14:textId="0321ADA0" w:rsidR="00F70A66" w:rsidRPr="006D207C" w:rsidRDefault="00F70A66" w:rsidP="003B6F65">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lastRenderedPageBreak/>
        <w:t>As mentioned above,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each medicine in the basket is weighted according to the regional Disability Adjusted Life Years (DALYs)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relevant disease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from the WHO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health estimates.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Regional estimates are less sensitive to country-by-country variability of data quality,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sufficiently illustrate the disease distribution across countries in the region and work well due simplicity and comparability. Hence, regional weights for medicines are used to establish the associated country weights. However, this diminishes the specificity of the basket to the national context.</w:t>
      </w:r>
    </w:p>
    <w:p w14:paraId="4EC74E30" w14:textId="77777777" w:rsidR="006D207C" w:rsidRDefault="006D207C" w:rsidP="006D207C">
      <w:pPr>
        <w:pStyle w:val="ListParagraph"/>
        <w:spacing w:after="0"/>
        <w:rPr>
          <w:rStyle w:val="eop"/>
          <w:rFonts w:cstheme="minorHAnsi"/>
          <w:color w:val="4A4A4A"/>
        </w:rPr>
      </w:pPr>
    </w:p>
    <w:p w14:paraId="3E0E89C0" w14:textId="77777777" w:rsidR="006D207C" w:rsidRDefault="006D207C" w:rsidP="006D207C">
      <w:pPr>
        <w:pStyle w:val="paragraph"/>
        <w:spacing w:before="0" w:beforeAutospacing="0" w:after="0" w:afterAutospacing="0"/>
        <w:ind w:left="360"/>
        <w:jc w:val="both"/>
        <w:textAlignment w:val="baseline"/>
        <w:rPr>
          <w:rStyle w:val="eop"/>
          <w:rFonts w:asciiTheme="minorHAnsi" w:hAnsiTheme="minorHAnsi" w:cstheme="minorHAnsi"/>
          <w:color w:val="4A4A4A"/>
          <w:sz w:val="22"/>
          <w:szCs w:val="22"/>
        </w:rPr>
      </w:pPr>
    </w:p>
    <w:p w14:paraId="7DDD313E" w14:textId="3FA20A10" w:rsidR="003B6F65" w:rsidRDefault="003B6F65" w:rsidP="003B6F65">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Pr>
          <w:rFonts w:asciiTheme="minorHAnsi" w:hAnsiTheme="minorHAnsi" w:cstheme="minorHAnsi"/>
          <w:color w:val="4A4A4A"/>
          <w:sz w:val="22"/>
          <w:szCs w:val="22"/>
        </w:rPr>
        <w:t>On the measurement of medicines’ availability:</w:t>
      </w:r>
    </w:p>
    <w:p w14:paraId="2B1DFB05" w14:textId="52E71A0D" w:rsidR="00021E78" w:rsidRPr="006D207C" w:rsidRDefault="00F70A66" w:rsidP="00AC1F56">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The proposed approach for measuring the availability of medicines is based on the presence of the medicine on the day that the interviewer visits the facility and does not account for temporary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and/or planned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stock outs. The</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medicines identified for the analysis should always be available in the facilities considering that in some (mainly rural) areas, the facility may be very difficult to reach and individuals may not have resources to travel on a daily basis.</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Moreover,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in this proposed methodology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 price of the medicine does not take into consideration the so-called indirect costs, which normally include transportation and other costs to reach the facility. Thus, the proposed measure for availability presents some limitations.</w:t>
      </w:r>
    </w:p>
    <w:p w14:paraId="06DF5917" w14:textId="77777777" w:rsidR="006D207C" w:rsidRPr="006D207C" w:rsidRDefault="006D207C" w:rsidP="006D207C">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lang w:val="en-GB"/>
        </w:rPr>
      </w:pPr>
    </w:p>
    <w:p w14:paraId="03CC78BC" w14:textId="41697E34" w:rsidR="00F70A66"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Furthermore, given the data collection occurs at the facility level and does not monitor quantities of any given medicine, an overall analysis of the available medicines compared to the national needs is not possible.</w:t>
      </w:r>
    </w:p>
    <w:p w14:paraId="071B693C" w14:textId="77777777" w:rsidR="006D207C" w:rsidRPr="00021E78" w:rsidRDefault="006D207C"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p>
    <w:p w14:paraId="5E6FAD47" w14:textId="415BAE91" w:rsidR="00021E78" w:rsidRPr="006D207C" w:rsidRDefault="00F70A66" w:rsidP="00AC1F56">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sidRPr="00021E78">
        <w:rPr>
          <w:rFonts w:asciiTheme="minorHAnsi" w:hAnsiTheme="minorHAnsi" w:cstheme="minorHAnsi"/>
          <w:color w:val="4A4A4A"/>
          <w:sz w:val="22"/>
          <w:szCs w:val="22"/>
        </w:rPr>
        <w:t>On the measurement of</w:t>
      </w:r>
      <w:r w:rsidR="00244AC9">
        <w:rPr>
          <w:rFonts w:asciiTheme="minorHAnsi" w:hAnsiTheme="minorHAnsi" w:cstheme="minorHAnsi"/>
          <w:color w:val="4A4A4A"/>
          <w:sz w:val="22"/>
          <w:szCs w:val="22"/>
        </w:rPr>
        <w:t xml:space="preserve"> </w:t>
      </w:r>
      <w:r w:rsidRPr="00021E78">
        <w:rPr>
          <w:rFonts w:asciiTheme="minorHAnsi" w:hAnsiTheme="minorHAnsi" w:cstheme="minorHAnsi"/>
          <w:color w:val="4A4A4A"/>
          <w:sz w:val="22"/>
          <w:szCs w:val="22"/>
        </w:rPr>
        <w:t>medicines’</w:t>
      </w:r>
      <w:r w:rsidR="00244AC9">
        <w:rPr>
          <w:rFonts w:asciiTheme="minorHAnsi" w:hAnsiTheme="minorHAnsi" w:cstheme="minorHAnsi"/>
          <w:color w:val="4A4A4A"/>
          <w:sz w:val="22"/>
          <w:szCs w:val="22"/>
        </w:rPr>
        <w:t xml:space="preserve"> </w:t>
      </w:r>
      <w:r w:rsidRPr="00021E78">
        <w:rPr>
          <w:rFonts w:asciiTheme="minorHAnsi" w:hAnsiTheme="minorHAnsi" w:cstheme="minorHAnsi"/>
          <w:color w:val="4A4A4A"/>
          <w:sz w:val="22"/>
          <w:szCs w:val="22"/>
        </w:rPr>
        <w:t>affordability:</w:t>
      </w:r>
    </w:p>
    <w:p w14:paraId="41B793AE" w14:textId="180BDC4B" w:rsidR="00021E78" w:rsidRPr="00021E78" w:rsidRDefault="00F70A66" w:rsidP="00AC1F56">
      <w:pPr>
        <w:pStyle w:val="paragraph"/>
        <w:numPr>
          <w:ilvl w:val="1"/>
          <w:numId w:val="48"/>
        </w:numPr>
        <w:spacing w:before="0" w:beforeAutospacing="0" w:after="0" w:afterAutospacing="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Affordability of a medicine is often measured as the capacity of the population of a given country to pay for this medicine either ex-ante (usually based on income) or ex-post (usually based on reported expenditures). The latter would mainly require data collected at the individual level and from household surveys. However, information on medicine expenditures in these surveys is not always collected and when collected, is not done so consistently and regularly across the</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countries. In addition, there is usually a large amount of</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missing</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data.</w:t>
      </w:r>
    </w:p>
    <w:p w14:paraId="0D0488A8" w14:textId="77777777" w:rsidR="00021E78" w:rsidRDefault="00021E78" w:rsidP="00021E78">
      <w:pPr>
        <w:pStyle w:val="paragraph"/>
        <w:spacing w:before="0" w:beforeAutospacing="0" w:after="0" w:afterAutospacing="0"/>
        <w:ind w:left="360"/>
        <w:jc w:val="both"/>
        <w:textAlignment w:val="baseline"/>
        <w:rPr>
          <w:rStyle w:val="normaltextrun"/>
          <w:rFonts w:asciiTheme="minorHAnsi" w:hAnsiTheme="minorHAnsi" w:cstheme="minorHAnsi"/>
          <w:color w:val="4A4A4A"/>
          <w:sz w:val="22"/>
          <w:szCs w:val="22"/>
          <w:lang w:val="en-GB"/>
        </w:rPr>
      </w:pPr>
    </w:p>
    <w:p w14:paraId="6FC301CC" w14:textId="47D1AFE5" w:rsidR="00021E78" w:rsidRPr="00021E78" w:rsidRDefault="00F70A66" w:rsidP="00021E78">
      <w:pPr>
        <w:pStyle w:val="paragraph"/>
        <w:tabs>
          <w:tab w:val="left" w:pos="900"/>
        </w:tabs>
        <w:spacing w:before="0" w:beforeAutospacing="0" w:after="0" w:afterAutospacing="0"/>
        <w:ind w:left="72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ex-ante approach is suggested for the purposes of this indicator as it is measured at the facility level. Ex-ante analysis requires identifying a reference person or group of people for the measurement. The lowest paid unskilled government worker is suggested to serve as the reference for this indicator. In other words, if a medicine is identified as being affordable for the individual who receives the LPGW wage, it will most likely be affordable for all other individuals affiliated with that economic group and higher. This obviously does not account for people employed in the unofficial labour market.</w:t>
      </w:r>
    </w:p>
    <w:p w14:paraId="2EFFAB08" w14:textId="77777777" w:rsidR="00021E78" w:rsidRDefault="00021E78"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2058C6B0" w14:textId="59F94F0C" w:rsidR="00021E78"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The proposed methodology is an adjusted HAI/WHO methodology.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 HAI/WHO approach suggests computing the affordability of medicine prices as the number of daily wages that are required for the lowest paid unskilled government worker (LPGW) to purchase a daily dose of a medicine (DDD). This approach is straightforward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and also</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refers to the capacity of the reference individual to pay for the medicines. However, no threshold was identified to distinguish the maximum number of daily wages that an individual must spend on a medicine in order to still be able to afford it.</w:t>
      </w:r>
    </w:p>
    <w:p w14:paraId="4C5A6E41" w14:textId="77777777" w:rsidR="006D207C" w:rsidRPr="00021E78" w:rsidRDefault="006D207C" w:rsidP="00021E78">
      <w:pPr>
        <w:pStyle w:val="paragraph"/>
        <w:spacing w:before="0" w:beforeAutospacing="0" w:after="0" w:afterAutospacing="0"/>
        <w:ind w:left="720"/>
        <w:jc w:val="both"/>
        <w:textAlignment w:val="baseline"/>
        <w:rPr>
          <w:rStyle w:val="eop"/>
          <w:rFonts w:asciiTheme="minorHAnsi" w:hAnsiTheme="minorHAnsi" w:cstheme="minorHAnsi"/>
          <w:color w:val="4A4A4A"/>
          <w:sz w:val="18"/>
          <w:szCs w:val="18"/>
        </w:rPr>
      </w:pPr>
    </w:p>
    <w:p w14:paraId="4645317A" w14:textId="444486DC" w:rsidR="00021E78" w:rsidRPr="006D207C" w:rsidRDefault="00F70A66" w:rsidP="00AC1F56">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Information on minimum LPGW wage is available by the International Labour Organization (ILO) for 155</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countries. When information is missing or when information has not been updated recently, the alternative measure suggested is to be taken from the World Development Indicators data on</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“minimum wage for a</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19-year old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worker or an apprentice”, which is often used as an alternative in ILO reports.</w:t>
      </w:r>
    </w:p>
    <w:p w14:paraId="13F67832" w14:textId="77777777" w:rsidR="006D207C" w:rsidRPr="00021E78" w:rsidRDefault="006D207C" w:rsidP="006D207C">
      <w:pPr>
        <w:pStyle w:val="paragraph"/>
        <w:spacing w:before="0" w:beforeAutospacing="0" w:after="0" w:afterAutospacing="0"/>
        <w:ind w:left="360"/>
        <w:jc w:val="both"/>
        <w:textAlignment w:val="baseline"/>
        <w:rPr>
          <w:rStyle w:val="eop"/>
          <w:rFonts w:asciiTheme="minorHAnsi" w:hAnsiTheme="minorHAnsi" w:cstheme="minorHAnsi"/>
          <w:color w:val="4A4A4A"/>
          <w:sz w:val="18"/>
          <w:szCs w:val="18"/>
        </w:rPr>
      </w:pPr>
    </w:p>
    <w:p w14:paraId="71EB484F" w14:textId="11F35143" w:rsidR="00021E78" w:rsidRPr="00021E78" w:rsidRDefault="00F70A66" w:rsidP="00AC1F56">
      <w:pPr>
        <w:pStyle w:val="paragraph"/>
        <w:numPr>
          <w:ilvl w:val="1"/>
          <w:numId w:val="48"/>
        </w:numPr>
        <w:spacing w:before="0" w:beforeAutospacing="0" w:after="0" w:afterAutospacing="0"/>
        <w:jc w:val="both"/>
        <w:textAlignment w:val="baseline"/>
        <w:rPr>
          <w:rStyle w:val="superscript"/>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proposed indicator, being measured at the facility level, does not account for potential reimbursement schemes/insurance coverage present at the national level. Information about insurance or other forms of cost-coverage schemes at the national level is not readily available and would require standardization to allow for comparison across countries and income levels of the population.</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However,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as demonstrated by the OECD in its Health</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at a Glance</w:t>
      </w:r>
      <w:r w:rsidR="00FA714A">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report in 2015, in 31 high- and middle-income countries the out-of-pocket (OOP) expenditures on pharmaceuticals as a share of all OOP on health varies from 64 to 16%.</w:t>
      </w:r>
    </w:p>
    <w:p w14:paraId="47F5AD49" w14:textId="77777777" w:rsidR="00021E78" w:rsidRDefault="00021E78" w:rsidP="00021E78">
      <w:pPr>
        <w:pStyle w:val="paragraph"/>
        <w:tabs>
          <w:tab w:val="left" w:pos="720"/>
        </w:tabs>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599F77C6" w14:textId="62BD4766" w:rsidR="00F70A66" w:rsidRPr="00021E78" w:rsidRDefault="00F70A66" w:rsidP="00021E78">
      <w:pPr>
        <w:pStyle w:val="paragraph"/>
        <w:tabs>
          <w:tab w:val="left" w:pos="720"/>
        </w:tabs>
        <w:spacing w:before="0" w:beforeAutospacing="0" w:after="0" w:afterAutospacing="0"/>
        <w:ind w:left="72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Moreover,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there are other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SDG</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indicators, such as 3.8.1 and 3.8.2 that capture coverage of essential health services as well as financial protection from health expenditures net of reimbursement, including expenditures for medicines.</w:t>
      </w:r>
    </w:p>
    <w:p w14:paraId="76B85F0D" w14:textId="12690892" w:rsidR="00021E78" w:rsidRPr="00021E78" w:rsidRDefault="00F70A66" w:rsidP="00AC1F56">
      <w:pPr>
        <w:pStyle w:val="paragraph"/>
        <w:numPr>
          <w:ilvl w:val="0"/>
          <w:numId w:val="48"/>
        </w:numPr>
        <w:spacing w:before="0" w:beforeAutospacing="0" w:after="0" w:afterAutospacing="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Other dimensions on access to medicines (quality)</w:t>
      </w:r>
    </w:p>
    <w:p w14:paraId="1E670D06" w14:textId="0332789E" w:rsidR="006D207C" w:rsidRPr="006D207C" w:rsidRDefault="00F70A66" w:rsidP="00021E78">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quality of the product is another equally important dimension of access to medicines. Currently, there is no systematic and publicly available data collection on quality of a single medicine or in a single country.</w:t>
      </w:r>
      <w:r w:rsidR="00B84B96">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WHO has, however, contributed to enhanced access to quality health products through different programmes such as regulatory systems strengthening and prequalification.</w:t>
      </w:r>
    </w:p>
    <w:p w14:paraId="2C10CFBD" w14:textId="726B6DED" w:rsidR="00F70A66" w:rsidRPr="00021E78" w:rsidRDefault="00F70A66" w:rsidP="00021E78">
      <w:pPr>
        <w:pStyle w:val="paragraph"/>
        <w:numPr>
          <w:ilvl w:val="1"/>
          <w:numId w:val="48"/>
        </w:numPr>
        <w:spacing w:before="0" w:beforeAutospacing="0" w:after="0" w:afterAutospacing="0"/>
        <w:jc w:val="both"/>
        <w:textAlignment w:val="baseline"/>
        <w:rPr>
          <w:rFonts w:asciiTheme="minorHAnsi" w:hAnsiTheme="minorHAnsi" w:cstheme="minorHAnsi"/>
          <w:color w:val="4A4A4A"/>
          <w:sz w:val="18"/>
          <w:szCs w:val="18"/>
        </w:rPr>
      </w:pPr>
    </w:p>
    <w:p w14:paraId="27950B22" w14:textId="5FA1C915" w:rsidR="006D207C"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A national regulatory authority (NRA) plays a key role in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assuring the quality, safety, and efficacy of medical products until they reach the patient/consumer, as well as ensuring the relevance and accuracy of product information. Hence, stable, well-functioning and integrated regulatory systems are an essential component of a health system and contribute to better public health outcomes.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NRA maturity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 WHO prequalification of</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can be considered as a proxy for</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ensuring that medicines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 are of assured quality. The NRA maturity level is assessed using the WHO National Regulatory Authority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Benchmarking Tool (WHO NRA</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GBT). After the</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evaluations, countries are assigned one of five levels of maturity, with a score of</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maturity 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three representing the minimum acceptable regulatory capacity and</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maturity 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five representing the highest level of functioning.</w:t>
      </w:r>
    </w:p>
    <w:p w14:paraId="1BFE5636" w14:textId="1BD8E26F" w:rsidR="00F70A66" w:rsidRPr="00486970"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p>
    <w:p w14:paraId="073E1336" w14:textId="3355A79B" w:rsidR="00F70A66" w:rsidRPr="00486970"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 importance of transparency and the disclosure of the results of assessments amongst regulators (from ML 3 up) are taken into consideration.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However, the information on country-specific NRA maturity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not currently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publicly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available and WHO is working to address this limitation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through recent discussions on WHO Listed Authorities (WLA).</w:t>
      </w:r>
    </w:p>
    <w:p w14:paraId="720D6096" w14:textId="6A736FF3" w:rsidR="00021E78" w:rsidRPr="00021E78" w:rsidRDefault="00F70A66" w:rsidP="00AC1F56">
      <w:pPr>
        <w:pStyle w:val="paragraph"/>
        <w:numPr>
          <w:ilvl w:val="0"/>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Other comments:</w:t>
      </w:r>
    </w:p>
    <w:p w14:paraId="3B3F4C33" w14:textId="614B5B62" w:rsidR="00021E78" w:rsidRPr="00021E78" w:rsidRDefault="00F70A66" w:rsidP="00AC1F56">
      <w:pPr>
        <w:pStyle w:val="paragraph"/>
        <w:numPr>
          <w:ilvl w:val="1"/>
          <w:numId w:val="48"/>
        </w:numPr>
        <w:spacing w:before="0" w:beforeAutospacing="0" w:after="0" w:afterAutospacing="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“sustainability”</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dimension in</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this indicator</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can be measured only when more than</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one-time</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series of</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computations</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is available for</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 specific</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country so that a trend</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(tendency of a series of data points to move in a certain direction over time)</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can be identified.</w:t>
      </w:r>
    </w:p>
    <w:p w14:paraId="3A0D4564" w14:textId="77777777" w:rsidR="00021E78" w:rsidRDefault="00021E78"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4D847471" w14:textId="22FDA99A" w:rsidR="00F70A66" w:rsidRPr="00021E78"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proposed methodology takes advantage of recognized standards and data collection methods, proposing a recombination of dimensions to allow measurement of affordability of a core set of relevant essential medicines for communicable and non-communicable diseases.</w:t>
      </w:r>
    </w:p>
    <w:p w14:paraId="398C00AE" w14:textId="424A0131" w:rsidR="00EC2915" w:rsidRPr="00486970" w:rsidRDefault="00EC2915" w:rsidP="00486970">
      <w:pPr>
        <w:pStyle w:val="paragraph"/>
        <w:spacing w:before="0" w:beforeAutospacing="0" w:after="0" w:afterAutospacing="0"/>
        <w:jc w:val="both"/>
        <w:textAlignment w:val="baseline"/>
        <w:rPr>
          <w:rFonts w:asciiTheme="minorHAnsi" w:hAnsiTheme="minorHAnsi" w:cstheme="minorHAnsi"/>
          <w:color w:val="4A4A4A"/>
          <w:sz w:val="18"/>
          <w:szCs w:val="18"/>
        </w:rPr>
      </w:pPr>
    </w:p>
    <w:p w14:paraId="79EEEE38" w14:textId="75AB172D" w:rsidR="00E1050F" w:rsidRPr="00486970" w:rsidRDefault="00E1050F" w:rsidP="00F719A8">
      <w:pPr>
        <w:pStyle w:val="MHeader2"/>
        <w:rPr>
          <w:rFonts w:cstheme="minorHAnsi"/>
        </w:rPr>
      </w:pPr>
      <w:r w:rsidRPr="00486970">
        <w:rPr>
          <w:rFonts w:cstheme="minorHAnsi"/>
        </w:rPr>
        <w:t>4.c. Method of computation</w:t>
      </w:r>
    </w:p>
    <w:p w14:paraId="083F01D4"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The index is computed as a ratio of the health facilities with available and affordable medicines for primary health care over the total number of the surveyed health facilities:</w:t>
      </w:r>
    </w:p>
    <w:p w14:paraId="7435DFD4"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p>
    <w:p w14:paraId="51D8C299" w14:textId="77777777" w:rsidR="00F70A66" w:rsidRPr="00486970" w:rsidRDefault="000B31FA" w:rsidP="00F70A66">
      <w:pPr>
        <w:shd w:val="clear" w:color="auto" w:fill="FFFFFF" w:themeFill="background1"/>
        <w:spacing w:after="120" w:line="240" w:lineRule="auto"/>
        <w:jc w:val="both"/>
        <w:rPr>
          <w:rFonts w:eastAsia="Times New Roman" w:cstheme="minorHAnsi"/>
          <w:color w:val="4A4A4A"/>
        </w:rPr>
      </w:pPr>
      <m:oMathPara>
        <m:oMath>
          <m:sSub>
            <m:sSubPr>
              <m:ctrlPr>
                <w:rPr>
                  <w:rFonts w:ascii="Cambria Math" w:eastAsia="Cambria Math" w:hAnsi="Cambria Math" w:cstheme="minorHAnsi"/>
                  <w:i/>
                  <w:color w:val="4A4A4A"/>
                </w:rPr>
              </m:ctrlPr>
            </m:sSubPr>
            <m:e>
              <m:r>
                <w:rPr>
                  <w:rFonts w:ascii="Cambria Math" w:eastAsia="Cambria Math" w:hAnsi="Cambria Math" w:cstheme="minorHAnsi"/>
                  <w:color w:val="4A4A4A"/>
                </w:rPr>
                <m:t>SDG</m:t>
              </m:r>
            </m:e>
            <m:sub>
              <m:r>
                <w:rPr>
                  <w:rFonts w:ascii="Cambria Math" w:eastAsia="Cambria Math" w:hAnsi="Cambria Math" w:cstheme="minorHAnsi"/>
                  <w:color w:val="4A4A4A"/>
                </w:rPr>
                <m:t>3.b.3</m:t>
              </m:r>
            </m:sub>
          </m:sSub>
          <m:r>
            <w:rPr>
              <w:rFonts w:ascii="Cambria Math" w:eastAsia="Cambria Math" w:hAnsi="Cambria Math" w:cstheme="minorHAnsi"/>
              <w:color w:val="4A4A4A"/>
            </w:rPr>
            <m:t>=</m:t>
          </m:r>
          <m:f>
            <m:fPr>
              <m:ctrlPr>
                <w:rPr>
                  <w:rFonts w:ascii="Cambria Math" w:eastAsia="Cambria Math" w:hAnsi="Cambria Math" w:cstheme="minorHAnsi"/>
                  <w:color w:val="4A4A4A"/>
                </w:rPr>
              </m:ctrlPr>
            </m:fPr>
            <m:num>
              <m:r>
                <w:rPr>
                  <w:rFonts w:ascii="Cambria Math" w:eastAsia="Cambria Math" w:hAnsi="Cambria Math" w:cstheme="minorHAnsi"/>
                  <w:color w:val="4A4A4A"/>
                </w:rPr>
                <m:t>Facilities with available and affordable basket of medicines (n)</m:t>
              </m:r>
            </m:num>
            <m:den>
              <m:r>
                <w:rPr>
                  <w:rFonts w:ascii="Cambria Math" w:eastAsia="Cambria Math" w:hAnsi="Cambria Math" w:cstheme="minorHAnsi"/>
                  <w:color w:val="4A4A4A"/>
                </w:rPr>
                <m:t>Surveyed Facilities (n)</m:t>
              </m:r>
            </m:den>
          </m:f>
        </m:oMath>
      </m:oMathPara>
    </w:p>
    <w:p w14:paraId="03AE47B8"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p>
    <w:p w14:paraId="5002130B" w14:textId="5E4E559D" w:rsidR="00F70A66" w:rsidRPr="00486970" w:rsidRDefault="00F70A66" w:rsidP="00F70A66">
      <w:pPr>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lastRenderedPageBreak/>
        <w:t>For this indicator, the following variables are considered for a multidimensional understanding of the components of access to medicines:</w:t>
      </w:r>
    </w:p>
    <w:p w14:paraId="7AA1657C"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 xml:space="preserve">A core set of relevant essential medicines for primary healthcare </w:t>
      </w:r>
    </w:p>
    <w:p w14:paraId="1CBF33BF"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Regional burden of disease</w:t>
      </w:r>
    </w:p>
    <w:p w14:paraId="6E30D6DD"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Availability of a medicine</w:t>
      </w:r>
    </w:p>
    <w:p w14:paraId="62AFCA21"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Price of a medicine</w:t>
      </w:r>
    </w:p>
    <w:p w14:paraId="0CEA38EC"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Treatment courses for each medicine (number of units per treatment &amp; duration of treatment)</w:t>
      </w:r>
    </w:p>
    <w:p w14:paraId="10965C8D"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National poverty line and lowest-paid unskilled government worker (LPGW) wage</w:t>
      </w:r>
    </w:p>
    <w:p w14:paraId="73694424"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Proxy for quality of the core set of relevant essential medicines.</w:t>
      </w:r>
    </w:p>
    <w:p w14:paraId="28681EC1"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The index is measured for each facility separately. Then a proportion of facilities that have accessible medicines is computed. The following </w:t>
      </w:r>
      <w:r w:rsidRPr="00486970">
        <w:rPr>
          <w:rFonts w:eastAsia="Cambria Math" w:cstheme="minorHAnsi"/>
          <w:b/>
          <w:bCs/>
          <w:color w:val="4A4A4A"/>
        </w:rPr>
        <w:t>steps</w:t>
      </w:r>
      <w:r w:rsidRPr="00486970">
        <w:rPr>
          <w:rFonts w:eastAsia="Cambria Math" w:cstheme="minorHAnsi"/>
          <w:color w:val="4A4A4A"/>
        </w:rPr>
        <w:t xml:space="preserve"> must be taken to compute the index at the </w:t>
      </w:r>
      <w:r w:rsidRPr="00486970">
        <w:rPr>
          <w:rFonts w:eastAsia="Cambria Math" w:cstheme="minorHAnsi"/>
          <w:color w:val="4A4A4A"/>
          <w:u w:val="single"/>
        </w:rPr>
        <w:t>facility level</w:t>
      </w:r>
      <w:r w:rsidRPr="00486970">
        <w:rPr>
          <w:rFonts w:eastAsia="Cambria Math" w:cstheme="minorHAnsi"/>
          <w:color w:val="4A4A4A"/>
        </w:rPr>
        <w:t>:</w:t>
      </w:r>
    </w:p>
    <w:p w14:paraId="3D708763"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Review and selection of the core basket of medicines for primary health care</w:t>
      </w:r>
    </w:p>
    <w:p w14:paraId="2106C06D"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Estimate weights for the defined medicines based on regional burden of disease</w:t>
      </w:r>
    </w:p>
    <w:p w14:paraId="1B10D8D0"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Measure the two dimensions of the access to medicine</w:t>
      </w:r>
    </w:p>
    <w:p w14:paraId="705A546A" w14:textId="77777777" w:rsidR="00F70A66" w:rsidRPr="00486970" w:rsidRDefault="00F70A66" w:rsidP="00397ADD">
      <w:pPr>
        <w:numPr>
          <w:ilvl w:val="4"/>
          <w:numId w:val="13"/>
        </w:numPr>
        <w:pBdr>
          <w:top w:val="nil"/>
          <w:left w:val="nil"/>
          <w:bottom w:val="nil"/>
          <w:right w:val="nil"/>
          <w:between w:val="nil"/>
        </w:pBdr>
        <w:spacing w:after="120" w:line="240" w:lineRule="auto"/>
        <w:ind w:left="1418"/>
        <w:contextualSpacing/>
        <w:jc w:val="both"/>
        <w:rPr>
          <w:rFonts w:eastAsia="Cambria Math" w:cstheme="minorHAnsi"/>
          <w:color w:val="4A4A4A"/>
        </w:rPr>
      </w:pPr>
      <w:r w:rsidRPr="00486970">
        <w:rPr>
          <w:rFonts w:eastAsia="Cambria Math" w:cstheme="minorHAnsi"/>
          <w:color w:val="4A4A4A"/>
        </w:rPr>
        <w:t>Availability</w:t>
      </w:r>
    </w:p>
    <w:p w14:paraId="546550D5" w14:textId="77777777" w:rsidR="00F70A66" w:rsidRPr="00486970" w:rsidRDefault="00F70A66" w:rsidP="00397ADD">
      <w:pPr>
        <w:numPr>
          <w:ilvl w:val="4"/>
          <w:numId w:val="13"/>
        </w:numPr>
        <w:pBdr>
          <w:top w:val="nil"/>
          <w:left w:val="nil"/>
          <w:bottom w:val="nil"/>
          <w:right w:val="nil"/>
          <w:between w:val="nil"/>
        </w:pBdr>
        <w:spacing w:after="120" w:line="240" w:lineRule="auto"/>
        <w:ind w:left="1418"/>
        <w:contextualSpacing/>
        <w:jc w:val="both"/>
        <w:rPr>
          <w:rFonts w:eastAsia="Cambria Math" w:cstheme="minorHAnsi"/>
          <w:color w:val="4A4A4A"/>
        </w:rPr>
      </w:pPr>
      <w:r w:rsidRPr="00486970">
        <w:rPr>
          <w:rFonts w:eastAsia="Cambria Math" w:cstheme="minorHAnsi"/>
          <w:color w:val="4A4A4A"/>
        </w:rPr>
        <w:t>Affordability</w:t>
      </w:r>
    </w:p>
    <w:p w14:paraId="4DDACBA0"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Combine the two dimensions on availability and affordability (access to medicines)</w:t>
      </w:r>
    </w:p>
    <w:p w14:paraId="5DC2A791"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Apply weights to the medicine in the basket according to the regional prevalence of the diseases that are cured, treated, and controlled by these medicines</w:t>
      </w:r>
    </w:p>
    <w:p w14:paraId="0FA35BD7"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Identify whether a facility has a core set of relevant essential medicines available and affordable </w:t>
      </w:r>
    </w:p>
    <w:p w14:paraId="09070BBE"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The next two steps are calculated at the </w:t>
      </w:r>
      <w:r w:rsidRPr="00486970">
        <w:rPr>
          <w:rFonts w:eastAsia="Cambria Math" w:cstheme="minorHAnsi"/>
          <w:color w:val="4A4A4A"/>
          <w:u w:val="single"/>
        </w:rPr>
        <w:t>country level</w:t>
      </w:r>
      <w:r w:rsidRPr="00486970">
        <w:rPr>
          <w:rFonts w:eastAsia="Cambria Math" w:cstheme="minorHAnsi"/>
          <w:color w:val="4A4A4A"/>
        </w:rPr>
        <w:t xml:space="preserve"> across all the surveyed facilities:</w:t>
      </w:r>
    </w:p>
    <w:p w14:paraId="6E5A3A2F"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Calculate the indicator as the proportion of facilities with accessible medicines in the country</w:t>
      </w:r>
    </w:p>
    <w:p w14:paraId="167705D4"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Consideration of the quality of the accessible medicines in the country using a proxy</w:t>
      </w:r>
    </w:p>
    <w:p w14:paraId="6F274717"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Below is a more detailed procedure of the index computation.</w:t>
      </w:r>
    </w:p>
    <w:p w14:paraId="50DF3C95"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 xml:space="preserve">Step 1: Review and selection of the core basket of medicines for primary health care </w:t>
      </w:r>
    </w:p>
    <w:p w14:paraId="1F240A74" w14:textId="77777777" w:rsidR="00F70A66" w:rsidRPr="00486970" w:rsidRDefault="00F70A66" w:rsidP="00F70A66">
      <w:pPr>
        <w:pBdr>
          <w:top w:val="nil"/>
          <w:left w:val="nil"/>
          <w:bottom w:val="nil"/>
          <w:right w:val="nil"/>
          <w:between w:val="nil"/>
        </w:pBdr>
        <w:spacing w:after="120" w:line="240" w:lineRule="auto"/>
        <w:jc w:val="both"/>
        <w:rPr>
          <w:rFonts w:cstheme="minorHAnsi"/>
          <w:color w:val="4A4A4A"/>
        </w:rPr>
      </w:pPr>
      <w:r w:rsidRPr="00486970">
        <w:rPr>
          <w:rFonts w:eastAsia="SimSun" w:cstheme="minorHAnsi"/>
          <w:color w:val="4A4A4A"/>
        </w:rPr>
        <w:t>For some of the disease categories captured by the proposed basket of medicines, a therapeutic category of medicine has been specified (e.g. statins, beta blockers, corticosteroids, etc.) and a specific medicine must be identified for monitoring. For example, beclomethasone is used to treat non-communicable respiratory disease and if it is not supplied in a particular country for some policy or market reason, an alternative corticosteroid inhaler must be included in the analysis. In other cases, more than one medicine should be included in the basket per disease category. This will require a preliminary review of the basket before starting the data collection process.</w:t>
      </w:r>
    </w:p>
    <w:p w14:paraId="44B1D450"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2: Estimate weights for the defined medicines based on regional burden of disease</w:t>
      </w:r>
    </w:p>
    <w:p w14:paraId="752AE889"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The following points must be considered when computing medicines’ weights:</w:t>
      </w:r>
    </w:p>
    <w:p w14:paraId="0A27CA0E"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Equal weights are assigned to medicines that are used to treat, cure, and control the same disease(s) (e.g. gliclazide (or other sulfonylurea), metformin and insulin regular are assigned equal weights according to the diabetes disease burden).</w:t>
      </w:r>
    </w:p>
    <w:p w14:paraId="337F3F59"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For a medicine indicated for multiple diseases, DALYs values for each disease are summed.</w:t>
      </w:r>
    </w:p>
    <w:p w14:paraId="33ADFF04"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For a medicine used for treating conditions for children (four medicines from the list) sum of DALYs is computed for males and females at the age between 0 and 14 years. </w:t>
      </w:r>
    </w:p>
    <w:p w14:paraId="351D1372" w14:textId="1EC86390"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For some of the medicines which cannot be assigned to a specific disease (e.g. paracetamol) the weight is computed as  </w:t>
      </w:r>
      <m:oMath>
        <m:f>
          <m:fPr>
            <m:ctrlPr>
              <w:rPr>
                <w:rFonts w:ascii="Cambria Math" w:eastAsia="Cambria Math" w:hAnsi="Cambria Math" w:cstheme="minorHAnsi"/>
                <w:i/>
                <w:color w:val="4A4A4A"/>
              </w:rPr>
            </m:ctrlPr>
          </m:fPr>
          <m:num>
            <m:r>
              <w:rPr>
                <w:rFonts w:ascii="Cambria Math" w:eastAsia="Cambria Math" w:hAnsi="Cambria Math" w:cstheme="minorHAnsi"/>
                <w:color w:val="4A4A4A"/>
              </w:rPr>
              <m:t>1</m:t>
            </m:r>
          </m:num>
          <m:den>
            <m:r>
              <w:rPr>
                <w:rFonts w:ascii="Cambria Math" w:eastAsia="Cambria Math" w:hAnsi="Cambria Math" w:cstheme="minorHAnsi"/>
                <w:color w:val="4A4A4A"/>
              </w:rPr>
              <m:t>T</m:t>
            </m:r>
          </m:den>
        </m:f>
      </m:oMath>
      <w:r w:rsidRPr="00486970">
        <w:rPr>
          <w:rFonts w:eastAsia="Cambria Math" w:cstheme="minorHAnsi"/>
          <w:color w:val="4A4A4A"/>
        </w:rPr>
        <w:t xml:space="preserve">  (where T is a total number of medicines in the surveyed basket) assuming equal use of the medicine relative to other medicines in the core list. </w:t>
      </w:r>
    </w:p>
    <w:p w14:paraId="377FD1D5"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lastRenderedPageBreak/>
        <w:t xml:space="preserve">For medicines not in the list but “suggested for monitoring” by the country, weight is computed as </w:t>
      </w:r>
      <m:oMath>
        <m:r>
          <w:rPr>
            <w:rFonts w:ascii="Cambria Math" w:eastAsia="Cambria Math" w:hAnsi="Cambria Math" w:cstheme="minorHAnsi"/>
            <w:color w:val="4A4A4A"/>
          </w:rPr>
          <m:t>0.5*</m:t>
        </m:r>
        <m:f>
          <m:fPr>
            <m:ctrlPr>
              <w:rPr>
                <w:rFonts w:ascii="Cambria Math" w:eastAsia="Cambria Math" w:hAnsi="Cambria Math" w:cstheme="minorHAnsi"/>
                <w:i/>
                <w:color w:val="4A4A4A"/>
              </w:rPr>
            </m:ctrlPr>
          </m:fPr>
          <m:num>
            <m:r>
              <w:rPr>
                <w:rFonts w:ascii="Cambria Math" w:eastAsia="Cambria Math" w:hAnsi="Cambria Math" w:cstheme="minorHAnsi"/>
                <w:color w:val="4A4A4A"/>
              </w:rPr>
              <m:t>1</m:t>
            </m:r>
          </m:num>
          <m:den>
            <m:r>
              <w:rPr>
                <w:rFonts w:ascii="Cambria Math" w:eastAsia="Cambria Math" w:hAnsi="Cambria Math" w:cstheme="minorHAnsi"/>
                <w:color w:val="4A4A4A"/>
              </w:rPr>
              <m:t>T</m:t>
            </m:r>
          </m:den>
        </m:f>
        <m:r>
          <w:rPr>
            <w:rFonts w:ascii="Cambria Math" w:eastAsia="Cambria Math" w:hAnsi="Cambria Math" w:cstheme="minorHAnsi"/>
            <w:color w:val="4A4A4A"/>
          </w:rPr>
          <m:t xml:space="preserve"> </m:t>
        </m:r>
      </m:oMath>
      <w:r w:rsidRPr="00486970">
        <w:rPr>
          <w:rFonts w:eastAsia="Cambria Math" w:cstheme="minorHAnsi"/>
          <w:color w:val="4A4A4A"/>
        </w:rPr>
        <w:t xml:space="preserve"> assuming a minor relevance of these medicines for this indicator and to avoid major issues in inter-country comparison. </w:t>
      </w:r>
    </w:p>
    <w:p w14:paraId="3DA1B4EA"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To estimate the weight for each medicine, the following </w:t>
      </w:r>
      <w:r w:rsidRPr="00486970">
        <w:rPr>
          <w:rFonts w:eastAsia="Cambria Math" w:cstheme="minorHAnsi"/>
          <w:color w:val="4A4A4A"/>
          <w:u w:val="single"/>
        </w:rPr>
        <w:t>steps</w:t>
      </w:r>
      <w:r w:rsidRPr="00486970">
        <w:rPr>
          <w:rFonts w:eastAsia="Cambria Math" w:cstheme="minorHAnsi"/>
          <w:color w:val="4A4A4A"/>
        </w:rPr>
        <w:t xml:space="preserve"> have to be undertaken:</w:t>
      </w:r>
    </w:p>
    <w:p w14:paraId="2C0BB6E8" w14:textId="77777777" w:rsidR="00F70A66" w:rsidRPr="00486970" w:rsidRDefault="00F70A66" w:rsidP="006D207C">
      <w:pPr>
        <w:pBdr>
          <w:top w:val="nil"/>
          <w:left w:val="nil"/>
          <w:bottom w:val="nil"/>
          <w:right w:val="nil"/>
          <w:between w:val="nil"/>
        </w:pBdr>
        <w:spacing w:after="120" w:line="240" w:lineRule="auto"/>
        <w:ind w:left="643"/>
        <w:contextualSpacing/>
        <w:jc w:val="both"/>
        <w:rPr>
          <w:rFonts w:eastAsia="Cambria Math" w:cstheme="minorHAnsi"/>
          <w:vanish/>
          <w:color w:val="4A4A4A"/>
        </w:rPr>
      </w:pPr>
    </w:p>
    <w:p w14:paraId="5874BE11"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Assign each medicine in the basket to one or several disease(s) that are treated/cured/controlled by that medicine (</w:t>
      </w:r>
      <w:r w:rsidRPr="00486970">
        <w:rPr>
          <w:rFonts w:eastAsia="Cambria Math" w:cstheme="minorHAnsi"/>
          <w:i/>
          <w:iCs/>
          <w:color w:val="4A4A4A"/>
        </w:rPr>
        <w:t>Annex 1 table 2</w:t>
      </w:r>
      <w:r w:rsidRPr="00486970">
        <w:rPr>
          <w:rFonts w:eastAsia="Cambria Math" w:cstheme="minorHAnsi"/>
          <w:color w:val="4A4A4A"/>
        </w:rPr>
        <w:t xml:space="preserve">) </w:t>
      </w:r>
    </w:p>
    <w:p w14:paraId="11AC7F93"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Assign to each disease the corresponding DALYs</w:t>
      </w:r>
      <w:r w:rsidRPr="00486970">
        <w:rPr>
          <w:rFonts w:eastAsia="Cambria Math" w:cstheme="minorHAnsi"/>
          <w:color w:val="4A4A4A"/>
          <w:vertAlign w:val="superscript"/>
        </w:rPr>
        <w:footnoteReference w:id="2"/>
      </w:r>
      <w:r w:rsidRPr="00486970">
        <w:rPr>
          <w:rFonts w:eastAsia="Cambria Math" w:cstheme="minorHAnsi"/>
          <w:color w:val="4A4A4A"/>
        </w:rPr>
        <w:t xml:space="preserve"> (if several diseases are treated with the same medicine, compute sum of these DALYs accordingly) [</w:t>
      </w:r>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 xml:space="preserve"> DALYs</m:t>
            </m:r>
          </m:e>
          <m:sub>
            <m:r>
              <w:rPr>
                <w:rFonts w:ascii="Cambria Math" w:eastAsia="Cambria Math" w:hAnsi="Cambria Math" w:cstheme="minorHAnsi"/>
                <w:color w:val="4A4A4A"/>
                <w:sz w:val="18"/>
              </w:rPr>
              <m:t>Mi</m:t>
            </m:r>
          </m:sub>
        </m:sSub>
      </m:oMath>
      <w:r w:rsidRPr="00486970">
        <w:rPr>
          <w:rFonts w:eastAsia="Cambria Math" w:cstheme="minorHAnsi"/>
          <w:color w:val="4A4A4A"/>
        </w:rPr>
        <w:t xml:space="preserve"> ]</w:t>
      </w:r>
    </w:p>
    <w:p w14:paraId="21A6E560"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 xml:space="preserve">Compute total sum of the DALYs per medicine [ </w:t>
      </w:r>
      <m:oMath>
        <m:sSub>
          <m:sSubPr>
            <m:ctrlPr>
              <w:rPr>
                <w:rFonts w:ascii="Cambria Math" w:eastAsia="Cambria Math" w:hAnsi="Cambria Math" w:cstheme="minorHAnsi"/>
                <w:i/>
                <w:color w:val="4A4A4A"/>
                <w:sz w:val="18"/>
              </w:rPr>
            </m:ctrlPr>
          </m:sSubPr>
          <m:e>
            <m:nary>
              <m:naryPr>
                <m:chr m:val="∑"/>
                <m:limLoc m:val="undOvr"/>
                <m:ctrlPr>
                  <w:rPr>
                    <w:rFonts w:ascii="Cambria Math" w:eastAsia="Cambria Math" w:hAnsi="Cambria Math" w:cstheme="minorHAnsi"/>
                    <w:i/>
                    <w:color w:val="4A4A4A"/>
                    <w:sz w:val="18"/>
                  </w:rPr>
                </m:ctrlPr>
              </m:naryPr>
              <m:sub>
                <m:r>
                  <w:rPr>
                    <w:rFonts w:ascii="Cambria Math" w:eastAsia="Cambria Math" w:hAnsi="Cambria Math" w:cstheme="minorHAnsi"/>
                    <w:color w:val="4A4A4A"/>
                    <w:sz w:val="18"/>
                  </w:rPr>
                  <m:t>i=1</m:t>
                </m:r>
              </m:sub>
              <m:sup>
                <m:r>
                  <w:rPr>
                    <w:rFonts w:ascii="Cambria Math" w:eastAsia="Cambria Math" w:hAnsi="Cambria Math" w:cstheme="minorHAnsi"/>
                    <w:color w:val="4A4A4A"/>
                    <w:sz w:val="18"/>
                  </w:rPr>
                  <m:t>32</m:t>
                </m:r>
              </m:sup>
              <m:e>
                <m:r>
                  <w:rPr>
                    <w:rFonts w:ascii="Cambria Math" w:eastAsia="Cambria Math" w:hAnsi="Cambria Math" w:cstheme="minorHAnsi"/>
                    <w:color w:val="4A4A4A"/>
                    <w:sz w:val="18"/>
                  </w:rPr>
                  <m:t>DALYs</m:t>
                </m:r>
              </m:e>
            </m:nary>
          </m:e>
          <m:sub>
            <m:r>
              <w:rPr>
                <w:rFonts w:ascii="Cambria Math" w:eastAsia="Cambria Math" w:hAnsi="Cambria Math" w:cstheme="minorHAnsi"/>
                <w:color w:val="4A4A4A"/>
                <w:sz w:val="18"/>
              </w:rPr>
              <m:t>Mi</m:t>
            </m:r>
          </m:sub>
        </m:sSub>
      </m:oMath>
      <w:r w:rsidRPr="00486970">
        <w:rPr>
          <w:rFonts w:eastAsia="Cambria Math" w:cstheme="minorHAnsi"/>
          <w:color w:val="4A4A4A"/>
        </w:rPr>
        <w:t xml:space="preserve"> ]</w:t>
      </w:r>
    </w:p>
    <w:p w14:paraId="1ABA457B"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Compute weight of each medicine as a proportion of the medicine specific DALYs to the total sum of DALYs in the basket [</w:t>
      </w:r>
      <m:oMath>
        <m:r>
          <w:rPr>
            <w:rFonts w:ascii="Cambria Math" w:eastAsia="Cambria Math" w:hAnsi="Cambria Math" w:cstheme="minorHAnsi"/>
            <w:color w:val="4A4A4A"/>
          </w:rPr>
          <m:t xml:space="preserve"> </m:t>
        </m:r>
        <m:sSub>
          <m:sSubPr>
            <m:ctrlPr>
              <w:rPr>
                <w:rFonts w:ascii="Cambria Math" w:eastAsia="Cambria Math" w:hAnsi="Cambria Math" w:cstheme="minorHAnsi"/>
                <w:i/>
                <w:color w:val="4A4A4A"/>
              </w:rPr>
            </m:ctrlPr>
          </m:sSubPr>
          <m:e>
            <m:r>
              <w:rPr>
                <w:rFonts w:ascii="Cambria Math" w:eastAsia="Cambria Math" w:hAnsi="Cambria Math" w:cstheme="minorHAnsi"/>
                <w:color w:val="4A4A4A"/>
              </w:rPr>
              <m:t>W</m:t>
            </m:r>
          </m:e>
          <m:sub>
            <m:r>
              <w:rPr>
                <w:rFonts w:ascii="Cambria Math" w:eastAsia="Cambria Math" w:hAnsi="Cambria Math" w:cstheme="minorHAnsi"/>
                <w:color w:val="4A4A4A"/>
              </w:rPr>
              <m:t>Mi</m:t>
            </m:r>
          </m:sub>
        </m:sSub>
      </m:oMath>
      <w:r w:rsidRPr="00486970">
        <w:rPr>
          <w:rFonts w:eastAsia="Cambria Math" w:cstheme="minorHAnsi"/>
          <w:color w:val="4A4A4A"/>
        </w:rPr>
        <w:t xml:space="preserve"> ]:</w:t>
      </w:r>
    </w:p>
    <w:p w14:paraId="77083C99" w14:textId="77777777" w:rsidR="00F70A66" w:rsidRPr="00486970" w:rsidRDefault="000B31FA" w:rsidP="00F70A66">
      <w:pPr>
        <w:pBdr>
          <w:top w:val="nil"/>
          <w:left w:val="nil"/>
          <w:bottom w:val="nil"/>
          <w:right w:val="nil"/>
          <w:between w:val="nil"/>
        </w:pBdr>
        <w:spacing w:after="120"/>
        <w:ind w:left="1440"/>
        <w:contextualSpacing/>
        <w:jc w:val="both"/>
        <w:rPr>
          <w:rFonts w:eastAsia="Cambria Math" w:cstheme="minorHAnsi"/>
          <w:color w:val="4A4A4A"/>
        </w:rPr>
      </w:pPr>
      <m:oMathPara>
        <m:oMathParaPr>
          <m:jc m:val="center"/>
        </m:oMathParaPr>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W</m:t>
              </m:r>
            </m:e>
            <m:sub>
              <m:r>
                <w:rPr>
                  <w:rFonts w:ascii="Cambria Math" w:eastAsia="Cambria Math" w:hAnsi="Cambria Math" w:cstheme="minorHAnsi"/>
                  <w:color w:val="4A4A4A"/>
                  <w:sz w:val="18"/>
                </w:rPr>
                <m:t>Mi</m:t>
              </m:r>
            </m:sub>
          </m:sSub>
          <m:r>
            <w:rPr>
              <w:rFonts w:ascii="Cambria Math" w:eastAsia="Cambria Math" w:hAnsi="Cambria Math" w:cstheme="minorHAnsi"/>
              <w:color w:val="4A4A4A"/>
              <w:sz w:val="18"/>
            </w:rPr>
            <m:t>=</m:t>
          </m:r>
          <m:f>
            <m:fPr>
              <m:ctrlPr>
                <w:rPr>
                  <w:rFonts w:ascii="Cambria Math" w:eastAsia="Cambria Math" w:hAnsi="Cambria Math" w:cstheme="minorHAnsi"/>
                  <w:i/>
                  <w:color w:val="4A4A4A"/>
                  <w:sz w:val="18"/>
                </w:rPr>
              </m:ctrlPr>
            </m:fPr>
            <m:num>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DALYs</m:t>
                  </m:r>
                </m:e>
                <m:sub>
                  <m:r>
                    <w:rPr>
                      <w:rFonts w:ascii="Cambria Math" w:eastAsia="Cambria Math" w:hAnsi="Cambria Math" w:cstheme="minorHAnsi"/>
                      <w:color w:val="4A4A4A"/>
                      <w:sz w:val="18"/>
                    </w:rPr>
                    <m:t>Mi</m:t>
                  </m:r>
                </m:sub>
              </m:sSub>
            </m:num>
            <m:den>
              <m:sSub>
                <m:sSubPr>
                  <m:ctrlPr>
                    <w:rPr>
                      <w:rFonts w:ascii="Cambria Math" w:eastAsia="Cambria Math" w:hAnsi="Cambria Math" w:cstheme="minorHAnsi"/>
                      <w:i/>
                      <w:color w:val="4A4A4A"/>
                      <w:sz w:val="18"/>
                    </w:rPr>
                  </m:ctrlPr>
                </m:sSubPr>
                <m:e>
                  <m:nary>
                    <m:naryPr>
                      <m:chr m:val="∑"/>
                      <m:limLoc m:val="undOvr"/>
                      <m:ctrlPr>
                        <w:rPr>
                          <w:rFonts w:ascii="Cambria Math" w:eastAsia="Cambria Math" w:hAnsi="Cambria Math" w:cstheme="minorHAnsi"/>
                          <w:i/>
                          <w:color w:val="4A4A4A"/>
                          <w:sz w:val="18"/>
                        </w:rPr>
                      </m:ctrlPr>
                    </m:naryPr>
                    <m:sub>
                      <m:r>
                        <w:rPr>
                          <w:rFonts w:ascii="Cambria Math" w:eastAsia="Cambria Math" w:hAnsi="Cambria Math" w:cstheme="minorHAnsi"/>
                          <w:color w:val="4A4A4A"/>
                          <w:sz w:val="18"/>
                        </w:rPr>
                        <m:t>i=1</m:t>
                      </m:r>
                    </m:sub>
                    <m:sup>
                      <m:r>
                        <w:rPr>
                          <w:rFonts w:ascii="Cambria Math" w:eastAsia="Cambria Math" w:hAnsi="Cambria Math" w:cstheme="minorHAnsi"/>
                          <w:color w:val="4A4A4A"/>
                          <w:sz w:val="18"/>
                        </w:rPr>
                        <m:t>32</m:t>
                      </m:r>
                    </m:sup>
                    <m:e>
                      <m:r>
                        <w:rPr>
                          <w:rFonts w:ascii="Cambria Math" w:eastAsia="Cambria Math" w:hAnsi="Cambria Math" w:cstheme="minorHAnsi"/>
                          <w:color w:val="4A4A4A"/>
                          <w:sz w:val="18"/>
                        </w:rPr>
                        <m:t>DALYs</m:t>
                      </m:r>
                    </m:e>
                  </m:nary>
                </m:e>
                <m:sub>
                  <m:r>
                    <w:rPr>
                      <w:rFonts w:ascii="Cambria Math" w:eastAsia="Cambria Math" w:hAnsi="Cambria Math" w:cstheme="minorHAnsi"/>
                      <w:color w:val="4A4A4A"/>
                      <w:sz w:val="18"/>
                    </w:rPr>
                    <m:t>Mi</m:t>
                  </m:r>
                </m:sub>
              </m:sSub>
            </m:den>
          </m:f>
        </m:oMath>
      </m:oMathPara>
    </w:p>
    <w:p w14:paraId="1209AD46"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As an example, the weights computed across regions for year 2015 are represented in</w:t>
      </w:r>
      <w:r w:rsidRPr="00486970">
        <w:rPr>
          <w:rFonts w:eastAsia="Cambria Math" w:cstheme="minorHAnsi"/>
          <w:color w:val="4A4A4A"/>
          <w:u w:val="single"/>
        </w:rPr>
        <w:t xml:space="preserve"> </w:t>
      </w:r>
      <w:r w:rsidRPr="00021E78">
        <w:rPr>
          <w:rFonts w:eastAsia="Cambria Math" w:cstheme="minorHAnsi"/>
          <w:color w:val="4A4A4A"/>
          <w:u w:val="single"/>
        </w:rPr>
        <w:t>Annex 2 table 2.1 and 2.2</w:t>
      </w:r>
      <w:r w:rsidRPr="00021E78">
        <w:rPr>
          <w:rFonts w:eastAsia="Cambria Math" w:cstheme="minorHAnsi"/>
          <w:color w:val="4A4A4A"/>
        </w:rPr>
        <w:t xml:space="preserve">. </w:t>
      </w:r>
    </w:p>
    <w:p w14:paraId="18491B4B"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3: Measure the two dimensions of access to medicine</w:t>
      </w:r>
    </w:p>
    <w:p w14:paraId="47A8BCF3"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i/>
          <w:iCs/>
          <w:color w:val="4A4A4A"/>
        </w:rPr>
        <w:t>Availability</w:t>
      </w:r>
      <w:r w:rsidRPr="00021E78">
        <w:rPr>
          <w:rFonts w:eastAsia="Cambria Math" w:cstheme="minorHAnsi"/>
          <w:color w:val="4A4A4A"/>
        </w:rPr>
        <w:t xml:space="preserve"> and </w:t>
      </w:r>
      <w:r w:rsidRPr="00021E78">
        <w:rPr>
          <w:rFonts w:eastAsia="Cambria Math" w:cstheme="minorHAnsi"/>
          <w:i/>
          <w:iCs/>
          <w:color w:val="4A4A4A"/>
        </w:rPr>
        <w:t>affordability</w:t>
      </w:r>
      <w:r w:rsidRPr="00021E78">
        <w:rPr>
          <w:rFonts w:eastAsia="Cambria Math" w:cstheme="minorHAnsi"/>
          <w:color w:val="4A4A4A"/>
        </w:rPr>
        <w:t xml:space="preserve"> of medicines must be measured and transformed (when necessary) into the format of a binary variable. </w:t>
      </w:r>
    </w:p>
    <w:p w14:paraId="2F6592AA" w14:textId="77777777" w:rsidR="00F70A66" w:rsidRPr="00021E78" w:rsidRDefault="00F70A66" w:rsidP="00397ADD">
      <w:pPr>
        <w:numPr>
          <w:ilvl w:val="0"/>
          <w:numId w:val="14"/>
        </w:numPr>
        <w:pBdr>
          <w:top w:val="nil"/>
          <w:left w:val="nil"/>
          <w:bottom w:val="nil"/>
          <w:right w:val="nil"/>
          <w:between w:val="nil"/>
        </w:pBdr>
        <w:spacing w:after="120" w:line="240" w:lineRule="auto"/>
        <w:contextualSpacing/>
        <w:jc w:val="both"/>
        <w:rPr>
          <w:rFonts w:eastAsia="Cambria Math" w:cstheme="minorHAnsi"/>
          <w:color w:val="4A4A4A"/>
        </w:rPr>
      </w:pPr>
      <w:r w:rsidRPr="00021E78">
        <w:rPr>
          <w:rFonts w:eastAsia="Cambria Math" w:cstheme="minorHAnsi"/>
          <w:i/>
          <w:iCs/>
          <w:color w:val="4A4A4A"/>
        </w:rPr>
        <w:t>Availability</w:t>
      </w:r>
      <w:r w:rsidRPr="00021E78">
        <w:rPr>
          <w:rFonts w:eastAsia="Cambria Math" w:cstheme="minorHAnsi"/>
          <w:color w:val="4A4A4A"/>
        </w:rPr>
        <w:t xml:space="preserve"> is measured as a binary variable coded as “1” when the medicine is in the facility on the day of the survey and coded as “0” otherwise. This approach is currently used in the HAI/WHO methodology.</w:t>
      </w:r>
      <w:r w:rsidRPr="00021E78">
        <w:rPr>
          <w:rFonts w:eastAsia="Cambria Math" w:cstheme="minorHAnsi"/>
          <w:color w:val="4A4A4A"/>
          <w:vertAlign w:val="superscript"/>
        </w:rPr>
        <w:footnoteReference w:id="3"/>
      </w:r>
    </w:p>
    <w:p w14:paraId="66B85C2C" w14:textId="77777777" w:rsidR="00F70A66" w:rsidRPr="00021E78" w:rsidRDefault="00F70A66" w:rsidP="00397ADD">
      <w:pPr>
        <w:numPr>
          <w:ilvl w:val="0"/>
          <w:numId w:val="14"/>
        </w:numPr>
        <w:pBdr>
          <w:top w:val="nil"/>
          <w:left w:val="nil"/>
          <w:bottom w:val="nil"/>
          <w:right w:val="nil"/>
          <w:between w:val="nil"/>
        </w:pBdr>
        <w:spacing w:after="120" w:line="240" w:lineRule="auto"/>
        <w:contextualSpacing/>
        <w:jc w:val="both"/>
        <w:rPr>
          <w:rFonts w:eastAsia="Cambria Math" w:cstheme="minorHAnsi"/>
          <w:color w:val="4A4A4A"/>
        </w:rPr>
      </w:pPr>
      <w:r w:rsidRPr="00021E78">
        <w:rPr>
          <w:rFonts w:eastAsia="Cambria Math" w:cstheme="minorHAnsi"/>
          <w:i/>
          <w:iCs/>
          <w:color w:val="4A4A4A"/>
        </w:rPr>
        <w:t>Affordability</w:t>
      </w:r>
      <w:r w:rsidRPr="00021E78">
        <w:rPr>
          <w:rFonts w:eastAsia="Cambria Math" w:cstheme="minorHAnsi"/>
          <w:color w:val="4A4A4A"/>
        </w:rPr>
        <w:t xml:space="preserve"> is computed following these </w:t>
      </w:r>
      <w:r w:rsidRPr="00021E78">
        <w:rPr>
          <w:rFonts w:eastAsia="Cambria Math" w:cstheme="minorHAnsi"/>
          <w:color w:val="4A4A4A"/>
          <w:u w:val="single"/>
        </w:rPr>
        <w:t>steps</w:t>
      </w:r>
      <w:r w:rsidRPr="00021E78">
        <w:rPr>
          <w:rFonts w:eastAsia="Cambria Math" w:cstheme="minorHAnsi"/>
          <w:color w:val="4A4A4A"/>
        </w:rPr>
        <w:t>:</w:t>
      </w:r>
    </w:p>
    <w:p w14:paraId="49B4EAB6"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3.1 Compute daily price per dose of treatment for each medicine (price per DDD) in the selected basket of medicines </w:t>
      </w:r>
    </w:p>
    <w:p w14:paraId="3C9D2315"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 xml:space="preserve">WHO treatment guidelines provide the needed information to compute DDD. </w:t>
      </w:r>
    </w:p>
    <w:p w14:paraId="7357A3B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DDD of a medicine is defined using the following formula:</w:t>
      </w:r>
    </w:p>
    <w:p w14:paraId="04314B9A"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m:oMathPara>
        <m:oMath>
          <m:r>
            <w:rPr>
              <w:rFonts w:ascii="Cambria Math" w:eastAsia="Cambria Math" w:hAnsi="Cambria Math" w:cstheme="minorHAnsi"/>
              <w:color w:val="4A4A4A"/>
              <w:sz w:val="18"/>
            </w:rPr>
            <m:t>price per DDD=</m:t>
          </m:r>
          <m:f>
            <m:fPr>
              <m:ctrlPr>
                <w:rPr>
                  <w:rFonts w:ascii="Cambria Math" w:eastAsia="Cambria Math" w:hAnsi="Cambria Math" w:cstheme="minorHAnsi"/>
                  <w:i/>
                  <w:color w:val="4A4A4A"/>
                  <w:sz w:val="18"/>
                </w:rPr>
              </m:ctrlPr>
            </m:fPr>
            <m:num>
              <m:r>
                <w:rPr>
                  <w:rFonts w:ascii="Cambria Math" w:eastAsia="Cambria Math" w:hAnsi="Cambria Math" w:cstheme="minorHAnsi"/>
                  <w:color w:val="4A4A4A"/>
                  <w:sz w:val="18"/>
                </w:rPr>
                <m:t xml:space="preserve">Medicine price </m:t>
              </m:r>
              <m:d>
                <m:dPr>
                  <m:ctrlPr>
                    <w:rPr>
                      <w:rFonts w:ascii="Cambria Math" w:eastAsia="Cambria Math" w:hAnsi="Cambria Math" w:cstheme="minorHAnsi"/>
                      <w:i/>
                      <w:color w:val="4A4A4A"/>
                      <w:sz w:val="18"/>
                    </w:rPr>
                  </m:ctrlPr>
                </m:dPr>
                <m:e>
                  <m:r>
                    <w:rPr>
                      <w:rFonts w:ascii="Cambria Math" w:eastAsia="Cambria Math" w:hAnsi="Cambria Math" w:cstheme="minorHAnsi"/>
                      <w:color w:val="4A4A4A"/>
                      <w:sz w:val="18"/>
                    </w:rPr>
                    <m:t>month</m:t>
                  </m:r>
                </m:e>
              </m:d>
              <m:r>
                <w:rPr>
                  <w:rFonts w:ascii="Cambria Math" w:eastAsia="Cambria Math" w:hAnsi="Cambria Math" w:cstheme="minorHAnsi"/>
                  <w:color w:val="4A4A4A"/>
                  <w:sz w:val="18"/>
                </w:rPr>
                <m:t>*Units per treatment(month)</m:t>
              </m:r>
            </m:num>
            <m:den>
              <m:r>
                <w:rPr>
                  <w:rFonts w:ascii="Cambria Math" w:eastAsia="Cambria Math" w:hAnsi="Cambria Math" w:cstheme="minorHAnsi"/>
                  <w:color w:val="4A4A4A"/>
                  <w:sz w:val="18"/>
                </w:rPr>
                <m:t>365/12</m:t>
              </m:r>
            </m:den>
          </m:f>
        </m:oMath>
      </m:oMathPara>
    </w:p>
    <w:p w14:paraId="722E006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where:</w:t>
      </w:r>
    </w:p>
    <w:p w14:paraId="69D33940" w14:textId="77777777" w:rsidR="00F70A66" w:rsidRPr="00486970" w:rsidRDefault="00F70A66" w:rsidP="00397ADD">
      <w:pPr>
        <w:numPr>
          <w:ilvl w:val="0"/>
          <w:numId w:val="18"/>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Units per treatments are tablets/vials or other forms that are needed for an individual with the average severity of the disease per one course of treatment of a duration of one month (365 days per year / 12 months per year = 30.42 days given 30 or 31 day per month), and</w:t>
      </w:r>
    </w:p>
    <w:p w14:paraId="67483C91" w14:textId="77777777" w:rsidR="00F70A66" w:rsidRPr="00486970" w:rsidRDefault="00F70A66" w:rsidP="00397ADD">
      <w:pPr>
        <w:numPr>
          <w:ilvl w:val="0"/>
          <w:numId w:val="18"/>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Medicine prices are calculated per unit (per tablet/vial/other form) requiring adjustments for gram or milligram according to the potency. </w:t>
      </w:r>
    </w:p>
    <w:p w14:paraId="59486B3A"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This ratio varies between “0” and infinity and is measured in local currency units per day [LCU/d].</w:t>
      </w:r>
    </w:p>
    <w:p w14:paraId="4A468722"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 xml:space="preserve">Information on the number of units per treatment is specified in </w:t>
      </w:r>
      <w:r w:rsidRPr="00021E78">
        <w:rPr>
          <w:rFonts w:eastAsia="Cambria Math" w:cstheme="minorHAnsi"/>
          <w:color w:val="4A4A4A"/>
          <w:u w:val="single"/>
        </w:rPr>
        <w:t>Annex 3</w:t>
      </w:r>
      <w:r w:rsidRPr="00021E78">
        <w:rPr>
          <w:rFonts w:eastAsia="Cambria Math" w:cstheme="minorHAnsi"/>
          <w:color w:val="4A4A4A"/>
        </w:rPr>
        <w:t xml:space="preserve">. The price per DDD can be measured in per day or per month. </w:t>
      </w:r>
    </w:p>
    <w:p w14:paraId="0EBAEEE2"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3.2 Define National poverty line (NPL) and minimum wage of the LPGW for the analysed country</w:t>
      </w:r>
    </w:p>
    <w:p w14:paraId="346B0B2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u w:val="single"/>
        </w:rPr>
        <w:lastRenderedPageBreak/>
        <w:t>National poverty line (NLP):</w:t>
      </w:r>
      <w:r w:rsidRPr="00486970">
        <w:rPr>
          <w:rFonts w:eastAsia="Cambria Math" w:cstheme="minorHAnsi"/>
          <w:color w:val="4A4A4A"/>
        </w:rPr>
        <w:t xml:space="preserve"> countries periodically recalculate and update their poverty lines based on new survey data and publish this information in their national reports on poverty. To adjust the latest available NPLs to the relevant year of analysis (when needed) information on the Consumer Price Index (CPI) in the analysed country has to be used to account for deflation/inflation. </w:t>
      </w:r>
    </w:p>
    <w:p w14:paraId="0998843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National poverty reports consistently provide information on the NPLs in local currency units but often refer to different recall periods from country to country (NPL can be measured per day, per month or per year). For consistency, NPL has to be adjusted to be measured per day [LCU/d].</w:t>
      </w:r>
    </w:p>
    <w:p w14:paraId="3B159ED4"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u w:val="single"/>
        </w:rPr>
        <w:t>The wage of the lowest paid unskilled government worker (LPGW):</w:t>
      </w:r>
      <w:r w:rsidRPr="00486970">
        <w:rPr>
          <w:rFonts w:eastAsia="Cambria Math" w:cstheme="minorHAnsi"/>
          <w:color w:val="4A4A4A"/>
        </w:rPr>
        <w:t xml:space="preserve"> is estimated and published in the ILOSTAT database. For countries with the latest available data collected in a year different from the year of analysis, LPGW wage is actualised using the CPI conversion factor. </w:t>
      </w:r>
    </w:p>
    <w:p w14:paraId="477B0B39"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ILO provides information on the minimum LPGW wages in local currency units per month. LPGW wage has to be adjusted to be measured per day as well [LCU/d].</w:t>
      </w:r>
    </w:p>
    <w:p w14:paraId="566A6C3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The NPL and LPGW wage can be measured in per day or per month.</w:t>
      </w:r>
    </w:p>
    <w:p w14:paraId="4BC73487"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p>
    <w:p w14:paraId="34370D1D"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3.3 Compute extra daily wages (EDW) </w:t>
      </w:r>
    </w:p>
    <w:p w14:paraId="3EFEE4DB"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 xml:space="preserve">First, the LPGW wage is compared to the NPL and if it is lower, medicine is considered unaffordable. In this case, only medicines with a price equal to zero will be considered affordable. </w:t>
      </w:r>
    </w:p>
    <w:p w14:paraId="539E7EC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Next, the affordability is measured via the number of extra daily wages (EDW) that are needed for the LPGW to pay for one-month course of treatment using the formula below. In particular, the number of extra daily wages can be computed using the following formula:</w:t>
      </w:r>
    </w:p>
    <w:p w14:paraId="02733EC4" w14:textId="7D3E87EB"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m:oMathPara>
        <m:oMath>
          <m:r>
            <w:rPr>
              <w:rFonts w:ascii="Cambria Math" w:eastAsia="Cambria Math" w:hAnsi="Cambria Math" w:cstheme="minorHAnsi"/>
              <w:color w:val="4A4A4A"/>
              <w:sz w:val="18"/>
              <w:lang w:val="ru-RU"/>
            </w:rPr>
            <m:t xml:space="preserve">Extra daily wages </m:t>
          </m:r>
          <m:d>
            <m:dPr>
              <m:ctrlPr>
                <w:rPr>
                  <w:rFonts w:ascii="Cambria Math" w:eastAsia="Cambria Math" w:hAnsi="Cambria Math" w:cstheme="minorHAnsi"/>
                  <w:i/>
                  <w:iCs/>
                  <w:color w:val="4A4A4A"/>
                  <w:sz w:val="18"/>
                  <w:lang w:val="en-US"/>
                </w:rPr>
              </m:ctrlPr>
            </m:dPr>
            <m:e>
              <m:r>
                <w:rPr>
                  <w:rFonts w:ascii="Cambria Math" w:eastAsia="Cambria Math" w:hAnsi="Cambria Math" w:cstheme="minorHAnsi"/>
                  <w:color w:val="4A4A4A"/>
                  <w:sz w:val="18"/>
                  <w:lang w:val="en-US"/>
                </w:rPr>
                <m:t>EDW</m:t>
              </m:r>
            </m:e>
          </m:d>
          <m:r>
            <m:rPr>
              <m:sty m:val="p"/>
            </m:rPr>
            <w:rPr>
              <w:rFonts w:ascii="Cambria Math" w:eastAsia="Cambria Math" w:hAnsi="Cambria Math" w:cstheme="minorHAnsi"/>
              <w:color w:val="4A4A4A"/>
              <w:sz w:val="18"/>
              <w:lang w:val="en-US"/>
            </w:rPr>
            <m:t xml:space="preserve">= </m:t>
          </m:r>
          <m:f>
            <m:fPr>
              <m:ctrlPr>
                <w:rPr>
                  <w:rFonts w:ascii="Cambria Math" w:eastAsia="Cambria Math" w:hAnsi="Cambria Math" w:cstheme="minorHAnsi"/>
                  <w:i/>
                  <w:iCs/>
                  <w:color w:val="4A4A4A"/>
                  <w:sz w:val="18"/>
                  <w:lang w:val="ru-RU"/>
                </w:rPr>
              </m:ctrlPr>
            </m:fPr>
            <m:num>
              <m:r>
                <w:rPr>
                  <w:rFonts w:ascii="Cambria Math" w:eastAsia="Cambria Math" w:hAnsi="Cambria Math" w:cstheme="minorHAnsi"/>
                  <w:color w:val="4A4A4A"/>
                  <w:sz w:val="18"/>
                  <w:lang w:val="ru-RU"/>
                </w:rPr>
                <m:t>NPL+price per DDD</m:t>
              </m:r>
            </m:num>
            <m:den>
              <m:r>
                <w:rPr>
                  <w:rFonts w:ascii="Cambria Math" w:eastAsia="Cambria Math" w:hAnsi="Cambria Math" w:cstheme="minorHAnsi"/>
                  <w:color w:val="4A4A4A"/>
                  <w:sz w:val="18"/>
                  <w:lang w:val="ru-RU"/>
                </w:rPr>
                <m:t>daily wage of LPGW</m:t>
              </m:r>
            </m:den>
          </m:f>
        </m:oMath>
      </m:oMathPara>
    </w:p>
    <w:p w14:paraId="1A3B92D6"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3.4 Transform EDW variable into a binary format</w:t>
      </w:r>
    </w:p>
    <w:p w14:paraId="7A7CE6F8"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Following the definition, medicine is considered to be affordable when the sum of NPL and price of a daily dose of the treatment </w:t>
      </w:r>
      <w:r w:rsidRPr="00021E78">
        <w:rPr>
          <w:rFonts w:eastAsia="Cambria Math" w:cstheme="minorHAnsi"/>
          <w:color w:val="4A4A4A"/>
          <w:u w:val="single"/>
        </w:rPr>
        <w:t>is equal to or less</w:t>
      </w:r>
      <w:r w:rsidRPr="00021E78">
        <w:rPr>
          <w:rFonts w:eastAsia="Cambria Math" w:cstheme="minorHAnsi"/>
          <w:color w:val="4A4A4A"/>
        </w:rPr>
        <w:t xml:space="preserve"> than the minimum daily wage of the LPGW:</w:t>
      </w:r>
    </w:p>
    <w:p w14:paraId="24B5B706" w14:textId="01F1AC33" w:rsidR="00F70A66" w:rsidRPr="00021E78" w:rsidRDefault="000B31FA" w:rsidP="00F70A66">
      <w:pPr>
        <w:pBdr>
          <w:top w:val="nil"/>
          <w:left w:val="nil"/>
          <w:bottom w:val="nil"/>
          <w:right w:val="nil"/>
          <w:between w:val="nil"/>
        </w:pBdr>
        <w:spacing w:after="120" w:line="240" w:lineRule="auto"/>
        <w:ind w:left="720"/>
        <w:jc w:val="both"/>
        <w:rPr>
          <w:rFonts w:eastAsia="Cambria Math" w:cstheme="minorHAnsi"/>
          <w:color w:val="4A4A4A"/>
        </w:rPr>
      </w:pPr>
      <m:oMathPara>
        <m:oMath>
          <m:d>
            <m:dPr>
              <m:begChr m:val="{"/>
              <m:endChr m:val=""/>
              <m:ctrlPr>
                <w:rPr>
                  <w:rFonts w:ascii="Cambria Math" w:eastAsia="Cambria Math" w:hAnsi="Cambria Math" w:cstheme="minorHAnsi"/>
                  <w:i/>
                  <w:color w:val="4A4A4A"/>
                  <w:sz w:val="18"/>
                </w:rPr>
              </m:ctrlPr>
            </m:dPr>
            <m:e>
              <m:r>
                <w:rPr>
                  <w:rFonts w:ascii="Cambria Math" w:eastAsia="Cambria Math" w:hAnsi="Cambria Math" w:cstheme="minorHAnsi"/>
                  <w:color w:val="4A4A4A"/>
                  <w:sz w:val="18"/>
                </w:rPr>
                <m:t xml:space="preserve"> </m:t>
              </m:r>
              <m:eqArr>
                <m:eqArrPr>
                  <m:ctrlPr>
                    <w:rPr>
                      <w:rFonts w:ascii="Cambria Math" w:eastAsia="Cambria Math" w:hAnsi="Cambria Math" w:cstheme="minorHAnsi"/>
                      <w:i/>
                      <w:color w:val="4A4A4A"/>
                      <w:sz w:val="18"/>
                    </w:rPr>
                  </m:ctrlPr>
                </m:eqArrPr>
                <m:e>
                  <m:r>
                    <w:rPr>
                      <w:rFonts w:ascii="Cambria Math" w:eastAsia="Cambria Math" w:hAnsi="Cambria Math" w:cstheme="minorHAnsi"/>
                      <w:color w:val="4A4A4A"/>
                      <w:sz w:val="18"/>
                    </w:rPr>
                    <m:t>if EDW ≤1,  affordability=1,</m:t>
                  </m:r>
                </m:e>
                <m:e>
                  <m:r>
                    <w:rPr>
                      <w:rFonts w:ascii="Cambria Math" w:eastAsia="Cambria Math" w:hAnsi="Cambria Math" w:cstheme="minorHAnsi"/>
                      <w:color w:val="4A4A4A"/>
                      <w:sz w:val="18"/>
                    </w:rPr>
                    <m:t>otherwise,  affordability=0</m:t>
                  </m:r>
                </m:e>
              </m:eqArr>
            </m:e>
          </m:d>
        </m:oMath>
      </m:oMathPara>
    </w:p>
    <w:p w14:paraId="6A3B2FA1"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Hence, the affordability of medicines is also measured as a binary variable that is coded as “1” when the medicine is affordable and “0” otherwise.</w:t>
      </w:r>
    </w:p>
    <w:p w14:paraId="7B9F1424"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u w:val="single"/>
        </w:rPr>
        <w:t>When the price of the medicine is 0</w:t>
      </w:r>
      <w:r w:rsidRPr="00021E78">
        <w:rPr>
          <w:rFonts w:eastAsia="Cambria Math" w:cstheme="minorHAnsi"/>
          <w:color w:val="4A4A4A"/>
        </w:rPr>
        <w:t>, there is no need for the above-mentioned computations and the medicine is considered affordable (i.e. “1”). If all medicines in the country are provided free of charge, all medicines are directly marked as affordable and further computation of the index depends on the availability of these medicines.</w:t>
      </w:r>
    </w:p>
    <w:p w14:paraId="20D4B56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sz w:val="4"/>
        </w:rPr>
      </w:pPr>
    </w:p>
    <w:p w14:paraId="1B40ABF4" w14:textId="77777777" w:rsidR="00F70A66" w:rsidRPr="00486970" w:rsidRDefault="00F70A66" w:rsidP="00F70A66">
      <w:pPr>
        <w:spacing w:after="120" w:line="240" w:lineRule="auto"/>
        <w:jc w:val="both"/>
        <w:rPr>
          <w:rFonts w:eastAsia="Times New Roman" w:cstheme="minorHAnsi"/>
          <w:b/>
          <w:bCs/>
          <w:color w:val="4A4A4A"/>
          <w:lang w:eastAsia="en-GB"/>
        </w:rPr>
      </w:pPr>
      <w:r w:rsidRPr="00021E78">
        <w:rPr>
          <w:rFonts w:eastAsia="Times New Roman" w:cstheme="minorHAnsi"/>
          <w:color w:val="4A4A4A"/>
          <w:lang w:eastAsia="en-GB"/>
        </w:rPr>
        <w:t>Step 4: Combine the two dimensions on availability and affordability</w:t>
      </w:r>
      <w:r w:rsidRPr="00486970">
        <w:rPr>
          <w:rFonts w:eastAsia="Times New Roman" w:cstheme="minorHAnsi"/>
          <w:b/>
          <w:bCs/>
          <w:color w:val="4A4A4A"/>
          <w:lang w:eastAsia="en-GB"/>
        </w:rPr>
        <w:t xml:space="preserve"> (access to medicines)</w:t>
      </w:r>
    </w:p>
    <w:p w14:paraId="1B118091"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In this step, the two dimensions of access to medicines (availability and affordability) are combined into a multidimensional index. </w:t>
      </w:r>
    </w:p>
    <w:p w14:paraId="097DF4C0"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The construction of a multidimensional index is based on the union identification approach</w:t>
      </w:r>
      <w:r w:rsidRPr="00486970">
        <w:rPr>
          <w:rFonts w:eastAsia="Cambria Math" w:cstheme="minorHAnsi"/>
          <w:color w:val="4A4A4A"/>
          <w:vertAlign w:val="superscript"/>
        </w:rPr>
        <w:footnoteReference w:id="4"/>
      </w:r>
      <w:r w:rsidRPr="00486970">
        <w:rPr>
          <w:rFonts w:eastAsia="Cambria Math" w:cstheme="minorHAnsi"/>
          <w:color w:val="4A4A4A"/>
        </w:rPr>
        <w:t xml:space="preserve"> proposed by S. Alkire and G. Robles.</w:t>
      </w:r>
    </w:p>
    <w:p w14:paraId="40231476" w14:textId="77777777" w:rsidR="00F70A66" w:rsidRPr="00486970" w:rsidRDefault="00F70A66" w:rsidP="00F70A66">
      <w:pPr>
        <w:spacing w:after="120" w:line="240" w:lineRule="auto"/>
        <w:jc w:val="both"/>
        <w:rPr>
          <w:rFonts w:eastAsia="Cambria Math" w:cstheme="minorHAnsi"/>
          <w:color w:val="4A4A4A"/>
        </w:rPr>
      </w:pPr>
      <w:r w:rsidRPr="00486970">
        <w:rPr>
          <w:rFonts w:eastAsia="Cambria Math" w:cstheme="minorHAnsi"/>
          <w:color w:val="4A4A4A"/>
        </w:rPr>
        <w:lastRenderedPageBreak/>
        <w:t xml:space="preserve">The combination of the dimensions of medicines can be built in matrix form: </w:t>
      </w:r>
    </w:p>
    <w:p w14:paraId="1CD4BAE0" w14:textId="77777777" w:rsidR="00F70A66" w:rsidRPr="00486970" w:rsidRDefault="000B31FA" w:rsidP="00F70A66">
      <w:pPr>
        <w:spacing w:after="120" w:line="240" w:lineRule="auto"/>
        <w:ind w:firstLine="397"/>
        <w:jc w:val="center"/>
        <w:rPr>
          <w:rFonts w:cstheme="minorHAnsi"/>
          <w:color w:val="4A4A4A"/>
          <w:sz w:val="21"/>
          <w:szCs w:val="21"/>
          <w:lang w:val="en-US"/>
        </w:rPr>
      </w:pPr>
      <m:oMathPara>
        <m:oMath>
          <m:sSubSup>
            <m:sSubSupPr>
              <m:ctrlPr>
                <w:rPr>
                  <w:rFonts w:ascii="Cambria Math" w:hAnsi="Cambria Math" w:cstheme="minorHAnsi"/>
                  <w:i/>
                  <w:color w:val="4A4A4A"/>
                  <w:sz w:val="18"/>
                  <w:szCs w:val="21"/>
                  <w:lang w:val="en-US"/>
                </w:rPr>
              </m:ctrlPr>
            </m:sSubSupPr>
            <m:e>
              <m:r>
                <w:rPr>
                  <w:rFonts w:ascii="Cambria Math" w:hAnsi="Cambria Math" w:cstheme="minorHAnsi"/>
                  <w:color w:val="4A4A4A"/>
                  <w:sz w:val="18"/>
                  <w:szCs w:val="21"/>
                  <w:lang w:val="en-US"/>
                </w:rPr>
                <m:t>g</m:t>
              </m:r>
            </m:e>
            <m:sub>
              <m:r>
                <w:rPr>
                  <w:rFonts w:ascii="Cambria Math" w:hAnsi="Cambria Math" w:cstheme="minorHAnsi"/>
                  <w:color w:val="4A4A4A"/>
                  <w:sz w:val="18"/>
                  <w:szCs w:val="21"/>
                  <w:lang w:val="en-US"/>
                </w:rPr>
                <m:t>ij</m:t>
              </m:r>
            </m:sub>
            <m:sup>
              <m:r>
                <w:rPr>
                  <w:rFonts w:ascii="Cambria Math" w:hAnsi="Cambria Math" w:cstheme="minorHAnsi"/>
                  <w:color w:val="4A4A4A"/>
                  <w:sz w:val="18"/>
                  <w:szCs w:val="21"/>
                  <w:lang w:val="en-US"/>
                </w:rPr>
                <m:t>o</m:t>
              </m:r>
            </m:sup>
          </m:sSubSup>
          <m:r>
            <w:rPr>
              <w:rFonts w:ascii="Cambria Math" w:hAnsi="Cambria Math" w:cstheme="minorHAnsi"/>
              <w:color w:val="4A4A4A"/>
              <w:sz w:val="18"/>
              <w:szCs w:val="21"/>
              <w:lang w:val="en-US"/>
            </w:rPr>
            <m:t xml:space="preserve">= </m:t>
          </m:r>
          <m:d>
            <m:dPr>
              <m:begChr m:val="["/>
              <m:endChr m:val="]"/>
              <m:ctrlPr>
                <w:rPr>
                  <w:rFonts w:ascii="Cambria Math" w:hAnsi="Cambria Math" w:cstheme="minorHAnsi"/>
                  <w:i/>
                  <w:color w:val="4A4A4A"/>
                  <w:sz w:val="18"/>
                  <w:szCs w:val="21"/>
                  <w:lang w:val="en-US"/>
                </w:rPr>
              </m:ctrlPr>
            </m:dPr>
            <m:e>
              <m:m>
                <m:mPr>
                  <m:mcs>
                    <m:mc>
                      <m:mcPr>
                        <m:count m:val="3"/>
                        <m:mcJc m:val="center"/>
                      </m:mcPr>
                    </m:mc>
                  </m:mcs>
                  <m:ctrlPr>
                    <w:rPr>
                      <w:rFonts w:ascii="Cambria Math" w:hAnsi="Cambria Math" w:cstheme="minorHAnsi"/>
                      <w:i/>
                      <w:color w:val="4A4A4A"/>
                      <w:sz w:val="18"/>
                      <w:szCs w:val="21"/>
                      <w:lang w:val="en-US"/>
                    </w:rPr>
                  </m:ctrlPr>
                </m:mPr>
                <m:mr>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11</m:t>
                        </m:r>
                      </m:sub>
                    </m:sSub>
                  </m:e>
                  <m:e>
                    <m:r>
                      <w:rPr>
                        <w:rFonts w:ascii="Cambria Math" w:hAnsi="Cambria Math" w:cstheme="minorHAnsi"/>
                        <w:color w:val="4A4A4A"/>
                        <w:sz w:val="18"/>
                        <w:szCs w:val="21"/>
                        <w:lang w:val="en-US"/>
                      </w:rPr>
                      <m:t>…</m:t>
                    </m:r>
                  </m:e>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1d</m:t>
                        </m:r>
                      </m:sub>
                    </m:sSub>
                  </m:e>
                </m:mr>
                <m:mr>
                  <m:e>
                    <m:r>
                      <w:rPr>
                        <w:rFonts w:ascii="Cambria Math" w:hAnsi="Cambria Math" w:cstheme="minorHAnsi"/>
                        <w:color w:val="4A4A4A"/>
                        <w:sz w:val="18"/>
                        <w:szCs w:val="21"/>
                        <w:lang w:val="en-US"/>
                      </w:rPr>
                      <m:t>…</m:t>
                    </m:r>
                  </m:e>
                  <m:e>
                    <m:r>
                      <w:rPr>
                        <w:rFonts w:ascii="Cambria Math" w:hAnsi="Cambria Math" w:cstheme="minorHAnsi"/>
                        <w:color w:val="4A4A4A"/>
                        <w:sz w:val="18"/>
                        <w:szCs w:val="21"/>
                        <w:lang w:val="en-US"/>
                      </w:rPr>
                      <m:t>…</m:t>
                    </m:r>
                  </m:e>
                  <m:e>
                    <m:r>
                      <w:rPr>
                        <w:rFonts w:ascii="Cambria Math" w:hAnsi="Cambria Math" w:cstheme="minorHAnsi"/>
                        <w:color w:val="4A4A4A"/>
                        <w:sz w:val="18"/>
                        <w:szCs w:val="21"/>
                        <w:lang w:val="en-US"/>
                      </w:rPr>
                      <m:t>…</m:t>
                    </m:r>
                  </m:e>
                </m:mr>
                <m:mr>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n1</m:t>
                        </m:r>
                      </m:sub>
                    </m:sSub>
                  </m:e>
                  <m:e>
                    <m:r>
                      <w:rPr>
                        <w:rFonts w:ascii="Cambria Math" w:hAnsi="Cambria Math" w:cstheme="minorHAnsi"/>
                        <w:color w:val="4A4A4A"/>
                        <w:sz w:val="18"/>
                        <w:szCs w:val="21"/>
                        <w:lang w:val="en-US"/>
                      </w:rPr>
                      <m:t>…</m:t>
                    </m:r>
                  </m:e>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nd</m:t>
                        </m:r>
                      </m:sub>
                    </m:sSub>
                  </m:e>
                </m:mr>
              </m:m>
            </m:e>
          </m:d>
        </m:oMath>
      </m:oMathPara>
    </w:p>
    <w:p w14:paraId="2811EC35" w14:textId="77777777" w:rsidR="00F70A66" w:rsidRPr="00021E78" w:rsidRDefault="00F70A66" w:rsidP="00F70A66">
      <w:pPr>
        <w:spacing w:after="120" w:line="240" w:lineRule="auto"/>
        <w:jc w:val="both"/>
        <w:rPr>
          <w:rFonts w:eastAsia="Cambria Math" w:cstheme="minorHAnsi"/>
          <w:bCs/>
          <w:color w:val="4A4A4A"/>
        </w:rPr>
      </w:pPr>
      <w:r w:rsidRPr="00486970">
        <w:rPr>
          <w:rFonts w:eastAsia="Cambria Math" w:cstheme="minorHAnsi"/>
          <w:color w:val="4A4A4A"/>
        </w:rPr>
        <w:t xml:space="preserve">This matrix contains performance for n objects of analysis (specified in rows) in d dimensions (specified in columns). The performance of any object </w:t>
      </w:r>
      <m:oMath>
        <m:r>
          <m:rPr>
            <m:sty m:val="p"/>
          </m:rPr>
          <w:rPr>
            <w:rFonts w:ascii="Cambria Math" w:eastAsia="Cambria Math" w:hAnsi="Cambria Math" w:cstheme="minorHAnsi"/>
            <w:color w:val="4A4A4A"/>
          </w:rPr>
          <m:t>i</m:t>
        </m:r>
      </m:oMath>
      <w:r w:rsidRPr="00486970">
        <w:rPr>
          <w:rFonts w:eastAsia="Cambria Math" w:cstheme="minorHAnsi"/>
          <w:color w:val="4A4A4A"/>
        </w:rPr>
        <w:t xml:space="preserve"> in all </w:t>
      </w:r>
      <m:oMath>
        <m:r>
          <m:rPr>
            <m:sty m:val="p"/>
          </m:rPr>
          <w:rPr>
            <w:rFonts w:ascii="Cambria Math" w:eastAsia="Cambria Math" w:hAnsi="Cambria Math" w:cstheme="minorHAnsi"/>
            <w:color w:val="4A4A4A"/>
          </w:rPr>
          <m:t>d</m:t>
        </m:r>
      </m:oMath>
      <w:r w:rsidRPr="00486970">
        <w:rPr>
          <w:rFonts w:eastAsia="Cambria Math" w:cstheme="minorHAnsi"/>
          <w:color w:val="4A4A4A"/>
        </w:rPr>
        <w:t xml:space="preserve"> dimensions is represented by the d-dimensional vector </w:t>
      </w:r>
      <m:oMath>
        <m:sSub>
          <m:sSubPr>
            <m:ctrlPr>
              <w:rPr>
                <w:rFonts w:ascii="Cambria Math" w:eastAsia="Cambria Math" w:hAnsi="Cambria Math" w:cstheme="minorHAnsi"/>
                <w:color w:val="4A4A4A"/>
              </w:rPr>
            </m:ctrlPr>
          </m:sSubPr>
          <m:e>
            <m:r>
              <m:rPr>
                <m:sty m:val="p"/>
              </m:rPr>
              <w:rPr>
                <w:rFonts w:ascii="Cambria Math" w:eastAsia="Cambria Math" w:hAnsi="Cambria Math" w:cstheme="minorHAnsi"/>
                <w:color w:val="4A4A4A"/>
              </w:rPr>
              <m:t>x</m:t>
            </m:r>
          </m:e>
          <m:sub>
            <m:r>
              <m:rPr>
                <m:sty m:val="p"/>
              </m:rPr>
              <w:rPr>
                <w:rFonts w:ascii="Cambria Math" w:eastAsia="Cambria Math" w:hAnsi="Cambria Math" w:cstheme="minorHAnsi"/>
                <w:color w:val="4A4A4A"/>
              </w:rPr>
              <m:t>i.</m:t>
            </m:r>
          </m:sub>
        </m:sSub>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i=1,…, n</m:t>
        </m:r>
      </m:oMath>
      <w:r w:rsidRPr="00486970">
        <w:rPr>
          <w:rFonts w:eastAsia="Cambria Math" w:cstheme="minorHAnsi"/>
          <w:color w:val="4A4A4A"/>
        </w:rPr>
        <w:t xml:space="preserve">. The performance in any dimension </w:t>
      </w:r>
      <m:oMath>
        <m:r>
          <m:rPr>
            <m:sty m:val="p"/>
          </m:rPr>
          <w:rPr>
            <w:rFonts w:ascii="Cambria Math" w:eastAsia="Cambria Math" w:hAnsi="Cambria Math" w:cstheme="minorHAnsi"/>
            <w:color w:val="4A4A4A"/>
          </w:rPr>
          <m:t>j</m:t>
        </m:r>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n</m:t>
        </m:r>
      </m:oMath>
      <w:r w:rsidRPr="00486970">
        <w:rPr>
          <w:rFonts w:eastAsia="Cambria Math" w:cstheme="minorHAnsi"/>
          <w:color w:val="4A4A4A"/>
        </w:rPr>
        <w:t xml:space="preserve"> objects are represented by the n-dimensional vector </w:t>
      </w:r>
      <m:oMath>
        <m:sSub>
          <m:sSubPr>
            <m:ctrlPr>
              <w:rPr>
                <w:rFonts w:ascii="Cambria Math" w:eastAsia="Cambria Math" w:hAnsi="Cambria Math" w:cstheme="minorHAnsi"/>
                <w:color w:val="4A4A4A"/>
              </w:rPr>
            </m:ctrlPr>
          </m:sSubPr>
          <m:e>
            <m:r>
              <m:rPr>
                <m:sty m:val="p"/>
              </m:rPr>
              <w:rPr>
                <w:rFonts w:ascii="Cambria Math" w:eastAsia="Cambria Math" w:hAnsi="Cambria Math" w:cstheme="minorHAnsi"/>
                <w:color w:val="4A4A4A"/>
              </w:rPr>
              <m:t>x</m:t>
            </m:r>
          </m:e>
          <m:sub>
            <m:r>
              <m:rPr>
                <m:sty m:val="p"/>
              </m:rPr>
              <w:rPr>
                <w:rFonts w:ascii="Cambria Math" w:eastAsia="Cambria Math" w:hAnsi="Cambria Math" w:cstheme="minorHAnsi"/>
                <w:color w:val="4A4A4A"/>
              </w:rPr>
              <m:t>.j</m:t>
            </m:r>
          </m:sub>
        </m:sSub>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j=1,…,d</m:t>
        </m:r>
      </m:oMath>
      <w:r w:rsidRPr="00486970">
        <w:rPr>
          <w:rFonts w:eastAsia="Cambria Math" w:cstheme="minorHAnsi"/>
          <w:color w:val="4A4A4A"/>
        </w:rPr>
        <w:t xml:space="preserve">. Overall, an index should be computed via two main steps: identification and aggregation. An example of how to combine the 2 dimensions can be found in </w:t>
      </w:r>
      <w:r w:rsidRPr="00021E78">
        <w:rPr>
          <w:rFonts w:eastAsia="Cambria Math" w:cstheme="minorHAnsi"/>
          <w:bCs/>
          <w:color w:val="4A4A4A"/>
        </w:rPr>
        <w:t>Annex 4.</w:t>
      </w:r>
    </w:p>
    <w:p w14:paraId="529F7602" w14:textId="77777777" w:rsidR="00F70A66" w:rsidRPr="00021E78" w:rsidRDefault="00F70A66" w:rsidP="00F70A66">
      <w:pPr>
        <w:spacing w:after="120" w:line="240" w:lineRule="auto"/>
        <w:jc w:val="both"/>
        <w:rPr>
          <w:rFonts w:eastAsia="Times New Roman" w:cstheme="minorHAnsi"/>
          <w:bCs/>
          <w:color w:val="4A4A4A"/>
          <w:lang w:eastAsia="en-GB"/>
        </w:rPr>
      </w:pPr>
      <w:r w:rsidRPr="00021E78">
        <w:rPr>
          <w:rFonts w:eastAsia="Times New Roman" w:cstheme="minorHAnsi"/>
          <w:bCs/>
          <w:color w:val="4A4A4A"/>
          <w:lang w:eastAsia="en-GB"/>
        </w:rPr>
        <w:t>Step 5: Apply weights to the medicine in the basket according to the regional prevalence of the diseases that are cured/treated/controlled by these medicines</w:t>
      </w:r>
    </w:p>
    <w:p w14:paraId="4A7F12E0"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bCs/>
          <w:color w:val="4A4A4A"/>
        </w:rPr>
        <w:t>After identifying the access variable, medicines in the basket have to be weighted according to the prevalence of the disease(s) that these medicines are used to cure/treat/control using the weights identified in step 2 and provided in Annex 2, tables 2.1 and 2.2.</w:t>
      </w:r>
      <w:r w:rsidRPr="00486970">
        <w:rPr>
          <w:rFonts w:eastAsia="Cambria Math" w:cstheme="minorHAnsi"/>
          <w:b/>
          <w:bCs/>
          <w:color w:val="4A4A4A"/>
        </w:rPr>
        <w:t xml:space="preserve"> </w:t>
      </w:r>
      <w:r w:rsidRPr="00486970">
        <w:rPr>
          <w:rFonts w:eastAsia="Cambria Math" w:cstheme="minorHAnsi"/>
          <w:color w:val="4A4A4A"/>
        </w:rPr>
        <w:t xml:space="preserve">This is performed by multiplying the access variable with the medicine weights: </w:t>
      </w:r>
    </w:p>
    <w:p w14:paraId="1DA630D7" w14:textId="1B85F7D5" w:rsidR="00F70A66" w:rsidRDefault="00F70A66" w:rsidP="00F70A66">
      <w:pPr>
        <w:spacing w:after="120" w:line="240" w:lineRule="auto"/>
        <w:jc w:val="center"/>
        <w:rPr>
          <w:rFonts w:eastAsia="Cambria Math" w:cstheme="minorHAnsi"/>
          <w:color w:val="4A4A4A"/>
          <w:sz w:val="20"/>
          <w:szCs w:val="20"/>
        </w:rPr>
      </w:pPr>
      <w:r w:rsidRPr="00486970">
        <w:rPr>
          <w:rFonts w:eastAsia="Cambria Math" w:cstheme="minorHAnsi"/>
          <w:b/>
          <w:bCs/>
          <w:color w:val="4A4A4A"/>
          <w:sz w:val="20"/>
          <w:szCs w:val="20"/>
        </w:rPr>
        <w:t>Figure 1.</w:t>
      </w:r>
      <w:r w:rsidRPr="00486970">
        <w:rPr>
          <w:rFonts w:eastAsia="Cambria Math" w:cstheme="minorHAnsi"/>
          <w:color w:val="4A4A4A"/>
          <w:sz w:val="20"/>
          <w:szCs w:val="20"/>
        </w:rPr>
        <w:t xml:space="preserve"> Achievement matrix of weighted access to medicine</w:t>
      </w:r>
    </w:p>
    <w:p w14:paraId="7D81787F" w14:textId="465FB326" w:rsidR="00BD0A68" w:rsidRDefault="00BD0A68" w:rsidP="00F70A66">
      <w:pPr>
        <w:spacing w:after="120" w:line="240" w:lineRule="auto"/>
        <w:jc w:val="center"/>
        <w:rPr>
          <w:rFonts w:eastAsia="Cambria Math" w:cstheme="minorHAnsi"/>
          <w:noProof/>
          <w:color w:val="4A4A4A"/>
          <w:lang w:val="en-US"/>
        </w:rPr>
      </w:pPr>
      <w:r>
        <w:rPr>
          <w:noProof/>
        </w:rPr>
        <w:drawing>
          <wp:inline distT="0" distB="0" distL="0" distR="0" wp14:anchorId="64DA06DE" wp14:editId="1B4652C9">
            <wp:extent cx="36861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6175" cy="1609725"/>
                    </a:xfrm>
                    <a:prstGeom prst="rect">
                      <a:avLst/>
                    </a:prstGeom>
                  </pic:spPr>
                </pic:pic>
              </a:graphicData>
            </a:graphic>
          </wp:inline>
        </w:drawing>
      </w:r>
    </w:p>
    <w:p w14:paraId="717E0F8D"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6: Identify whether a facility has a core set of relevant essential medicines available and affordable</w:t>
      </w:r>
    </w:p>
    <w:p w14:paraId="0C279660"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color w:val="4A4A4A"/>
        </w:rPr>
        <w:t xml:space="preserve">The following computations must be undertaken in this step: </w:t>
      </w:r>
    </w:p>
    <w:p w14:paraId="65C0A7FB"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6.1 Calculate proportion of medicines that are accessible (both available and affordable) in each facility</w:t>
      </w:r>
    </w:p>
    <w:p w14:paraId="2AF9307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Because medicines are weighted, the proportion is computed as a weighted sum of medicines that are both available and affordable (accessible) in each facility using the following formula: </w:t>
      </w:r>
    </w:p>
    <w:p w14:paraId="34C5D8E5" w14:textId="75B0CB11" w:rsidR="00F70A66" w:rsidRPr="00021E78" w:rsidRDefault="00021E78" w:rsidP="00F70A66">
      <w:pPr>
        <w:pBdr>
          <w:top w:val="nil"/>
          <w:left w:val="nil"/>
          <w:bottom w:val="nil"/>
          <w:right w:val="nil"/>
          <w:between w:val="nil"/>
        </w:pBdr>
        <w:spacing w:after="120" w:line="240" w:lineRule="auto"/>
        <w:ind w:left="720"/>
        <w:jc w:val="both"/>
        <w:rPr>
          <w:rFonts w:eastAsia="Cambria Math" w:cstheme="minorHAnsi"/>
          <w:i/>
          <w:color w:val="4A4A4A"/>
          <w:sz w:val="21"/>
          <w:szCs w:val="21"/>
        </w:rPr>
      </w:pPr>
      <m:oMathPara>
        <m:oMath>
          <m:r>
            <w:rPr>
              <w:rFonts w:ascii="Cambria Math" w:eastAsia="Cambria Math" w:hAnsi="Cambria Math" w:cstheme="minorHAnsi"/>
              <w:color w:val="4A4A4A"/>
              <w:sz w:val="18"/>
              <w:szCs w:val="21"/>
            </w:rPr>
            <m:t xml:space="preserve">Access= </m:t>
          </m:r>
          <m:nary>
            <m:naryPr>
              <m:chr m:val="∑"/>
              <m:limLoc m:val="undOvr"/>
              <m:ctrlPr>
                <w:rPr>
                  <w:rFonts w:ascii="Cambria Math" w:eastAsia="Cambria Math" w:hAnsi="Cambria Math" w:cstheme="minorHAnsi"/>
                  <w:i/>
                  <w:color w:val="4A4A4A"/>
                  <w:sz w:val="18"/>
                  <w:szCs w:val="21"/>
                </w:rPr>
              </m:ctrlPr>
            </m:naryPr>
            <m:sub>
              <m:r>
                <w:rPr>
                  <w:rFonts w:ascii="Cambria Math" w:eastAsia="Cambria Math" w:hAnsi="Cambria Math" w:cstheme="minorHAnsi"/>
                  <w:color w:val="4A4A4A"/>
                  <w:sz w:val="18"/>
                  <w:szCs w:val="21"/>
                </w:rPr>
                <m:t>i=1</m:t>
              </m:r>
            </m:sub>
            <m:sup>
              <m:r>
                <w:rPr>
                  <w:rFonts w:ascii="Cambria Math" w:eastAsia="Cambria Math" w:hAnsi="Cambria Math" w:cstheme="minorHAnsi"/>
                  <w:color w:val="4A4A4A"/>
                  <w:sz w:val="18"/>
                  <w:szCs w:val="21"/>
                </w:rPr>
                <m:t>n</m:t>
              </m:r>
            </m:sup>
            <m:e>
              <m:sSub>
                <m:sSubPr>
                  <m:ctrlPr>
                    <w:rPr>
                      <w:rFonts w:ascii="Cambria Math" w:eastAsia="Cambria Math" w:hAnsi="Cambria Math" w:cstheme="minorHAnsi"/>
                      <w:i/>
                      <w:color w:val="4A4A4A"/>
                      <w:sz w:val="18"/>
                      <w:szCs w:val="21"/>
                    </w:rPr>
                  </m:ctrlPr>
                </m:sSubPr>
                <m:e>
                  <m:r>
                    <w:rPr>
                      <w:rFonts w:ascii="Cambria Math" w:eastAsia="Cambria Math" w:hAnsi="Cambria Math" w:cstheme="minorHAnsi"/>
                      <w:color w:val="4A4A4A"/>
                      <w:sz w:val="18"/>
                      <w:szCs w:val="21"/>
                    </w:rPr>
                    <m:t>w</m:t>
                  </m:r>
                </m:e>
                <m:sub>
                  <m:r>
                    <w:rPr>
                      <w:rFonts w:ascii="Cambria Math" w:eastAsia="Cambria Math" w:hAnsi="Cambria Math" w:cstheme="minorHAnsi"/>
                      <w:color w:val="4A4A4A"/>
                      <w:sz w:val="18"/>
                      <w:szCs w:val="21"/>
                    </w:rPr>
                    <m:t>mi</m:t>
                  </m:r>
                </m:sub>
              </m:sSub>
            </m:e>
          </m:nary>
        </m:oMath>
      </m:oMathPara>
    </w:p>
    <w:p w14:paraId="251E867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This variable is then transformed into a percentage and varies from 0 to 100. </w:t>
      </w:r>
    </w:p>
    <w:p w14:paraId="1F1A0CDB"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The computed number of accessible medicines accounts for the importance of the analysed medicines in the country. In particular, if a medicine with a higher weight (for example hypertension) is not accessible, the index will be sensitive to this and will demonstrate the lack of access. On the contrary, if a medicine has a low weight (i.e. approaching zero, such as antimalarial medication in a non-endemic country) and is not accessible, the index will not be affected. </w:t>
      </w:r>
    </w:p>
    <w:p w14:paraId="456BDDD0" w14:textId="6FB70D51"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6.2 Mark facilities that have 80% or more of available and affordable medicines</w:t>
      </w:r>
    </w:p>
    <w:p w14:paraId="56294D80"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The computed variable “access” is then transformed into the binary format identifying facilities that have the core basket of essential medicines available and affordable versus facilities that do not. A threshold of 80% is applied in order to transform the “access” variable </w:t>
      </w:r>
      <w:r w:rsidRPr="00021E78">
        <w:rPr>
          <w:rFonts w:eastAsia="Cambria Math" w:cstheme="minorHAnsi"/>
          <w:color w:val="4A4A4A"/>
        </w:rPr>
        <w:lastRenderedPageBreak/>
        <w:t>into a binary format. In particular, at least 80% of all the medicines surveyed in a facility have to be both available and affordable. The transformation is made using the following formula:</w:t>
      </w:r>
    </w:p>
    <w:p w14:paraId="098F18A5" w14:textId="1C8C7C1D" w:rsidR="00F70A66" w:rsidRPr="00021E78" w:rsidRDefault="000B31FA" w:rsidP="00F70A66">
      <w:pPr>
        <w:pBdr>
          <w:top w:val="nil"/>
          <w:left w:val="nil"/>
          <w:bottom w:val="nil"/>
          <w:right w:val="nil"/>
          <w:between w:val="nil"/>
        </w:pBdr>
        <w:spacing w:after="120" w:line="240" w:lineRule="auto"/>
        <w:ind w:left="720"/>
        <w:jc w:val="center"/>
        <w:rPr>
          <w:rFonts w:eastAsia="Cambria Math" w:cstheme="minorHAnsi"/>
          <w:color w:val="4A4A4A"/>
        </w:rPr>
      </w:pPr>
      <m:oMathPara>
        <m:oMath>
          <m:d>
            <m:dPr>
              <m:begChr m:val="{"/>
              <m:endChr m:val=""/>
              <m:ctrlPr>
                <w:rPr>
                  <w:rFonts w:ascii="Cambria Math" w:eastAsia="Cambria Math" w:hAnsi="Cambria Math" w:cstheme="minorHAnsi"/>
                  <w:i/>
                  <w:color w:val="4A4A4A"/>
                  <w:sz w:val="18"/>
                </w:rPr>
              </m:ctrlPr>
            </m:dPr>
            <m:e>
              <m:eqArr>
                <m:eqArrPr>
                  <m:ctrlPr>
                    <w:rPr>
                      <w:rFonts w:ascii="Cambria Math" w:eastAsia="Cambria Math" w:hAnsi="Cambria Math" w:cstheme="minorHAnsi"/>
                      <w:i/>
                      <w:color w:val="4A4A4A"/>
                      <w:sz w:val="18"/>
                    </w:rPr>
                  </m:ctrlPr>
                </m:eqArrPr>
                <m:e>
                  <m:r>
                    <w:rPr>
                      <w:rFonts w:ascii="Cambria Math" w:eastAsia="Cambria Math" w:hAnsi="Cambria Math" w:cstheme="minorHAnsi"/>
                      <w:color w:val="4A4A4A"/>
                      <w:sz w:val="18"/>
                    </w:rPr>
                    <m:t xml:space="preserve">if </m:t>
                  </m:r>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Access</m:t>
                      </m:r>
                    </m:e>
                    <m:sub>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facility</m:t>
                          </m:r>
                        </m:e>
                        <m:sub>
                          <m:r>
                            <w:rPr>
                              <w:rFonts w:ascii="Cambria Math" w:eastAsia="Cambria Math" w:hAnsi="Cambria Math" w:cstheme="minorHAnsi"/>
                              <w:color w:val="4A4A4A"/>
                              <w:sz w:val="18"/>
                            </w:rPr>
                            <m:t>i</m:t>
                          </m:r>
                        </m:sub>
                      </m:sSub>
                    </m:sub>
                  </m:sSub>
                  <m:r>
                    <w:rPr>
                      <w:rFonts w:ascii="Cambria Math" w:eastAsia="Cambria Math" w:hAnsi="Cambria Math" w:cstheme="minorHAnsi"/>
                      <w:color w:val="4A4A4A"/>
                      <w:sz w:val="18"/>
                    </w:rPr>
                    <m:t>≥80% Facility=1,</m:t>
                  </m:r>
                </m:e>
                <m:e>
                  <m:r>
                    <w:rPr>
                      <w:rFonts w:ascii="Cambria Math" w:eastAsia="Cambria Math" w:hAnsi="Cambria Math" w:cstheme="minorHAnsi"/>
                      <w:color w:val="4A4A4A"/>
                      <w:sz w:val="18"/>
                    </w:rPr>
                    <m:t>0</m:t>
                  </m:r>
                </m:e>
                <m:e>
                  <m:r>
                    <w:rPr>
                      <w:rFonts w:ascii="Cambria Math" w:eastAsia="Cambria Math" w:hAnsi="Cambria Math" w:cstheme="minorHAnsi"/>
                      <w:color w:val="4A4A4A"/>
                      <w:sz w:val="18"/>
                    </w:rPr>
                    <m:t>otherwise, Facility=0</m:t>
                  </m:r>
                </m:e>
              </m:eqArr>
            </m:e>
          </m:d>
        </m:oMath>
      </m:oMathPara>
    </w:p>
    <w:p w14:paraId="51B1300E"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This threshold is agreed upon and adopted by the WHO Global Action Plan on Non-Communicable Diseases and used as a reference in this proposed methodology.  </w:t>
      </w:r>
    </w:p>
    <w:p w14:paraId="158D792E"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sz w:val="2"/>
        </w:rPr>
      </w:pPr>
    </w:p>
    <w:p w14:paraId="6F6EA95B"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7: Calculate the indicator as the proportion of facilities with accessible medicines in the country</w:t>
      </w:r>
    </w:p>
    <w:p w14:paraId="03640B7D" w14:textId="77777777" w:rsidR="00F70A66" w:rsidRPr="00021E78" w:rsidRDefault="00F70A66" w:rsidP="00F70A66">
      <w:pPr>
        <w:spacing w:after="120" w:line="240" w:lineRule="auto"/>
        <w:jc w:val="both"/>
        <w:rPr>
          <w:rFonts w:eastAsia="Cambria Math" w:cstheme="minorHAnsi"/>
          <w:color w:val="4A4A4A"/>
        </w:rPr>
      </w:pPr>
      <w:r w:rsidRPr="00021E78">
        <w:rPr>
          <w:rFonts w:eastAsia="Cambria Math" w:cstheme="minorHAnsi"/>
          <w:color w:val="4A4A4A"/>
        </w:rPr>
        <w:t>The proportion of facilities that have reached the 80% threshold is calculated out of the total number of surveyed facilities in a selected country using the following formula:</w:t>
      </w:r>
    </w:p>
    <w:p w14:paraId="30195E9A" w14:textId="17C50D06" w:rsidR="00F70A66" w:rsidRPr="00021E78" w:rsidRDefault="000B31FA" w:rsidP="00F70A66">
      <w:pPr>
        <w:pBdr>
          <w:top w:val="nil"/>
          <w:left w:val="nil"/>
          <w:bottom w:val="nil"/>
          <w:right w:val="nil"/>
          <w:between w:val="nil"/>
        </w:pBdr>
        <w:spacing w:after="120" w:line="240" w:lineRule="auto"/>
        <w:jc w:val="both"/>
        <w:rPr>
          <w:rFonts w:eastAsia="Cambria Math" w:cstheme="minorHAnsi"/>
          <w:color w:val="4A4A4A"/>
        </w:rPr>
      </w:pPr>
      <m:oMathPara>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SDG</m:t>
              </m:r>
            </m:e>
            <m:sub>
              <m:r>
                <w:rPr>
                  <w:rFonts w:ascii="Cambria Math" w:eastAsia="Cambria Math" w:hAnsi="Cambria Math" w:cstheme="minorHAnsi"/>
                  <w:color w:val="4A4A4A"/>
                  <w:sz w:val="18"/>
                </w:rPr>
                <m:t>3.b.3</m:t>
              </m:r>
            </m:sub>
          </m:sSub>
          <m:r>
            <w:rPr>
              <w:rFonts w:ascii="Cambria Math" w:eastAsia="Cambria Math" w:hAnsi="Cambria Math" w:cstheme="minorHAnsi"/>
              <w:color w:val="4A4A4A"/>
              <w:sz w:val="18"/>
            </w:rPr>
            <m:t>=</m:t>
          </m:r>
          <m:f>
            <m:fPr>
              <m:ctrlPr>
                <w:rPr>
                  <w:rFonts w:ascii="Cambria Math" w:eastAsia="Cambria Math" w:hAnsi="Cambria Math" w:cstheme="minorHAnsi"/>
                  <w:color w:val="4A4A4A"/>
                  <w:sz w:val="18"/>
                </w:rPr>
              </m:ctrlPr>
            </m:fPr>
            <m:num>
              <m:r>
                <w:rPr>
                  <w:rFonts w:ascii="Cambria Math" w:eastAsia="Cambria Math" w:hAnsi="Cambria Math" w:cstheme="minorHAnsi"/>
                  <w:color w:val="4A4A4A"/>
                  <w:sz w:val="18"/>
                </w:rPr>
                <m:t>Facilities with available and affordable basket of medicines (n)</m:t>
              </m:r>
            </m:num>
            <m:den>
              <m:r>
                <w:rPr>
                  <w:rFonts w:ascii="Cambria Math" w:eastAsia="Cambria Math" w:hAnsi="Cambria Math" w:cstheme="minorHAnsi"/>
                  <w:color w:val="4A4A4A"/>
                  <w:sz w:val="18"/>
                </w:rPr>
                <m:t>Surveyed Facilities (n)</m:t>
              </m:r>
            </m:den>
          </m:f>
        </m:oMath>
      </m:oMathPara>
    </w:p>
    <w:p w14:paraId="584F0985"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color w:val="4A4A4A"/>
        </w:rPr>
        <w:t>The computed indicator is a proportion that will then be converted into a percentage between 0-100%.</w:t>
      </w:r>
    </w:p>
    <w:p w14:paraId="6B2D0968"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 xml:space="preserve">Step 8: Consideration of quality of the accessible medicines in the country using a proxy </w:t>
      </w:r>
    </w:p>
    <w:p w14:paraId="39CECFAC" w14:textId="648283B6" w:rsidR="00F70A66" w:rsidRDefault="00F70A66" w:rsidP="00BD0A68">
      <w:pPr>
        <w:shd w:val="clear" w:color="auto" w:fill="FFFFFF" w:themeFill="background1"/>
        <w:spacing w:after="0" w:line="240" w:lineRule="auto"/>
        <w:jc w:val="both"/>
        <w:rPr>
          <w:rFonts w:eastAsia="Cambria Math" w:cstheme="minorHAnsi"/>
          <w:color w:val="4A4A4A"/>
        </w:rPr>
      </w:pPr>
      <w:r w:rsidRPr="00021E78">
        <w:rPr>
          <w:rFonts w:eastAsia="Cambria Math" w:cstheme="minorHAnsi"/>
          <w:color w:val="4A4A4A"/>
        </w:rPr>
        <w:t>The country level of medicine regulatory capacity assessed using the WHO NRA GBT is used as a proxy of the quality of the accessible</w:t>
      </w:r>
      <w:r w:rsidRPr="00486970">
        <w:rPr>
          <w:rFonts w:eastAsia="Cambria Math" w:cstheme="minorHAnsi"/>
          <w:color w:val="4A4A4A"/>
        </w:rPr>
        <w:t xml:space="preserve"> medicines. The countries with a WHO Listed Authority (WLA corresponding to maturity level 3 and above) will be flagged to indicate the assured quality component.</w:t>
      </w:r>
    </w:p>
    <w:p w14:paraId="7E03C0B2" w14:textId="77777777" w:rsidR="00564F67" w:rsidRPr="00486970" w:rsidRDefault="00564F67" w:rsidP="00F70A66">
      <w:pPr>
        <w:shd w:val="clear" w:color="auto" w:fill="FFFFFF" w:themeFill="background1"/>
        <w:spacing w:after="120" w:line="240" w:lineRule="auto"/>
        <w:jc w:val="both"/>
        <w:rPr>
          <w:rFonts w:eastAsia="Cambria Math" w:cstheme="minorHAnsi"/>
          <w:color w:val="4A4A4A"/>
        </w:rPr>
      </w:pPr>
    </w:p>
    <w:p w14:paraId="514CE3C0" w14:textId="3F3F7A53" w:rsidR="00E1050F" w:rsidRPr="00486970" w:rsidRDefault="00576CFA" w:rsidP="00F719A8">
      <w:pPr>
        <w:pStyle w:val="MHeader2"/>
        <w:rPr>
          <w:rFonts w:cstheme="minorHAnsi"/>
        </w:rPr>
      </w:pPr>
      <w:r w:rsidRPr="00486970">
        <w:rPr>
          <w:rFonts w:cstheme="minorHAnsi"/>
        </w:rPr>
        <w:t>4.d. Validation</w:t>
      </w:r>
    </w:p>
    <w:p w14:paraId="4C30BC4A" w14:textId="77777777" w:rsidR="00021E78" w:rsidRPr="00486970" w:rsidRDefault="00021E78" w:rsidP="00576CFA">
      <w:pPr>
        <w:pStyle w:val="MText"/>
        <w:rPr>
          <w:rFonts w:cstheme="minorHAnsi"/>
        </w:rPr>
      </w:pPr>
    </w:p>
    <w:p w14:paraId="2CF2A343" w14:textId="0A7F0CBE" w:rsidR="00E1050F" w:rsidRPr="00486970" w:rsidRDefault="00E1050F" w:rsidP="00F719A8">
      <w:pPr>
        <w:pStyle w:val="MHeader2"/>
        <w:rPr>
          <w:rFonts w:cstheme="minorHAnsi"/>
        </w:rPr>
      </w:pPr>
      <w:r w:rsidRPr="00486970">
        <w:rPr>
          <w:rFonts w:cstheme="minorHAnsi"/>
        </w:rPr>
        <w:t>4.e. Adjustments</w:t>
      </w:r>
    </w:p>
    <w:p w14:paraId="0FB2EC17" w14:textId="77777777" w:rsidR="00021E78" w:rsidRPr="00486970" w:rsidRDefault="00021E78" w:rsidP="00576CFA">
      <w:pPr>
        <w:pStyle w:val="MText"/>
        <w:rPr>
          <w:rFonts w:cstheme="minorHAnsi"/>
        </w:rPr>
      </w:pPr>
    </w:p>
    <w:p w14:paraId="17735630" w14:textId="3387C27D" w:rsidR="00E1050F" w:rsidRPr="00486970" w:rsidRDefault="00576CFA" w:rsidP="00F719A8">
      <w:pPr>
        <w:pStyle w:val="MHeader2"/>
        <w:rPr>
          <w:rFonts w:cstheme="minorHAnsi"/>
        </w:rPr>
      </w:pPr>
      <w:r w:rsidRPr="00486970">
        <w:rPr>
          <w:rFonts w:cstheme="minorHAnsi"/>
        </w:rPr>
        <w:t>4.f. Treatment of missing values (i) at country le</w:t>
      </w:r>
      <w:r w:rsidR="00E1050F" w:rsidRPr="00486970">
        <w:rPr>
          <w:rFonts w:cstheme="minorHAnsi"/>
        </w:rPr>
        <w:t>vel and (ii) at regional level</w:t>
      </w:r>
    </w:p>
    <w:p w14:paraId="2723B856" w14:textId="0B816B55" w:rsidR="005012B9" w:rsidRPr="00021E78" w:rsidRDefault="005012B9" w:rsidP="00397ADD">
      <w:pPr>
        <w:numPr>
          <w:ilvl w:val="0"/>
          <w:numId w:val="25"/>
        </w:numPr>
        <w:shd w:val="clear" w:color="auto" w:fill="FFFFFF"/>
        <w:spacing w:after="0" w:line="240" w:lineRule="auto"/>
        <w:ind w:left="135" w:firstLine="0"/>
        <w:jc w:val="both"/>
        <w:textAlignment w:val="baseline"/>
        <w:rPr>
          <w:rFonts w:eastAsia="Times New Roman" w:cstheme="minorHAnsi"/>
          <w:b/>
          <w:bCs/>
          <w:sz w:val="21"/>
          <w:szCs w:val="21"/>
          <w:lang w:val="en-US" w:eastAsia="en-US"/>
        </w:rPr>
      </w:pPr>
      <w:r w:rsidRPr="00021E78">
        <w:rPr>
          <w:rFonts w:eastAsia="Times New Roman" w:cstheme="minorHAnsi"/>
          <w:b/>
          <w:bCs/>
          <w:color w:val="1C75BC"/>
          <w:sz w:val="21"/>
          <w:szCs w:val="21"/>
          <w:lang w:eastAsia="en-US"/>
        </w:rPr>
        <w:t>At country level</w:t>
      </w:r>
      <w:r w:rsidR="005B2719">
        <w:rPr>
          <w:rFonts w:eastAsia="Times New Roman" w:cstheme="minorHAnsi"/>
          <w:b/>
          <w:bCs/>
          <w:color w:val="1C75BC"/>
          <w:sz w:val="21"/>
          <w:szCs w:val="21"/>
          <w:lang w:eastAsia="en-US"/>
        </w:rPr>
        <w:t xml:space="preserve"> </w:t>
      </w:r>
    </w:p>
    <w:p w14:paraId="20637F21" w14:textId="3932707D"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Treatment of missing values has already been partially addressed.</w:t>
      </w:r>
      <w:r w:rsidR="005B2719">
        <w:rPr>
          <w:rFonts w:eastAsia="Times New Roman" w:cstheme="minorHAnsi"/>
          <w:color w:val="4A4A4A"/>
          <w:lang w:eastAsia="en-US"/>
        </w:rPr>
        <w:t xml:space="preserve"> </w:t>
      </w:r>
      <w:r w:rsidRPr="00486970">
        <w:rPr>
          <w:rFonts w:eastAsia="Times New Roman" w:cstheme="minorHAnsi"/>
          <w:color w:val="4A4A4A"/>
          <w:lang w:eastAsia="en-US"/>
        </w:rPr>
        <w:t>In particular, when</w:t>
      </w:r>
      <w:r w:rsidR="005B2719">
        <w:rPr>
          <w:rFonts w:eastAsia="Times New Roman" w:cstheme="minorHAnsi"/>
          <w:color w:val="4A4A4A"/>
          <w:lang w:eastAsia="en-US"/>
        </w:rPr>
        <w:t xml:space="preserve"> </w:t>
      </w:r>
      <w:r w:rsidRPr="00486970">
        <w:rPr>
          <w:rFonts w:eastAsia="Times New Roman" w:cstheme="minorHAnsi"/>
          <w:color w:val="4A4A4A"/>
          <w:lang w:eastAsia="en-US"/>
        </w:rPr>
        <w:t>a medicine is not available, its price cannot be collected.</w:t>
      </w:r>
      <w:r w:rsidR="005B2719">
        <w:rPr>
          <w:rFonts w:eastAsia="Times New Roman" w:cstheme="minorHAnsi"/>
          <w:color w:val="4A4A4A"/>
          <w:lang w:eastAsia="en-US"/>
        </w:rPr>
        <w:t xml:space="preserve"> </w:t>
      </w:r>
      <w:r w:rsidRPr="00486970">
        <w:rPr>
          <w:rFonts w:eastAsia="Times New Roman" w:cstheme="minorHAnsi"/>
          <w:color w:val="4A4A4A"/>
          <w:lang w:eastAsia="en-US"/>
        </w:rPr>
        <w:t>For this reason, missing price values are considered as the medicine not being available and therefore not accessible (access = 0).</w:t>
      </w:r>
    </w:p>
    <w:p w14:paraId="2410DE32" w14:textId="0CA4148E"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Observing missing values for availability and affordability simultaneously</w:t>
      </w:r>
      <w:r w:rsidR="005B2719">
        <w:rPr>
          <w:rFonts w:eastAsia="Times New Roman" w:cstheme="minorHAnsi"/>
          <w:color w:val="4A4A4A"/>
          <w:lang w:eastAsia="en-US"/>
        </w:rPr>
        <w:t xml:space="preserve"> </w:t>
      </w:r>
      <w:r w:rsidRPr="00486970">
        <w:rPr>
          <w:rFonts w:eastAsia="Times New Roman" w:cstheme="minorHAnsi"/>
          <w:color w:val="4A4A4A"/>
          <w:lang w:eastAsia="en-US"/>
        </w:rPr>
        <w:t>indicates</w:t>
      </w:r>
      <w:r w:rsidR="005B2719">
        <w:rPr>
          <w:rFonts w:eastAsia="Times New Roman" w:cstheme="minorHAnsi"/>
          <w:color w:val="4A4A4A"/>
          <w:lang w:eastAsia="en-US"/>
        </w:rPr>
        <w:t xml:space="preserve"> </w:t>
      </w:r>
      <w:r w:rsidRPr="00486970">
        <w:rPr>
          <w:rFonts w:eastAsia="Times New Roman" w:cstheme="minorHAnsi"/>
          <w:color w:val="4A4A4A"/>
          <w:lang w:eastAsia="en-US"/>
        </w:rPr>
        <w:t>that these medicines are not provided at all in the surveyed facility.</w:t>
      </w:r>
      <w:r w:rsidR="005B2719">
        <w:rPr>
          <w:rFonts w:eastAsia="Times New Roman" w:cstheme="minorHAnsi"/>
          <w:color w:val="4A4A4A"/>
          <w:lang w:eastAsia="en-US"/>
        </w:rPr>
        <w:t xml:space="preserve"> </w:t>
      </w:r>
      <w:r w:rsidRPr="00486970">
        <w:rPr>
          <w:rFonts w:eastAsia="Times New Roman" w:cstheme="minorHAnsi"/>
          <w:color w:val="4A4A4A"/>
          <w:lang w:eastAsia="en-US"/>
        </w:rPr>
        <w:t>For example, in</w:t>
      </w:r>
      <w:r w:rsidR="005B2719">
        <w:rPr>
          <w:rFonts w:eastAsia="Times New Roman" w:cstheme="minorHAnsi"/>
          <w:color w:val="4A4A4A"/>
          <w:lang w:eastAsia="en-US"/>
        </w:rPr>
        <w:t xml:space="preserve"> </w:t>
      </w:r>
      <w:r w:rsidRPr="00486970">
        <w:rPr>
          <w:rFonts w:eastAsia="Times New Roman" w:cstheme="minorHAnsi"/>
          <w:color w:val="4A4A4A"/>
          <w:lang w:eastAsia="en-US"/>
        </w:rPr>
        <w:t>some</w:t>
      </w:r>
      <w:r w:rsidR="005B2719">
        <w:rPr>
          <w:rFonts w:eastAsia="Times New Roman" w:cstheme="minorHAnsi"/>
          <w:color w:val="4A4A4A"/>
          <w:lang w:eastAsia="en-US"/>
        </w:rPr>
        <w:t xml:space="preserve"> </w:t>
      </w: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medicines for in-patient care (mostly in injectable forms) are provided only in hospitals. In this case, the procedure</w:t>
      </w:r>
      <w:r w:rsidR="005B2719">
        <w:rPr>
          <w:rFonts w:eastAsia="Times New Roman" w:cstheme="minorHAnsi"/>
          <w:color w:val="4A4A4A"/>
          <w:lang w:eastAsia="en-US"/>
        </w:rPr>
        <w:t xml:space="preserve"> </w:t>
      </w:r>
      <w:r w:rsidRPr="00486970">
        <w:rPr>
          <w:rFonts w:eastAsia="Times New Roman" w:cstheme="minorHAnsi"/>
          <w:color w:val="4A4A4A"/>
          <w:lang w:eastAsia="en-US"/>
        </w:rPr>
        <w:t>for computing the</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 is the same except that:</w:t>
      </w:r>
    </w:p>
    <w:p w14:paraId="3628E966" w14:textId="5240F01B" w:rsidR="005012B9" w:rsidRPr="00486970" w:rsidRDefault="005012B9" w:rsidP="00397ADD">
      <w:pPr>
        <w:numPr>
          <w:ilvl w:val="0"/>
          <w:numId w:val="26"/>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lang w:eastAsia="en-US"/>
        </w:rPr>
        <w:t>Medicines that are used for inpatient care are excluded from the analysis of the data collected in pharmacies</w:t>
      </w:r>
      <w:r w:rsidR="005B2719">
        <w:rPr>
          <w:rFonts w:eastAsia="Times New Roman" w:cstheme="minorHAnsi"/>
          <w:color w:val="4A4A4A"/>
          <w:lang w:eastAsia="en-US"/>
        </w:rPr>
        <w:t xml:space="preserve"> </w:t>
      </w:r>
      <w:r w:rsidRPr="00486970">
        <w:rPr>
          <w:rFonts w:eastAsia="Times New Roman" w:cstheme="minorHAnsi"/>
          <w:color w:val="4A4A4A"/>
          <w:lang w:eastAsia="en-US"/>
        </w:rPr>
        <w:t>and other non-tertiary health care facilities, and</w:t>
      </w:r>
    </w:p>
    <w:p w14:paraId="5F7E0A9D" w14:textId="39644D07" w:rsidR="002F66E3" w:rsidRPr="002F66E3" w:rsidRDefault="005012B9" w:rsidP="00397ADD">
      <w:pPr>
        <w:numPr>
          <w:ilvl w:val="0"/>
          <w:numId w:val="27"/>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lang w:eastAsia="en-US"/>
        </w:rPr>
        <w:t>Two</w:t>
      </w:r>
      <w:r w:rsidR="005B2719">
        <w:rPr>
          <w:rFonts w:eastAsia="Times New Roman" w:cstheme="minorHAnsi"/>
          <w:color w:val="4A4A4A"/>
          <w:lang w:eastAsia="en-US"/>
        </w:rPr>
        <w:t xml:space="preserve"> </w:t>
      </w:r>
      <w:r w:rsidRPr="00486970">
        <w:rPr>
          <w:rFonts w:eastAsia="Times New Roman" w:cstheme="minorHAnsi"/>
          <w:color w:val="4A4A4A"/>
          <w:lang w:eastAsia="en-US"/>
        </w:rPr>
        <w:t>different</w:t>
      </w:r>
      <w:r w:rsidR="005B2719">
        <w:rPr>
          <w:rFonts w:eastAsia="Times New Roman" w:cstheme="minorHAnsi"/>
          <w:color w:val="4A4A4A"/>
          <w:lang w:eastAsia="en-US"/>
        </w:rPr>
        <w:t xml:space="preserve"> </w:t>
      </w:r>
      <w:r w:rsidRPr="00486970">
        <w:rPr>
          <w:rFonts w:eastAsia="Times New Roman" w:cstheme="minorHAnsi"/>
          <w:color w:val="4A4A4A"/>
          <w:lang w:eastAsia="en-US"/>
        </w:rPr>
        <w:t>versions of weights are applied to the list of medicines for hospitals and for pharmacies.</w:t>
      </w:r>
    </w:p>
    <w:p w14:paraId="5A8EC199" w14:textId="750D1433" w:rsidR="005012B9" w:rsidRPr="00486970" w:rsidRDefault="005012B9" w:rsidP="002F66E3">
      <w:pPr>
        <w:shd w:val="clear" w:color="auto" w:fill="FFFFFF"/>
        <w:spacing w:after="0" w:line="240" w:lineRule="auto"/>
        <w:ind w:left="360"/>
        <w:jc w:val="both"/>
        <w:textAlignment w:val="baseline"/>
        <w:rPr>
          <w:rFonts w:eastAsia="Times New Roman" w:cstheme="minorHAnsi"/>
          <w:color w:val="4A4A4A"/>
          <w:sz w:val="21"/>
          <w:szCs w:val="21"/>
          <w:lang w:val="en-US" w:eastAsia="en-US"/>
        </w:rPr>
      </w:pPr>
    </w:p>
    <w:p w14:paraId="31A5F8BA" w14:textId="7B65728F" w:rsidR="005012B9" w:rsidRPr="00021E78" w:rsidRDefault="005012B9" w:rsidP="00397ADD">
      <w:pPr>
        <w:numPr>
          <w:ilvl w:val="0"/>
          <w:numId w:val="28"/>
        </w:numPr>
        <w:shd w:val="clear" w:color="auto" w:fill="FFFFFF"/>
        <w:spacing w:after="0" w:line="240" w:lineRule="auto"/>
        <w:ind w:left="135" w:firstLine="0"/>
        <w:jc w:val="both"/>
        <w:textAlignment w:val="baseline"/>
        <w:rPr>
          <w:rFonts w:eastAsia="Times New Roman" w:cstheme="minorHAnsi"/>
          <w:b/>
          <w:bCs/>
          <w:sz w:val="21"/>
          <w:szCs w:val="21"/>
          <w:lang w:val="en-US" w:eastAsia="en-US"/>
        </w:rPr>
      </w:pPr>
      <w:r w:rsidRPr="00021E78">
        <w:rPr>
          <w:rFonts w:eastAsia="Times New Roman" w:cstheme="minorHAnsi"/>
          <w:b/>
          <w:bCs/>
          <w:color w:val="1C75BC"/>
          <w:sz w:val="21"/>
          <w:szCs w:val="21"/>
          <w:lang w:eastAsia="en-US"/>
        </w:rPr>
        <w:t>At regional and global levels</w:t>
      </w:r>
    </w:p>
    <w:p w14:paraId="4743D1DC" w14:textId="32475177"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When computing regional or global aggregates</w:t>
      </w:r>
      <w:r w:rsidR="005B2719">
        <w:rPr>
          <w:rFonts w:eastAsia="Times New Roman" w:cstheme="minorHAnsi"/>
          <w:color w:val="4A4A4A"/>
          <w:lang w:eastAsia="en-US"/>
        </w:rPr>
        <w:t xml:space="preserve"> </w:t>
      </w:r>
      <w:r w:rsidRPr="00486970">
        <w:rPr>
          <w:rFonts w:eastAsia="Times New Roman" w:cstheme="minorHAnsi"/>
          <w:color w:val="4A4A4A"/>
          <w:lang w:eastAsia="en-US"/>
        </w:rPr>
        <w:t>of indicator 3.b.3, it is possible to</w:t>
      </w:r>
      <w:r w:rsidR="005B2719">
        <w:rPr>
          <w:rFonts w:eastAsia="Times New Roman" w:cstheme="minorHAnsi"/>
          <w:color w:val="4A4A4A"/>
          <w:lang w:eastAsia="en-US"/>
        </w:rPr>
        <w:t xml:space="preserve"> </w:t>
      </w:r>
      <w:r w:rsidRPr="00486970">
        <w:rPr>
          <w:rFonts w:eastAsia="Times New Roman" w:cstheme="minorHAnsi"/>
          <w:color w:val="4A4A4A"/>
          <w:lang w:eastAsia="en-US"/>
        </w:rPr>
        <w:t>accommodate missing values</w:t>
      </w:r>
      <w:r w:rsidR="005B2719">
        <w:rPr>
          <w:rFonts w:eastAsia="Times New Roman" w:cstheme="minorHAnsi"/>
          <w:color w:val="4A4A4A"/>
          <w:lang w:eastAsia="en-US"/>
        </w:rPr>
        <w:t xml:space="preserve"> </w:t>
      </w:r>
      <w:r w:rsidRPr="00486970">
        <w:rPr>
          <w:rFonts w:eastAsia="Times New Roman" w:cstheme="minorHAnsi"/>
          <w:color w:val="4A4A4A"/>
          <w:lang w:eastAsia="en-US"/>
        </w:rPr>
        <w:t>from 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resulting from</w:t>
      </w:r>
      <w:r w:rsidR="005B2719">
        <w:rPr>
          <w:rFonts w:eastAsia="Times New Roman" w:cstheme="minorHAnsi"/>
          <w:color w:val="4A4A4A"/>
          <w:lang w:eastAsia="en-US"/>
        </w:rPr>
        <w:t xml:space="preserve"> </w:t>
      </w:r>
      <w:r w:rsidRPr="00486970">
        <w:rPr>
          <w:rFonts w:eastAsia="Times New Roman" w:cstheme="minorHAnsi"/>
          <w:color w:val="4A4A4A"/>
          <w:lang w:eastAsia="en-US"/>
        </w:rPr>
        <w:t>a lack of data collection for a given country</w:t>
      </w:r>
      <w:r w:rsidR="005B2719">
        <w:rPr>
          <w:rFonts w:eastAsia="Times New Roman" w:cstheme="minorHAnsi"/>
          <w:color w:val="4A4A4A"/>
          <w:lang w:eastAsia="en-US"/>
        </w:rPr>
        <w:t xml:space="preserve"> </w:t>
      </w:r>
      <w:r w:rsidRPr="00486970">
        <w:rPr>
          <w:rFonts w:eastAsia="Times New Roman" w:cstheme="minorHAnsi"/>
          <w:color w:val="4A4A4A"/>
          <w:lang w:eastAsia="en-US"/>
        </w:rPr>
        <w:t>in a given year. In order to calculate a regionally aggregated</w:t>
      </w:r>
      <w:r w:rsidR="005B2719">
        <w:rPr>
          <w:rFonts w:eastAsia="Times New Roman" w:cstheme="minorHAnsi"/>
          <w:color w:val="4A4A4A"/>
          <w:lang w:eastAsia="en-US"/>
        </w:rPr>
        <w:t xml:space="preserve"> </w:t>
      </w:r>
      <w:r w:rsidRPr="00486970">
        <w:rPr>
          <w:rFonts w:eastAsia="Times New Roman" w:cstheme="minorHAnsi"/>
          <w:color w:val="4A4A4A"/>
          <w:lang w:eastAsia="en-US"/>
        </w:rPr>
        <w:t>3.b.3</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 a 5-year period of data collection will be used as a reference to identify the available indicators for all the countries in the region. If during the defined 5-year period, one country of the region</w:t>
      </w:r>
      <w:r w:rsidR="005B2719">
        <w:rPr>
          <w:rFonts w:eastAsia="Times New Roman" w:cstheme="minorHAnsi"/>
          <w:color w:val="4A4A4A"/>
          <w:lang w:eastAsia="en-US"/>
        </w:rPr>
        <w:t xml:space="preserve"> </w:t>
      </w:r>
      <w:r w:rsidRPr="00486970">
        <w:rPr>
          <w:rFonts w:eastAsia="Times New Roman" w:cstheme="minorHAnsi"/>
          <w:color w:val="4A4A4A"/>
          <w:lang w:eastAsia="en-US"/>
        </w:rPr>
        <w:t>does not have even one</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w:t>
      </w:r>
      <w:r w:rsidR="005B2719">
        <w:rPr>
          <w:rFonts w:eastAsia="Times New Roman" w:cstheme="minorHAnsi"/>
          <w:color w:val="4A4A4A"/>
          <w:lang w:eastAsia="en-US"/>
        </w:rPr>
        <w:t xml:space="preserve"> </w:t>
      </w:r>
      <w:r w:rsidRPr="00486970">
        <w:rPr>
          <w:rFonts w:eastAsia="Times New Roman" w:cstheme="minorHAnsi"/>
          <w:color w:val="4A4A4A"/>
          <w:lang w:eastAsia="en-US"/>
        </w:rPr>
        <w:t>result,</w:t>
      </w:r>
      <w:r w:rsidR="005B2719">
        <w:rPr>
          <w:rFonts w:eastAsia="Times New Roman" w:cstheme="minorHAnsi"/>
          <w:color w:val="4A4A4A"/>
          <w:lang w:eastAsia="en-US"/>
        </w:rPr>
        <w:t xml:space="preserve"> </w:t>
      </w:r>
      <w:r w:rsidRPr="00486970">
        <w:rPr>
          <w:rFonts w:eastAsia="Times New Roman" w:cstheme="minorHAnsi"/>
          <w:color w:val="4A4A4A"/>
          <w:lang w:eastAsia="en-US"/>
        </w:rPr>
        <w:t>this country will not be included in</w:t>
      </w:r>
      <w:r w:rsidR="005B2719">
        <w:rPr>
          <w:rFonts w:eastAsia="Times New Roman" w:cstheme="minorHAnsi"/>
          <w:color w:val="4A4A4A"/>
          <w:lang w:eastAsia="en-US"/>
        </w:rPr>
        <w:t xml:space="preserve"> </w:t>
      </w:r>
      <w:r w:rsidRPr="00486970">
        <w:rPr>
          <w:rFonts w:eastAsia="Times New Roman" w:cstheme="minorHAnsi"/>
          <w:color w:val="4A4A4A"/>
          <w:lang w:eastAsia="en-US"/>
        </w:rPr>
        <w:t>the regional aggregate. The missing values from the countries can</w:t>
      </w:r>
      <w:r w:rsidR="005B2719">
        <w:rPr>
          <w:rFonts w:eastAsia="Times New Roman" w:cstheme="minorHAnsi"/>
          <w:color w:val="4A4A4A"/>
          <w:lang w:eastAsia="en-US"/>
        </w:rPr>
        <w:t xml:space="preserve"> </w:t>
      </w:r>
      <w:r w:rsidRPr="00486970">
        <w:rPr>
          <w:rFonts w:eastAsia="Times New Roman" w:cstheme="minorHAnsi"/>
          <w:color w:val="4A4A4A"/>
          <w:lang w:eastAsia="en-US"/>
        </w:rPr>
        <w:t>only</w:t>
      </w:r>
      <w:r w:rsidR="005B2719">
        <w:rPr>
          <w:rFonts w:eastAsia="Times New Roman" w:cstheme="minorHAnsi"/>
          <w:color w:val="4A4A4A"/>
          <w:lang w:eastAsia="en-US"/>
        </w:rPr>
        <w:t xml:space="preserve"> </w:t>
      </w:r>
      <w:r w:rsidRPr="00486970">
        <w:rPr>
          <w:rFonts w:eastAsia="Times New Roman" w:cstheme="minorHAnsi"/>
          <w:color w:val="4A4A4A"/>
          <w:lang w:eastAsia="en-US"/>
        </w:rPr>
        <w:t>be imputed when at least one data point exists for the given country in such a 5-year period.</w:t>
      </w:r>
    </w:p>
    <w:p w14:paraId="04748E1F" w14:textId="20A874F3" w:rsidR="00D51E7C" w:rsidRPr="00486970" w:rsidRDefault="00D51E7C" w:rsidP="00D51E7C">
      <w:pPr>
        <w:pStyle w:val="MText"/>
        <w:rPr>
          <w:rFonts w:cstheme="minorHAnsi"/>
        </w:rPr>
      </w:pPr>
    </w:p>
    <w:p w14:paraId="51FCD280" w14:textId="0DAB30E3" w:rsidR="00E1050F" w:rsidRPr="00486970" w:rsidRDefault="00E1050F" w:rsidP="00F719A8">
      <w:pPr>
        <w:pStyle w:val="MHeader2"/>
        <w:rPr>
          <w:rFonts w:cstheme="minorHAnsi"/>
        </w:rPr>
      </w:pPr>
      <w:r w:rsidRPr="00486970">
        <w:rPr>
          <w:rFonts w:cstheme="minorHAnsi"/>
        </w:rPr>
        <w:lastRenderedPageBreak/>
        <w:t>4.g. Regional aggregations</w:t>
      </w:r>
    </w:p>
    <w:p w14:paraId="6B8C2EAD" w14:textId="7C556516"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Regional and global aggregates can be computed using national population size of a country as a proxy for the country weights in the region or globally. This is justified because medicines must be available and affordable for every individual in the population.</w:t>
      </w:r>
    </w:p>
    <w:p w14:paraId="4E5EDA06"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7BE7945C" w14:textId="7313F566"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To compute the regional indicator, the weighted average of the country indicators (using either the actual national indicator when available for the specific year of calculation, or the imputed value that corresponds to the year closest to the year of calculation) is used.</w:t>
      </w:r>
    </w:p>
    <w:p w14:paraId="2EA010B7" w14:textId="77777777" w:rsidR="00EC2915" w:rsidRPr="00486970" w:rsidRDefault="00EC2915" w:rsidP="00576CFA">
      <w:pPr>
        <w:pStyle w:val="MText"/>
        <w:rPr>
          <w:rFonts w:cstheme="minorHAnsi"/>
        </w:rPr>
      </w:pPr>
    </w:p>
    <w:p w14:paraId="71213FF2" w14:textId="52980C15" w:rsidR="00E1050F" w:rsidRPr="00486970" w:rsidRDefault="00576CFA" w:rsidP="00F719A8">
      <w:pPr>
        <w:pStyle w:val="MHeader2"/>
        <w:rPr>
          <w:rFonts w:cstheme="minorHAnsi"/>
        </w:rPr>
      </w:pPr>
      <w:r w:rsidRPr="00486970">
        <w:rPr>
          <w:rFonts w:cstheme="minorHAnsi"/>
        </w:rPr>
        <w:t xml:space="preserve">4.h. Methods and guidance available to countries for the compilation of </w:t>
      </w:r>
      <w:r w:rsidR="00E1050F" w:rsidRPr="00486970">
        <w:rPr>
          <w:rFonts w:cstheme="minorHAnsi"/>
        </w:rPr>
        <w:t>the data at the national level</w:t>
      </w:r>
    </w:p>
    <w:p w14:paraId="230FC3EB" w14:textId="66449142"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The HAI/WHO manual on measuring medicine prices, availability, affordability and price components describes the methodology as well as the guidelines</w:t>
      </w:r>
      <w:r w:rsidR="005B2719">
        <w:rPr>
          <w:rFonts w:eastAsia="Times New Roman" w:cstheme="minorHAnsi"/>
          <w:color w:val="4A4A4A"/>
          <w:lang w:eastAsia="en-US"/>
        </w:rPr>
        <w:t xml:space="preserve"> </w:t>
      </w:r>
      <w:r w:rsidRPr="00486970">
        <w:rPr>
          <w:rFonts w:eastAsia="Times New Roman" w:cstheme="minorHAnsi"/>
          <w:color w:val="4A4A4A"/>
          <w:lang w:eastAsia="en-US"/>
        </w:rPr>
        <w:t>for the</w:t>
      </w:r>
      <w:r w:rsidR="005B2719">
        <w:rPr>
          <w:rFonts w:eastAsia="Times New Roman" w:cstheme="minorHAnsi"/>
          <w:color w:val="4A4A4A"/>
          <w:lang w:eastAsia="en-US"/>
        </w:rPr>
        <w:t xml:space="preserve"> </w:t>
      </w:r>
      <w:r w:rsidRPr="00486970">
        <w:rPr>
          <w:rFonts w:eastAsia="Times New Roman" w:cstheme="minorHAnsi"/>
          <w:color w:val="4A4A4A"/>
          <w:lang w:eastAsia="en-US"/>
        </w:rPr>
        <w:t>data collection</w:t>
      </w:r>
      <w:r w:rsidR="005B2719">
        <w:rPr>
          <w:rFonts w:eastAsia="Times New Roman" w:cstheme="minorHAnsi"/>
          <w:color w:val="4A4A4A"/>
          <w:lang w:eastAsia="en-US"/>
        </w:rPr>
        <w:t xml:space="preserve"> </w:t>
      </w:r>
      <w:r w:rsidRPr="00486970">
        <w:rPr>
          <w:rFonts w:eastAsia="Times New Roman" w:cstheme="minorHAnsi"/>
          <w:color w:val="4A4A4A"/>
          <w:lang w:eastAsia="en-US"/>
        </w:rPr>
        <w:t>procedure</w:t>
      </w:r>
      <w:r w:rsidR="005B2719">
        <w:rPr>
          <w:rFonts w:eastAsia="Times New Roman" w:cstheme="minorHAnsi"/>
          <w:color w:val="4A4A4A"/>
          <w:lang w:eastAsia="en-US"/>
        </w:rPr>
        <w:t xml:space="preserve"> </w:t>
      </w:r>
      <w:r w:rsidRPr="00486970">
        <w:rPr>
          <w:rFonts w:eastAsia="Times New Roman" w:cstheme="minorHAnsi"/>
          <w:color w:val="4A4A4A"/>
          <w:lang w:eastAsia="en-US"/>
        </w:rPr>
        <w:t>and analysis of the availability and affordability of medicines on the facility and national level:</w:t>
      </w:r>
    </w:p>
    <w:p w14:paraId="2EDBD062" w14:textId="6F85742E" w:rsidR="005012B9" w:rsidRPr="00486970" w:rsidRDefault="000B31FA" w:rsidP="005012B9">
      <w:pPr>
        <w:shd w:val="clear" w:color="auto" w:fill="FFFFFF"/>
        <w:spacing w:after="0" w:line="240" w:lineRule="auto"/>
        <w:jc w:val="both"/>
        <w:textAlignment w:val="baseline"/>
        <w:rPr>
          <w:rFonts w:eastAsia="Times New Roman" w:cstheme="minorHAnsi"/>
          <w:sz w:val="18"/>
          <w:szCs w:val="18"/>
          <w:lang w:val="en-US" w:eastAsia="en-US"/>
        </w:rPr>
      </w:pPr>
      <w:hyperlink r:id="rId13" w:tgtFrame="_blank" w:history="1">
        <w:r w:rsidR="005012B9" w:rsidRPr="00486970">
          <w:rPr>
            <w:rFonts w:eastAsia="Times New Roman" w:cstheme="minorHAnsi"/>
            <w:color w:val="0000FF"/>
            <w:u w:val="single"/>
            <w:lang w:eastAsia="en-US"/>
          </w:rPr>
          <w:t>http://www.who.int/medicines/areas/access/medicines_prices08/en/</w:t>
        </w:r>
      </w:hyperlink>
    </w:p>
    <w:p w14:paraId="41D61A6A" w14:textId="04C26C62" w:rsidR="005012B9" w:rsidRPr="00486970" w:rsidRDefault="000B31FA" w:rsidP="005012B9">
      <w:pPr>
        <w:shd w:val="clear" w:color="auto" w:fill="FFFFFF"/>
        <w:spacing w:after="0" w:line="240" w:lineRule="auto"/>
        <w:jc w:val="both"/>
        <w:textAlignment w:val="baseline"/>
        <w:rPr>
          <w:rFonts w:eastAsia="Times New Roman" w:cstheme="minorHAnsi"/>
          <w:sz w:val="18"/>
          <w:szCs w:val="18"/>
          <w:lang w:val="en-US" w:eastAsia="en-US"/>
        </w:rPr>
      </w:pPr>
      <w:hyperlink r:id="rId14" w:tgtFrame="_blank" w:history="1">
        <w:r w:rsidR="005012B9" w:rsidRPr="00486970">
          <w:rPr>
            <w:rFonts w:eastAsia="Times New Roman" w:cstheme="minorHAnsi"/>
            <w:color w:val="0000FF"/>
            <w:u w:val="single"/>
            <w:lang w:eastAsia="en-US"/>
          </w:rPr>
          <w:t>http://www.who.int/healthinfo/systems/SARA_Reference_Manual_Full.pdf</w:t>
        </w:r>
      </w:hyperlink>
    </w:p>
    <w:p w14:paraId="6199542C" w14:textId="0CE0B9E5" w:rsidR="005012B9" w:rsidRPr="00486970" w:rsidRDefault="000B31FA" w:rsidP="005B2719">
      <w:pPr>
        <w:shd w:val="clear" w:color="auto" w:fill="FFFFFF"/>
        <w:spacing w:after="0" w:line="240" w:lineRule="auto"/>
        <w:jc w:val="both"/>
        <w:textAlignment w:val="baseline"/>
        <w:rPr>
          <w:rFonts w:eastAsia="Times New Roman" w:cstheme="minorHAnsi"/>
          <w:sz w:val="18"/>
          <w:szCs w:val="18"/>
          <w:lang w:val="en-US" w:eastAsia="en-US"/>
        </w:rPr>
      </w:pPr>
      <w:hyperlink r:id="rId15" w:tgtFrame="_blank" w:history="1">
        <w:r w:rsidR="005012B9" w:rsidRPr="00486970">
          <w:rPr>
            <w:rFonts w:eastAsia="Times New Roman" w:cstheme="minorHAnsi"/>
            <w:color w:val="0000FF"/>
            <w:u w:val="single"/>
            <w:lang w:eastAsia="en-US"/>
          </w:rPr>
          <w:t>http://www.who.int/medicines/areas/policy/monitoring/empmedmon</w:t>
        </w:r>
      </w:hyperlink>
    </w:p>
    <w:p w14:paraId="2939895F" w14:textId="77777777" w:rsidR="00EC2915" w:rsidRPr="00486970" w:rsidRDefault="00EC2915" w:rsidP="00576CFA">
      <w:pPr>
        <w:pStyle w:val="MText"/>
        <w:rPr>
          <w:rFonts w:cstheme="minorHAnsi"/>
        </w:rPr>
      </w:pPr>
    </w:p>
    <w:p w14:paraId="494C36E8" w14:textId="22C3CD05" w:rsidR="00E1050F" w:rsidRPr="00486970" w:rsidRDefault="00576CFA" w:rsidP="00F719A8">
      <w:pPr>
        <w:pStyle w:val="MHeader2"/>
        <w:rPr>
          <w:rFonts w:cstheme="minorHAnsi"/>
        </w:rPr>
      </w:pPr>
      <w:r w:rsidRPr="00486970">
        <w:rPr>
          <w:rFonts w:cstheme="minorHAnsi"/>
        </w:rPr>
        <w:t xml:space="preserve">4.i. </w:t>
      </w:r>
      <w:r w:rsidR="00E1050F" w:rsidRPr="00486970">
        <w:rPr>
          <w:rFonts w:cstheme="minorHAnsi"/>
        </w:rPr>
        <w:t>Quality management</w:t>
      </w:r>
    </w:p>
    <w:p w14:paraId="5484B16D" w14:textId="16C87B23" w:rsidR="00EC2915" w:rsidRDefault="00EC2915" w:rsidP="00576CFA">
      <w:pPr>
        <w:pStyle w:val="MText"/>
        <w:rPr>
          <w:rFonts w:cstheme="minorHAnsi"/>
        </w:rPr>
      </w:pPr>
    </w:p>
    <w:p w14:paraId="17B979CA" w14:textId="449C0153" w:rsidR="00E1050F" w:rsidRPr="00486970" w:rsidRDefault="00E1050F" w:rsidP="00F719A8">
      <w:pPr>
        <w:pStyle w:val="MHeader2"/>
        <w:rPr>
          <w:rFonts w:cstheme="minorHAnsi"/>
        </w:rPr>
      </w:pPr>
      <w:r w:rsidRPr="00486970">
        <w:rPr>
          <w:rFonts w:cstheme="minorHAnsi"/>
        </w:rPr>
        <w:t>4.j Quality assurance</w:t>
      </w:r>
    </w:p>
    <w:p w14:paraId="07A2DB05" w14:textId="13D25774"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Quality control can be performed based on the median availability and median consumer price ratio of selected generic medicines listed on the Global Health Observatory</w:t>
      </w:r>
      <w:r w:rsidR="005B2719">
        <w:rPr>
          <w:rFonts w:eastAsia="Times New Roman" w:cstheme="minorHAnsi"/>
          <w:color w:val="4A4A4A"/>
          <w:lang w:eastAsia="en-US"/>
        </w:rPr>
        <w:t xml:space="preserve"> </w:t>
      </w:r>
      <w:r w:rsidRPr="00486970">
        <w:rPr>
          <w:rFonts w:eastAsia="Times New Roman" w:cstheme="minorHAnsi"/>
          <w:color w:val="4A4A4A"/>
          <w:lang w:eastAsia="en-US"/>
        </w:rPr>
        <w:t>(GHO). The quality of the key components of this indicator (i.e.</w:t>
      </w:r>
      <w:r w:rsidR="005B2719">
        <w:rPr>
          <w:rFonts w:eastAsia="Times New Roman" w:cstheme="minorHAnsi"/>
          <w:color w:val="4A4A4A"/>
          <w:lang w:eastAsia="en-US"/>
        </w:rPr>
        <w:t xml:space="preserve"> </w:t>
      </w:r>
      <w:r w:rsidRPr="00486970">
        <w:rPr>
          <w:rFonts w:eastAsia="Times New Roman" w:cstheme="minorHAnsi"/>
          <w:color w:val="4A4A4A"/>
          <w:lang w:eastAsia="en-US"/>
        </w:rPr>
        <w:t>availability, prices, etc.) can be assured for data collected using any of the three mechanisms listed above when cross-referenced with the GHO values.</w:t>
      </w:r>
    </w:p>
    <w:p w14:paraId="4BF5DA74"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0DB91361" w14:textId="30EA6B0E"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For future data collection, quality will be based on the analysis of the sample size and the number of medicines captured in the basket.</w:t>
      </w:r>
    </w:p>
    <w:p w14:paraId="2EC97D8F"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10292B6F" w14:textId="7A9C1D17" w:rsidR="005012B9" w:rsidRPr="00486970" w:rsidRDefault="005012B9" w:rsidP="005012B9">
      <w:pPr>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will collect and share data with the WHO Secretariat. WHO will subsequently compute the indicator and return to the</w:t>
      </w:r>
      <w:r w:rsidR="005B2719">
        <w:rPr>
          <w:rFonts w:eastAsia="Times New Roman" w:cstheme="minorHAnsi"/>
          <w:color w:val="4A4A4A"/>
          <w:lang w:eastAsia="en-US"/>
        </w:rPr>
        <w:t xml:space="preserve"> </w:t>
      </w: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for</w:t>
      </w:r>
      <w:r w:rsidR="005B2719">
        <w:rPr>
          <w:rFonts w:eastAsia="Times New Roman" w:cstheme="minorHAnsi"/>
          <w:color w:val="4A4A4A"/>
          <w:lang w:eastAsia="en-US"/>
        </w:rPr>
        <w:t xml:space="preserve"> </w:t>
      </w:r>
      <w:r w:rsidRPr="00486970">
        <w:rPr>
          <w:rFonts w:eastAsia="Times New Roman" w:cstheme="minorHAnsi"/>
          <w:color w:val="4A4A4A"/>
          <w:lang w:eastAsia="en-US"/>
        </w:rPr>
        <w:t>validation.</w:t>
      </w:r>
      <w:r w:rsidR="005B2719">
        <w:rPr>
          <w:rFonts w:eastAsia="Times New Roman" w:cstheme="minorHAnsi"/>
          <w:color w:val="4A4A4A"/>
          <w:lang w:eastAsia="en-US"/>
        </w:rPr>
        <w:t xml:space="preserve"> </w:t>
      </w:r>
      <w:r w:rsidRPr="00486970">
        <w:rPr>
          <w:rFonts w:eastAsia="Times New Roman" w:cstheme="minorHAnsi"/>
          <w:color w:val="4A4A4A"/>
          <w:lang w:eastAsia="en-US"/>
        </w:rPr>
        <w:t>By request, WHO will also provide all background materials and training for data collection and indicator computation.</w:t>
      </w:r>
    </w:p>
    <w:p w14:paraId="03EF3244" w14:textId="77777777" w:rsidR="00EC2915" w:rsidRPr="00486970" w:rsidRDefault="00EC2915" w:rsidP="00576CFA">
      <w:pPr>
        <w:pStyle w:val="MText"/>
        <w:rPr>
          <w:rFonts w:cstheme="minorHAnsi"/>
        </w:rPr>
      </w:pPr>
    </w:p>
    <w:p w14:paraId="34ADD322" w14:textId="1A21C057" w:rsidR="00E1050F" w:rsidRPr="00486970" w:rsidRDefault="00576CFA" w:rsidP="00F719A8">
      <w:pPr>
        <w:pStyle w:val="MHeader2"/>
        <w:rPr>
          <w:rFonts w:cstheme="minorHAnsi"/>
        </w:rPr>
      </w:pPr>
      <w:r w:rsidRPr="00486970">
        <w:rPr>
          <w:rFonts w:cstheme="minorHAnsi"/>
        </w:rPr>
        <w:t>4.k Qua</w:t>
      </w:r>
      <w:r w:rsidR="00E1050F" w:rsidRPr="00486970">
        <w:rPr>
          <w:rFonts w:cstheme="minorHAnsi"/>
        </w:rPr>
        <w:t>lity assessment</w:t>
      </w:r>
    </w:p>
    <w:p w14:paraId="326EB0AB" w14:textId="77777777" w:rsidR="00576CFA" w:rsidRPr="00486970" w:rsidRDefault="00576CFA" w:rsidP="00576CFA">
      <w:pPr>
        <w:pStyle w:val="MText"/>
        <w:rPr>
          <w:rFonts w:cstheme="minorHAnsi"/>
        </w:rPr>
      </w:pPr>
    </w:p>
    <w:p w14:paraId="5B7C52CE" w14:textId="77777777" w:rsidR="00576CFA" w:rsidRPr="00486970" w:rsidRDefault="00576CFA" w:rsidP="00576CFA">
      <w:pPr>
        <w:pStyle w:val="MText"/>
        <w:rPr>
          <w:rFonts w:cstheme="minorHAnsi"/>
        </w:rPr>
      </w:pPr>
    </w:p>
    <w:p w14:paraId="17787B3C" w14:textId="03FE81A9" w:rsidR="00E1050F" w:rsidRPr="00486970" w:rsidRDefault="00576CFA" w:rsidP="000412A0">
      <w:pPr>
        <w:pStyle w:val="MHeader"/>
        <w:spacing w:after="100"/>
        <w:rPr>
          <w:rFonts w:cstheme="minorHAnsi"/>
        </w:rPr>
      </w:pPr>
      <w:r w:rsidRPr="00486970">
        <w:rPr>
          <w:rFonts w:cstheme="minorHAnsi"/>
        </w:rPr>
        <w:t>5. Data availability and disaggregation</w:t>
      </w:r>
    </w:p>
    <w:p w14:paraId="464A8CCF" w14:textId="67858A1B" w:rsidR="00576CFA" w:rsidRPr="00E31F2F" w:rsidRDefault="00D51E7C" w:rsidP="00576CFA">
      <w:pPr>
        <w:pStyle w:val="MText"/>
        <w:rPr>
          <w:rFonts w:cstheme="minorHAnsi"/>
          <w:b/>
          <w:bCs/>
        </w:rPr>
      </w:pPr>
      <w:r w:rsidRPr="00E31F2F">
        <w:rPr>
          <w:rFonts w:cstheme="minorHAnsi"/>
          <w:b/>
          <w:bCs/>
        </w:rPr>
        <w:t>Data availability:</w:t>
      </w:r>
    </w:p>
    <w:p w14:paraId="3986C3B8"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E31F2F">
        <w:rPr>
          <w:rFonts w:eastAsia="Times New Roman" w:cstheme="minorHAnsi"/>
          <w:color w:val="4A4A4A"/>
          <w:lang w:eastAsia="en-GB"/>
        </w:rPr>
        <w:t>SARA</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21 national surveys are currently available from 2010 to 2017 for a total of 13 countries. Two- and three-year trends are available for six countries; the other seven countries only have one data point. 67% of the SDG basket of relevant essential medicines is covered by such surveys. These data will be used to test quality on the availability dimension only.</w:t>
      </w:r>
    </w:p>
    <w:p w14:paraId="020F3F44"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E31F2F">
        <w:rPr>
          <w:rFonts w:eastAsia="Times New Roman" w:cstheme="minorHAnsi"/>
          <w:color w:val="4A4A4A"/>
          <w:lang w:eastAsia="en-GB"/>
        </w:rPr>
        <w:t>HAI/WHO:</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 xml:space="preserve">Historical data points are available for 55 countries (28%) of all WHO Member States. The highest number of countries captured by the surveys is in the SEARO region (59%) and the smallest is </w:t>
      </w:r>
      <w:r w:rsidRPr="00486970">
        <w:rPr>
          <w:rFonts w:eastAsia="Times New Roman" w:cstheme="minorHAnsi"/>
          <w:color w:val="4A4A4A"/>
          <w:lang w:eastAsia="en-GB"/>
        </w:rPr>
        <w:lastRenderedPageBreak/>
        <w:t>in EURO region (15%). More than 60% of the medicines from the defined SDG indicator basket are captured in the HAI/WHO historical data surveys.</w:t>
      </w:r>
    </w:p>
    <w:p w14:paraId="1DFAC9E1"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p>
    <w:p w14:paraId="391F7CBB"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b/>
          <w:bCs/>
          <w:color w:val="4A4A4A"/>
          <w:lang w:eastAsia="en-GB"/>
        </w:rPr>
        <w:t xml:space="preserve">Table 1. </w:t>
      </w:r>
      <w:r w:rsidRPr="00486970">
        <w:rPr>
          <w:rFonts w:eastAsia="Times New Roman" w:cstheme="minorHAnsi"/>
          <w:color w:val="4A4A4A"/>
          <w:lang w:eastAsia="en-GB"/>
        </w:rPr>
        <w:t>Number of countries captured by the surveys across regions</w:t>
      </w:r>
    </w:p>
    <w:tbl>
      <w:tblPr>
        <w:tblW w:w="6376" w:type="dxa"/>
        <w:jc w:val="center"/>
        <w:tblLook w:val="04A0" w:firstRow="1" w:lastRow="0" w:firstColumn="1" w:lastColumn="0" w:noHBand="0" w:noVBand="1"/>
      </w:tblPr>
      <w:tblGrid>
        <w:gridCol w:w="2514"/>
        <w:gridCol w:w="1023"/>
        <w:gridCol w:w="1022"/>
        <w:gridCol w:w="1023"/>
        <w:gridCol w:w="794"/>
      </w:tblGrid>
      <w:tr w:rsidR="005012B9" w:rsidRPr="00486970" w14:paraId="08D323A3" w14:textId="77777777" w:rsidTr="004D1906">
        <w:trPr>
          <w:trHeight w:val="198"/>
          <w:jc w:val="center"/>
        </w:trPr>
        <w:tc>
          <w:tcPr>
            <w:tcW w:w="2514" w:type="dxa"/>
            <w:tcBorders>
              <w:top w:val="single" w:sz="8" w:space="0" w:color="808080"/>
              <w:left w:val="single" w:sz="4" w:space="0" w:color="FFFFFF"/>
              <w:bottom w:val="single" w:sz="4" w:space="0" w:color="808080"/>
              <w:right w:val="single" w:sz="4" w:space="0" w:color="FFFFFF"/>
            </w:tcBorders>
            <w:shd w:val="clear" w:color="auto" w:fill="auto"/>
            <w:noWrap/>
            <w:vAlign w:val="bottom"/>
            <w:hideMark/>
          </w:tcPr>
          <w:p w14:paraId="0800E110" w14:textId="77777777" w:rsidR="005012B9" w:rsidRPr="00486970" w:rsidRDefault="005012B9" w:rsidP="005012B9">
            <w:pPr>
              <w:shd w:val="clear" w:color="auto" w:fill="FFFFFF" w:themeFill="background1"/>
              <w:spacing w:after="120" w:line="240" w:lineRule="auto"/>
              <w:rPr>
                <w:rFonts w:cstheme="minorHAnsi"/>
                <w:b/>
                <w:bCs/>
                <w:noProof/>
                <w:color w:val="4A4A4A"/>
                <w:sz w:val="18"/>
                <w:u w:val="single"/>
                <w:lang w:val="en-US"/>
              </w:rPr>
            </w:pPr>
            <w:r w:rsidRPr="00486970">
              <w:rPr>
                <w:rFonts w:cstheme="minorHAnsi"/>
                <w:b/>
                <w:bCs/>
                <w:noProof/>
                <w:color w:val="4A4A4A"/>
                <w:sz w:val="18"/>
                <w:u w:val="single"/>
                <w:lang w:val="en-US"/>
              </w:rPr>
              <w:t>WHO Region</w:t>
            </w:r>
          </w:p>
        </w:tc>
        <w:tc>
          <w:tcPr>
            <w:tcW w:w="1023" w:type="dxa"/>
            <w:tcBorders>
              <w:top w:val="single" w:sz="8" w:space="0" w:color="808080"/>
              <w:left w:val="nil"/>
              <w:bottom w:val="single" w:sz="4" w:space="0" w:color="808080"/>
              <w:right w:val="single" w:sz="4" w:space="0" w:color="FFFFFF"/>
            </w:tcBorders>
            <w:shd w:val="clear" w:color="auto" w:fill="auto"/>
            <w:vAlign w:val="center"/>
            <w:hideMark/>
          </w:tcPr>
          <w:p w14:paraId="24C6CF19"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2001-2005</w:t>
            </w:r>
          </w:p>
        </w:tc>
        <w:tc>
          <w:tcPr>
            <w:tcW w:w="1022" w:type="dxa"/>
            <w:tcBorders>
              <w:top w:val="single" w:sz="8" w:space="0" w:color="808080"/>
              <w:left w:val="nil"/>
              <w:bottom w:val="single" w:sz="4" w:space="0" w:color="808080"/>
              <w:right w:val="single" w:sz="4" w:space="0" w:color="FFFFFF"/>
            </w:tcBorders>
            <w:shd w:val="clear" w:color="auto" w:fill="auto"/>
            <w:vAlign w:val="center"/>
            <w:hideMark/>
          </w:tcPr>
          <w:p w14:paraId="7A03B2F7"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2005-2010</w:t>
            </w:r>
          </w:p>
        </w:tc>
        <w:tc>
          <w:tcPr>
            <w:tcW w:w="1023" w:type="dxa"/>
            <w:tcBorders>
              <w:top w:val="single" w:sz="8" w:space="0" w:color="808080"/>
              <w:left w:val="nil"/>
              <w:bottom w:val="single" w:sz="4" w:space="0" w:color="808080"/>
              <w:right w:val="single" w:sz="4" w:space="0" w:color="FFFFFF"/>
            </w:tcBorders>
            <w:shd w:val="clear" w:color="auto" w:fill="auto"/>
            <w:vAlign w:val="center"/>
            <w:hideMark/>
          </w:tcPr>
          <w:p w14:paraId="7AF5B978"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2010-2015</w:t>
            </w:r>
          </w:p>
        </w:tc>
        <w:tc>
          <w:tcPr>
            <w:tcW w:w="794" w:type="dxa"/>
            <w:tcBorders>
              <w:top w:val="single" w:sz="8" w:space="0" w:color="808080"/>
              <w:left w:val="nil"/>
              <w:bottom w:val="single" w:sz="4" w:space="0" w:color="808080"/>
              <w:right w:val="single" w:sz="4" w:space="0" w:color="FFFFFF"/>
            </w:tcBorders>
            <w:shd w:val="clear" w:color="auto" w:fill="auto"/>
            <w:vAlign w:val="center"/>
            <w:hideMark/>
          </w:tcPr>
          <w:p w14:paraId="3FD927A8"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Total</w:t>
            </w:r>
          </w:p>
        </w:tc>
      </w:tr>
      <w:tr w:rsidR="005012B9" w:rsidRPr="00486970" w14:paraId="646C79AD"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270AE242"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African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6796C0BC"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14</w:t>
            </w:r>
          </w:p>
        </w:tc>
        <w:tc>
          <w:tcPr>
            <w:tcW w:w="1022" w:type="dxa"/>
            <w:tcBorders>
              <w:top w:val="nil"/>
              <w:left w:val="nil"/>
              <w:bottom w:val="single" w:sz="4" w:space="0" w:color="FFFFFF"/>
              <w:right w:val="single" w:sz="4" w:space="0" w:color="FFFFFF"/>
            </w:tcBorders>
            <w:shd w:val="clear" w:color="auto" w:fill="auto"/>
            <w:noWrap/>
            <w:vAlign w:val="bottom"/>
            <w:hideMark/>
          </w:tcPr>
          <w:p w14:paraId="1D6CE66F"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3" w:type="dxa"/>
            <w:tcBorders>
              <w:top w:val="nil"/>
              <w:left w:val="nil"/>
              <w:bottom w:val="single" w:sz="4" w:space="0" w:color="FFFFFF"/>
              <w:right w:val="single" w:sz="4" w:space="0" w:color="FFFFFF"/>
            </w:tcBorders>
            <w:shd w:val="clear" w:color="auto" w:fill="auto"/>
            <w:noWrap/>
            <w:vAlign w:val="bottom"/>
            <w:hideMark/>
          </w:tcPr>
          <w:p w14:paraId="75D0E6A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794" w:type="dxa"/>
            <w:tcBorders>
              <w:top w:val="nil"/>
              <w:left w:val="nil"/>
              <w:bottom w:val="single" w:sz="4" w:space="0" w:color="FFFFFF"/>
              <w:right w:val="single" w:sz="4" w:space="0" w:color="FFFFFF"/>
            </w:tcBorders>
            <w:shd w:val="clear" w:color="auto" w:fill="auto"/>
            <w:noWrap/>
            <w:vAlign w:val="bottom"/>
            <w:hideMark/>
          </w:tcPr>
          <w:p w14:paraId="6A2D3C3A"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21</w:t>
            </w:r>
          </w:p>
        </w:tc>
      </w:tr>
      <w:tr w:rsidR="005012B9" w:rsidRPr="00486970" w14:paraId="69B0FC89"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3084BE4F"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Region of the Americas</w:t>
            </w:r>
          </w:p>
        </w:tc>
        <w:tc>
          <w:tcPr>
            <w:tcW w:w="1023" w:type="dxa"/>
            <w:tcBorders>
              <w:top w:val="nil"/>
              <w:left w:val="nil"/>
              <w:bottom w:val="single" w:sz="4" w:space="0" w:color="FFFFFF"/>
              <w:right w:val="single" w:sz="4" w:space="0" w:color="FFFFFF"/>
            </w:tcBorders>
            <w:shd w:val="clear" w:color="auto" w:fill="auto"/>
            <w:noWrap/>
            <w:vAlign w:val="bottom"/>
            <w:hideMark/>
          </w:tcPr>
          <w:p w14:paraId="6F85BC1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1022" w:type="dxa"/>
            <w:tcBorders>
              <w:top w:val="nil"/>
              <w:left w:val="nil"/>
              <w:bottom w:val="single" w:sz="4" w:space="0" w:color="FFFFFF"/>
              <w:right w:val="single" w:sz="4" w:space="0" w:color="FFFFFF"/>
            </w:tcBorders>
            <w:shd w:val="clear" w:color="auto" w:fill="auto"/>
            <w:noWrap/>
            <w:vAlign w:val="bottom"/>
            <w:hideMark/>
          </w:tcPr>
          <w:p w14:paraId="788D543B"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7</w:t>
            </w:r>
          </w:p>
        </w:tc>
        <w:tc>
          <w:tcPr>
            <w:tcW w:w="1023" w:type="dxa"/>
            <w:tcBorders>
              <w:top w:val="nil"/>
              <w:left w:val="nil"/>
              <w:bottom w:val="single" w:sz="4" w:space="0" w:color="FFFFFF"/>
              <w:right w:val="single" w:sz="4" w:space="0" w:color="FFFFFF"/>
            </w:tcBorders>
            <w:shd w:val="clear" w:color="auto" w:fill="auto"/>
            <w:noWrap/>
            <w:vAlign w:val="bottom"/>
            <w:hideMark/>
          </w:tcPr>
          <w:p w14:paraId="60E55D22"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w:t>
            </w:r>
          </w:p>
        </w:tc>
        <w:tc>
          <w:tcPr>
            <w:tcW w:w="794" w:type="dxa"/>
            <w:tcBorders>
              <w:top w:val="nil"/>
              <w:left w:val="nil"/>
              <w:bottom w:val="single" w:sz="4" w:space="0" w:color="FFFFFF"/>
              <w:right w:val="single" w:sz="4" w:space="0" w:color="FFFFFF"/>
            </w:tcBorders>
            <w:shd w:val="clear" w:color="auto" w:fill="auto"/>
            <w:noWrap/>
            <w:vAlign w:val="bottom"/>
            <w:hideMark/>
          </w:tcPr>
          <w:p w14:paraId="5A32CB60"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11</w:t>
            </w:r>
          </w:p>
        </w:tc>
      </w:tr>
      <w:tr w:rsidR="005012B9" w:rsidRPr="00486970" w14:paraId="2E978ED1"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45D50BBB"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Eastern Mediterranean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192FD75B"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8</w:t>
            </w:r>
          </w:p>
        </w:tc>
        <w:tc>
          <w:tcPr>
            <w:tcW w:w="1022" w:type="dxa"/>
            <w:tcBorders>
              <w:top w:val="nil"/>
              <w:left w:val="nil"/>
              <w:bottom w:val="single" w:sz="4" w:space="0" w:color="FFFFFF"/>
              <w:right w:val="single" w:sz="4" w:space="0" w:color="FFFFFF"/>
            </w:tcBorders>
            <w:shd w:val="clear" w:color="auto" w:fill="auto"/>
            <w:noWrap/>
            <w:vAlign w:val="bottom"/>
            <w:hideMark/>
          </w:tcPr>
          <w:p w14:paraId="5B659067"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3" w:type="dxa"/>
            <w:tcBorders>
              <w:top w:val="nil"/>
              <w:left w:val="nil"/>
              <w:bottom w:val="single" w:sz="4" w:space="0" w:color="FFFFFF"/>
              <w:right w:val="single" w:sz="4" w:space="0" w:color="FFFFFF"/>
            </w:tcBorders>
            <w:shd w:val="clear" w:color="auto" w:fill="auto"/>
            <w:noWrap/>
            <w:vAlign w:val="bottom"/>
            <w:hideMark/>
          </w:tcPr>
          <w:p w14:paraId="6261B128"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794" w:type="dxa"/>
            <w:tcBorders>
              <w:top w:val="nil"/>
              <w:left w:val="nil"/>
              <w:bottom w:val="single" w:sz="4" w:space="0" w:color="FFFFFF"/>
              <w:right w:val="single" w:sz="4" w:space="0" w:color="FFFFFF"/>
            </w:tcBorders>
            <w:shd w:val="clear" w:color="auto" w:fill="auto"/>
            <w:noWrap/>
            <w:vAlign w:val="bottom"/>
            <w:hideMark/>
          </w:tcPr>
          <w:p w14:paraId="58D6416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16</w:t>
            </w:r>
          </w:p>
        </w:tc>
      </w:tr>
      <w:tr w:rsidR="005012B9" w:rsidRPr="00486970" w14:paraId="36B69A55"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074EBA93"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European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72585A4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2" w:type="dxa"/>
            <w:tcBorders>
              <w:top w:val="nil"/>
              <w:left w:val="nil"/>
              <w:bottom w:val="single" w:sz="4" w:space="0" w:color="FFFFFF"/>
              <w:right w:val="single" w:sz="4" w:space="0" w:color="FFFFFF"/>
            </w:tcBorders>
            <w:shd w:val="clear" w:color="auto" w:fill="auto"/>
            <w:noWrap/>
            <w:vAlign w:val="bottom"/>
            <w:hideMark/>
          </w:tcPr>
          <w:p w14:paraId="428CAE43"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single" w:sz="4" w:space="0" w:color="FFFFFF"/>
              <w:right w:val="single" w:sz="4" w:space="0" w:color="FFFFFF"/>
            </w:tcBorders>
            <w:shd w:val="clear" w:color="auto" w:fill="auto"/>
            <w:noWrap/>
            <w:vAlign w:val="bottom"/>
            <w:hideMark/>
          </w:tcPr>
          <w:p w14:paraId="2A06110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794" w:type="dxa"/>
            <w:tcBorders>
              <w:top w:val="nil"/>
              <w:left w:val="nil"/>
              <w:bottom w:val="single" w:sz="4" w:space="0" w:color="FFFFFF"/>
              <w:right w:val="single" w:sz="4" w:space="0" w:color="FFFFFF"/>
            </w:tcBorders>
            <w:shd w:val="clear" w:color="auto" w:fill="auto"/>
            <w:noWrap/>
            <w:vAlign w:val="bottom"/>
            <w:hideMark/>
          </w:tcPr>
          <w:p w14:paraId="45C87829"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10</w:t>
            </w:r>
          </w:p>
        </w:tc>
      </w:tr>
      <w:tr w:rsidR="005012B9" w:rsidRPr="00486970" w14:paraId="11B08806"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164B75C4"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South-East Asia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67F18D3C"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2" w:type="dxa"/>
            <w:tcBorders>
              <w:top w:val="nil"/>
              <w:left w:val="nil"/>
              <w:bottom w:val="single" w:sz="4" w:space="0" w:color="FFFFFF"/>
              <w:right w:val="single" w:sz="4" w:space="0" w:color="FFFFFF"/>
            </w:tcBorders>
            <w:shd w:val="clear" w:color="auto" w:fill="auto"/>
            <w:noWrap/>
            <w:vAlign w:val="bottom"/>
            <w:hideMark/>
          </w:tcPr>
          <w:p w14:paraId="38C41701"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single" w:sz="4" w:space="0" w:color="FFFFFF"/>
              <w:right w:val="single" w:sz="4" w:space="0" w:color="FFFFFF"/>
            </w:tcBorders>
            <w:shd w:val="clear" w:color="auto" w:fill="auto"/>
            <w:noWrap/>
            <w:vAlign w:val="bottom"/>
            <w:hideMark/>
          </w:tcPr>
          <w:p w14:paraId="55B363E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w:t>
            </w:r>
          </w:p>
        </w:tc>
        <w:tc>
          <w:tcPr>
            <w:tcW w:w="794" w:type="dxa"/>
            <w:tcBorders>
              <w:top w:val="nil"/>
              <w:left w:val="nil"/>
              <w:bottom w:val="single" w:sz="4" w:space="0" w:color="FFFFFF"/>
              <w:right w:val="single" w:sz="4" w:space="0" w:color="FFFFFF"/>
            </w:tcBorders>
            <w:shd w:val="clear" w:color="auto" w:fill="auto"/>
            <w:noWrap/>
            <w:vAlign w:val="bottom"/>
            <w:hideMark/>
          </w:tcPr>
          <w:p w14:paraId="5E0C1C8F"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8</w:t>
            </w:r>
          </w:p>
        </w:tc>
      </w:tr>
      <w:tr w:rsidR="005012B9" w:rsidRPr="00486970" w14:paraId="33FA008C" w14:textId="77777777" w:rsidTr="004D1906">
        <w:trPr>
          <w:trHeight w:val="198"/>
          <w:jc w:val="center"/>
        </w:trPr>
        <w:tc>
          <w:tcPr>
            <w:tcW w:w="2514" w:type="dxa"/>
            <w:tcBorders>
              <w:top w:val="nil"/>
              <w:left w:val="single" w:sz="4" w:space="0" w:color="FFFFFF"/>
              <w:bottom w:val="nil"/>
              <w:right w:val="single" w:sz="4" w:space="0" w:color="FFFFFF"/>
            </w:tcBorders>
            <w:shd w:val="clear" w:color="auto" w:fill="auto"/>
            <w:noWrap/>
            <w:vAlign w:val="bottom"/>
            <w:hideMark/>
          </w:tcPr>
          <w:p w14:paraId="3C5EFB23"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Western Pacific Region</w:t>
            </w:r>
          </w:p>
        </w:tc>
        <w:tc>
          <w:tcPr>
            <w:tcW w:w="1023" w:type="dxa"/>
            <w:tcBorders>
              <w:top w:val="nil"/>
              <w:left w:val="nil"/>
              <w:bottom w:val="nil"/>
              <w:right w:val="single" w:sz="4" w:space="0" w:color="FFFFFF"/>
            </w:tcBorders>
            <w:shd w:val="clear" w:color="auto" w:fill="auto"/>
            <w:noWrap/>
            <w:vAlign w:val="bottom"/>
            <w:hideMark/>
          </w:tcPr>
          <w:p w14:paraId="22D546F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6</w:t>
            </w:r>
          </w:p>
        </w:tc>
        <w:tc>
          <w:tcPr>
            <w:tcW w:w="1022" w:type="dxa"/>
            <w:tcBorders>
              <w:top w:val="nil"/>
              <w:left w:val="nil"/>
              <w:bottom w:val="nil"/>
              <w:right w:val="single" w:sz="4" w:space="0" w:color="FFFFFF"/>
            </w:tcBorders>
            <w:shd w:val="clear" w:color="auto" w:fill="auto"/>
            <w:noWrap/>
            <w:vAlign w:val="bottom"/>
            <w:hideMark/>
          </w:tcPr>
          <w:p w14:paraId="6B0FE54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nil"/>
              <w:right w:val="single" w:sz="4" w:space="0" w:color="FFFFFF"/>
            </w:tcBorders>
            <w:shd w:val="clear" w:color="auto" w:fill="auto"/>
            <w:noWrap/>
            <w:vAlign w:val="bottom"/>
            <w:hideMark/>
          </w:tcPr>
          <w:p w14:paraId="5BDC423D"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794" w:type="dxa"/>
            <w:tcBorders>
              <w:top w:val="nil"/>
              <w:left w:val="nil"/>
              <w:bottom w:val="nil"/>
              <w:right w:val="single" w:sz="4" w:space="0" w:color="FFFFFF"/>
            </w:tcBorders>
            <w:shd w:val="clear" w:color="auto" w:fill="auto"/>
            <w:noWrap/>
            <w:vAlign w:val="bottom"/>
            <w:hideMark/>
          </w:tcPr>
          <w:p w14:paraId="2BE60FD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10</w:t>
            </w:r>
          </w:p>
        </w:tc>
      </w:tr>
      <w:tr w:rsidR="005012B9" w:rsidRPr="00486970" w14:paraId="28CE52F4" w14:textId="77777777" w:rsidTr="004D1906">
        <w:trPr>
          <w:trHeight w:val="38"/>
          <w:jc w:val="center"/>
        </w:trPr>
        <w:tc>
          <w:tcPr>
            <w:tcW w:w="2514" w:type="dxa"/>
            <w:tcBorders>
              <w:top w:val="single" w:sz="4" w:space="0" w:color="808080"/>
              <w:left w:val="single" w:sz="4" w:space="0" w:color="FFFFFF"/>
              <w:bottom w:val="single" w:sz="8" w:space="0" w:color="808080"/>
              <w:right w:val="single" w:sz="4" w:space="0" w:color="FFFFFF"/>
            </w:tcBorders>
            <w:shd w:val="clear" w:color="auto" w:fill="auto"/>
            <w:noWrap/>
            <w:vAlign w:val="bottom"/>
            <w:hideMark/>
          </w:tcPr>
          <w:p w14:paraId="18F3CE1B" w14:textId="77777777" w:rsidR="005012B9" w:rsidRPr="00486970" w:rsidRDefault="005012B9" w:rsidP="005012B9">
            <w:pPr>
              <w:shd w:val="clear" w:color="auto" w:fill="FFFFFF" w:themeFill="background1"/>
              <w:spacing w:after="120" w:line="240" w:lineRule="auto"/>
              <w:rPr>
                <w:rFonts w:cstheme="minorHAnsi"/>
                <w:b/>
                <w:bCs/>
                <w:noProof/>
                <w:color w:val="4A4A4A"/>
                <w:sz w:val="18"/>
                <w:lang w:val="en-US"/>
              </w:rPr>
            </w:pPr>
            <w:r w:rsidRPr="00486970">
              <w:rPr>
                <w:rFonts w:cstheme="minorHAnsi"/>
                <w:b/>
                <w:bCs/>
                <w:noProof/>
                <w:color w:val="4A4A4A"/>
                <w:sz w:val="18"/>
                <w:lang w:val="en-US"/>
              </w:rPr>
              <w:t>Total</w:t>
            </w:r>
          </w:p>
        </w:tc>
        <w:tc>
          <w:tcPr>
            <w:tcW w:w="1023" w:type="dxa"/>
            <w:tcBorders>
              <w:top w:val="single" w:sz="4" w:space="0" w:color="808080"/>
              <w:left w:val="nil"/>
              <w:bottom w:val="single" w:sz="8" w:space="0" w:color="808080"/>
              <w:right w:val="single" w:sz="4" w:space="0" w:color="FFFFFF"/>
            </w:tcBorders>
            <w:shd w:val="clear" w:color="auto" w:fill="auto"/>
            <w:noWrap/>
            <w:vAlign w:val="bottom"/>
            <w:hideMark/>
          </w:tcPr>
          <w:p w14:paraId="5C36B41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41</w:t>
            </w:r>
          </w:p>
        </w:tc>
        <w:tc>
          <w:tcPr>
            <w:tcW w:w="1022" w:type="dxa"/>
            <w:tcBorders>
              <w:top w:val="single" w:sz="4" w:space="0" w:color="808080"/>
              <w:left w:val="nil"/>
              <w:bottom w:val="single" w:sz="8" w:space="0" w:color="808080"/>
              <w:right w:val="single" w:sz="4" w:space="0" w:color="FFFFFF"/>
            </w:tcBorders>
            <w:shd w:val="clear" w:color="auto" w:fill="auto"/>
            <w:noWrap/>
            <w:vAlign w:val="bottom"/>
            <w:hideMark/>
          </w:tcPr>
          <w:p w14:paraId="39A74E0A"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23</w:t>
            </w:r>
          </w:p>
        </w:tc>
        <w:tc>
          <w:tcPr>
            <w:tcW w:w="1023" w:type="dxa"/>
            <w:tcBorders>
              <w:top w:val="single" w:sz="4" w:space="0" w:color="808080"/>
              <w:left w:val="nil"/>
              <w:bottom w:val="single" w:sz="8" w:space="0" w:color="808080"/>
              <w:right w:val="single" w:sz="4" w:space="0" w:color="FFFFFF"/>
            </w:tcBorders>
            <w:shd w:val="clear" w:color="auto" w:fill="auto"/>
            <w:noWrap/>
            <w:vAlign w:val="bottom"/>
            <w:hideMark/>
          </w:tcPr>
          <w:p w14:paraId="6269A940"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12</w:t>
            </w:r>
          </w:p>
        </w:tc>
        <w:tc>
          <w:tcPr>
            <w:tcW w:w="794" w:type="dxa"/>
            <w:tcBorders>
              <w:top w:val="single" w:sz="4" w:space="0" w:color="808080"/>
              <w:left w:val="nil"/>
              <w:bottom w:val="single" w:sz="8" w:space="0" w:color="808080"/>
              <w:right w:val="single" w:sz="4" w:space="0" w:color="FFFFFF"/>
            </w:tcBorders>
            <w:shd w:val="clear" w:color="auto" w:fill="auto"/>
            <w:noWrap/>
            <w:vAlign w:val="bottom"/>
            <w:hideMark/>
          </w:tcPr>
          <w:p w14:paraId="0A8EF15E"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76</w:t>
            </w:r>
          </w:p>
        </w:tc>
      </w:tr>
    </w:tbl>
    <w:p w14:paraId="0E513023"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sz w:val="21"/>
          <w:szCs w:val="21"/>
          <w:lang w:eastAsia="en-GB"/>
        </w:rPr>
      </w:pPr>
    </w:p>
    <w:p w14:paraId="4A7B318E" w14:textId="77777777" w:rsidR="005B2719" w:rsidRDefault="005012B9" w:rsidP="00BD0A68">
      <w:pPr>
        <w:shd w:val="clear" w:color="auto" w:fill="FFFFFF" w:themeFill="background1"/>
        <w:spacing w:after="0" w:line="240" w:lineRule="auto"/>
        <w:rPr>
          <w:rFonts w:eastAsia="Times New Roman" w:cstheme="minorHAnsi"/>
          <w:b/>
          <w:bCs/>
          <w:color w:val="4A4A4A"/>
          <w:lang w:eastAsia="en-GB"/>
        </w:rPr>
      </w:pPr>
      <w:r w:rsidRPr="00486970">
        <w:rPr>
          <w:rFonts w:eastAsia="Times New Roman" w:cstheme="minorHAnsi"/>
          <w:color w:val="4A4A4A"/>
          <w:lang w:eastAsia="en-GB"/>
        </w:rPr>
        <w:t xml:space="preserve">HAI/WHO surveys were conducted more than once in some of the countries for a total of 76 surveys. </w:t>
      </w:r>
    </w:p>
    <w:p w14:paraId="1A2692CB" w14:textId="0A93283C" w:rsidR="005012B9" w:rsidRPr="005B2719" w:rsidRDefault="005012B9" w:rsidP="00BD0A68">
      <w:pPr>
        <w:shd w:val="clear" w:color="auto" w:fill="FFFFFF" w:themeFill="background1"/>
        <w:spacing w:after="0" w:line="240" w:lineRule="auto"/>
        <w:rPr>
          <w:rFonts w:eastAsia="Times New Roman" w:cstheme="minorHAnsi"/>
          <w:b/>
          <w:bCs/>
          <w:color w:val="4A4A4A"/>
          <w:lang w:eastAsia="en-GB"/>
        </w:rPr>
      </w:pPr>
      <w:r w:rsidRPr="00E31F2F">
        <w:rPr>
          <w:rFonts w:eastAsia="Times New Roman" w:cstheme="minorHAnsi"/>
          <w:color w:val="4A4A4A"/>
          <w:lang w:eastAsia="en-GB"/>
        </w:rPr>
        <w:t>EMP MedMon</w:t>
      </w:r>
      <w:r w:rsidRPr="00486970">
        <w:rPr>
          <w:rFonts w:eastAsia="Times New Roman" w:cstheme="minorHAnsi"/>
          <w:color w:val="4A4A4A"/>
          <w:lang w:eastAsia="en-GB"/>
        </w:rPr>
        <w:t>: In 2016 the design of the EMP MedMon tool for data collection was finalised. Since then, several pilot surveys have been conducted to test the tool. The first pilot survey was conducted across 19 countries using a basket of medicines that captures around 60% of the one currently proposed. The second pilot used a basket adjusted for the purposes of capturing non-communicable diseases only. These pilots have demonstrated that this tool is flexible and can be easily manipulated to include specialized modules of medicines for future data collection.</w:t>
      </w:r>
    </w:p>
    <w:p w14:paraId="2D0542F7" w14:textId="3DE6BFAB" w:rsidR="00D51E7C" w:rsidRPr="00486970" w:rsidRDefault="00D51E7C" w:rsidP="00576CFA">
      <w:pPr>
        <w:pStyle w:val="MText"/>
        <w:rPr>
          <w:rFonts w:cstheme="minorHAnsi"/>
          <w:highlight w:val="cyan"/>
        </w:rPr>
      </w:pPr>
    </w:p>
    <w:p w14:paraId="5853D6F7" w14:textId="30039212" w:rsidR="00D51E7C" w:rsidRPr="00E31F2F" w:rsidRDefault="00D51E7C" w:rsidP="00576CFA">
      <w:pPr>
        <w:pStyle w:val="MText"/>
        <w:rPr>
          <w:rFonts w:cstheme="minorHAnsi"/>
          <w:b/>
          <w:bCs/>
        </w:rPr>
      </w:pPr>
      <w:r w:rsidRPr="00E31F2F">
        <w:rPr>
          <w:rFonts w:cstheme="minorHAnsi"/>
          <w:b/>
          <w:bCs/>
        </w:rPr>
        <w:t>Time series:</w:t>
      </w:r>
    </w:p>
    <w:p w14:paraId="0B97FA4D"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Existing data has been historically collected based on available funding. The majority of existing surveys have been collected thus far using the </w:t>
      </w:r>
      <w:r w:rsidRPr="00486970">
        <w:rPr>
          <w:rFonts w:eastAsia="Times New Roman" w:cstheme="minorHAnsi"/>
          <w:b/>
          <w:bCs/>
          <w:color w:val="4A4A4A"/>
          <w:lang w:eastAsia="en-GB"/>
        </w:rPr>
        <w:t>HAI/WHO</w:t>
      </w:r>
      <w:r w:rsidRPr="00486970">
        <w:rPr>
          <w:rFonts w:eastAsia="Times New Roman" w:cstheme="minorHAnsi"/>
          <w:color w:val="4A4A4A"/>
          <w:lang w:eastAsia="en-GB"/>
        </w:rPr>
        <w:t xml:space="preserve"> data collection tool. Most of the existing data points are from 2000 – 2005. </w:t>
      </w:r>
    </w:p>
    <w:p w14:paraId="606A0BB3"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b/>
          <w:bCs/>
          <w:color w:val="4A4A4A"/>
          <w:lang w:eastAsia="en-GB"/>
        </w:rPr>
        <w:t xml:space="preserve">Table 2. </w:t>
      </w:r>
      <w:r w:rsidRPr="00486970">
        <w:rPr>
          <w:rFonts w:eastAsia="Times New Roman" w:cstheme="minorHAnsi"/>
          <w:color w:val="4A4A4A"/>
          <w:lang w:eastAsia="en-GB"/>
        </w:rPr>
        <w:t xml:space="preserve">Number of surveys and % of medicines from the defined basket </w:t>
      </w:r>
    </w:p>
    <w:p w14:paraId="5F4FC6EA"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color w:val="4A4A4A"/>
          <w:lang w:eastAsia="en-GB"/>
        </w:rPr>
        <w:t>that are captured by HAI/WHO surveys</w:t>
      </w:r>
    </w:p>
    <w:tbl>
      <w:tblPr>
        <w:tblW w:w="7062" w:type="dxa"/>
        <w:jc w:val="center"/>
        <w:tblLook w:val="04A0" w:firstRow="1" w:lastRow="0" w:firstColumn="1" w:lastColumn="0" w:noHBand="0" w:noVBand="1"/>
      </w:tblPr>
      <w:tblGrid>
        <w:gridCol w:w="3392"/>
        <w:gridCol w:w="1279"/>
        <w:gridCol w:w="1259"/>
        <w:gridCol w:w="1132"/>
      </w:tblGrid>
      <w:tr w:rsidR="005012B9" w:rsidRPr="00486970" w14:paraId="636D72C0" w14:textId="77777777" w:rsidTr="004D1906">
        <w:trPr>
          <w:trHeight w:val="247"/>
          <w:jc w:val="center"/>
        </w:trPr>
        <w:tc>
          <w:tcPr>
            <w:tcW w:w="3392" w:type="dxa"/>
            <w:tcBorders>
              <w:top w:val="single" w:sz="8" w:space="0" w:color="808080"/>
              <w:left w:val="single" w:sz="4" w:space="0" w:color="FFFFFF"/>
              <w:bottom w:val="single" w:sz="4" w:space="0" w:color="808080"/>
              <w:right w:val="single" w:sz="4" w:space="0" w:color="FFFFFF"/>
            </w:tcBorders>
            <w:shd w:val="clear" w:color="auto" w:fill="auto"/>
            <w:noWrap/>
            <w:vAlign w:val="bottom"/>
            <w:hideMark/>
          </w:tcPr>
          <w:p w14:paraId="128EE6A3" w14:textId="77777777" w:rsidR="005012B9" w:rsidRPr="00486970" w:rsidRDefault="005012B9" w:rsidP="005012B9">
            <w:pPr>
              <w:spacing w:after="0" w:line="240" w:lineRule="auto"/>
              <w:rPr>
                <w:rFonts w:eastAsia="Times New Roman" w:cstheme="minorHAnsi"/>
                <w:color w:val="4A4A4A"/>
                <w:sz w:val="16"/>
              </w:rPr>
            </w:pPr>
            <w:bookmarkStart w:id="5" w:name="_Hlk526173672"/>
            <w:r w:rsidRPr="00486970">
              <w:rPr>
                <w:rFonts w:eastAsia="Times New Roman" w:cstheme="minorHAnsi"/>
                <w:color w:val="4A4A4A"/>
                <w:sz w:val="16"/>
              </w:rPr>
              <w:t> </w:t>
            </w:r>
          </w:p>
        </w:tc>
        <w:tc>
          <w:tcPr>
            <w:tcW w:w="1279" w:type="dxa"/>
            <w:tcBorders>
              <w:top w:val="single" w:sz="8" w:space="0" w:color="808080"/>
              <w:left w:val="nil"/>
              <w:bottom w:val="single" w:sz="4" w:space="0" w:color="808080"/>
              <w:right w:val="single" w:sz="4" w:space="0" w:color="FFFFFF"/>
            </w:tcBorders>
            <w:shd w:val="clear" w:color="auto" w:fill="auto"/>
            <w:noWrap/>
            <w:vAlign w:val="bottom"/>
            <w:hideMark/>
          </w:tcPr>
          <w:p w14:paraId="0F32B6B6"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2001-2005</w:t>
            </w:r>
          </w:p>
        </w:tc>
        <w:tc>
          <w:tcPr>
            <w:tcW w:w="1259" w:type="dxa"/>
            <w:tcBorders>
              <w:top w:val="single" w:sz="8" w:space="0" w:color="808080"/>
              <w:left w:val="nil"/>
              <w:bottom w:val="single" w:sz="4" w:space="0" w:color="808080"/>
              <w:right w:val="single" w:sz="4" w:space="0" w:color="FFFFFF"/>
            </w:tcBorders>
            <w:shd w:val="clear" w:color="auto" w:fill="auto"/>
            <w:noWrap/>
            <w:vAlign w:val="bottom"/>
            <w:hideMark/>
          </w:tcPr>
          <w:p w14:paraId="27982023"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2005-2010</w:t>
            </w:r>
          </w:p>
        </w:tc>
        <w:tc>
          <w:tcPr>
            <w:tcW w:w="1132" w:type="dxa"/>
            <w:tcBorders>
              <w:top w:val="single" w:sz="8" w:space="0" w:color="808080"/>
              <w:left w:val="nil"/>
              <w:bottom w:val="single" w:sz="4" w:space="0" w:color="808080"/>
              <w:right w:val="single" w:sz="4" w:space="0" w:color="FFFFFF"/>
            </w:tcBorders>
            <w:shd w:val="clear" w:color="auto" w:fill="auto"/>
            <w:noWrap/>
            <w:vAlign w:val="bottom"/>
            <w:hideMark/>
          </w:tcPr>
          <w:p w14:paraId="1215A527"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2010-2015</w:t>
            </w:r>
          </w:p>
        </w:tc>
      </w:tr>
      <w:tr w:rsidR="005012B9" w:rsidRPr="00486970" w14:paraId="07F37001" w14:textId="77777777" w:rsidTr="004D1906">
        <w:trPr>
          <w:trHeight w:val="247"/>
          <w:jc w:val="center"/>
        </w:trPr>
        <w:tc>
          <w:tcPr>
            <w:tcW w:w="3392" w:type="dxa"/>
            <w:tcBorders>
              <w:top w:val="nil"/>
              <w:left w:val="single" w:sz="4" w:space="0" w:color="FFFFFF"/>
              <w:bottom w:val="single" w:sz="4" w:space="0" w:color="FFFFFF"/>
              <w:right w:val="single" w:sz="4" w:space="0" w:color="FFFFFF"/>
            </w:tcBorders>
            <w:shd w:val="clear" w:color="auto" w:fill="auto"/>
            <w:vAlign w:val="bottom"/>
            <w:hideMark/>
          </w:tcPr>
          <w:p w14:paraId="78D828AE" w14:textId="77777777" w:rsidR="005012B9" w:rsidRPr="00486970" w:rsidRDefault="005012B9" w:rsidP="005012B9">
            <w:pPr>
              <w:spacing w:after="0" w:line="240" w:lineRule="auto"/>
              <w:rPr>
                <w:rFonts w:eastAsia="Times New Roman" w:cstheme="minorHAnsi"/>
                <w:i/>
                <w:iCs/>
                <w:color w:val="4A4A4A"/>
                <w:sz w:val="16"/>
              </w:rPr>
            </w:pPr>
            <w:r w:rsidRPr="00486970">
              <w:rPr>
                <w:rFonts w:eastAsia="Times New Roman" w:cstheme="minorHAnsi"/>
                <w:i/>
                <w:iCs/>
                <w:color w:val="4A4A4A"/>
                <w:sz w:val="16"/>
              </w:rPr>
              <w:t>Total number of surveys (n)</w:t>
            </w:r>
          </w:p>
        </w:tc>
        <w:tc>
          <w:tcPr>
            <w:tcW w:w="1279" w:type="dxa"/>
            <w:tcBorders>
              <w:top w:val="nil"/>
              <w:left w:val="nil"/>
              <w:bottom w:val="single" w:sz="4" w:space="0" w:color="FFFFFF"/>
              <w:right w:val="single" w:sz="4" w:space="0" w:color="FFFFFF"/>
            </w:tcBorders>
            <w:shd w:val="clear" w:color="auto" w:fill="auto"/>
            <w:noWrap/>
            <w:vAlign w:val="bottom"/>
            <w:hideMark/>
          </w:tcPr>
          <w:p w14:paraId="179DA1DC"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41</w:t>
            </w:r>
          </w:p>
        </w:tc>
        <w:tc>
          <w:tcPr>
            <w:tcW w:w="1259" w:type="dxa"/>
            <w:tcBorders>
              <w:top w:val="nil"/>
              <w:left w:val="nil"/>
              <w:bottom w:val="single" w:sz="4" w:space="0" w:color="FFFFFF"/>
              <w:right w:val="single" w:sz="4" w:space="0" w:color="FFFFFF"/>
            </w:tcBorders>
            <w:shd w:val="clear" w:color="auto" w:fill="auto"/>
            <w:noWrap/>
            <w:vAlign w:val="bottom"/>
            <w:hideMark/>
          </w:tcPr>
          <w:p w14:paraId="15573823"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23</w:t>
            </w:r>
          </w:p>
        </w:tc>
        <w:tc>
          <w:tcPr>
            <w:tcW w:w="1132" w:type="dxa"/>
            <w:tcBorders>
              <w:top w:val="nil"/>
              <w:left w:val="nil"/>
              <w:bottom w:val="single" w:sz="4" w:space="0" w:color="FFFFFF"/>
              <w:right w:val="single" w:sz="4" w:space="0" w:color="FFFFFF"/>
            </w:tcBorders>
            <w:shd w:val="clear" w:color="auto" w:fill="auto"/>
            <w:noWrap/>
            <w:vAlign w:val="bottom"/>
            <w:hideMark/>
          </w:tcPr>
          <w:p w14:paraId="4E114791"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12</w:t>
            </w:r>
          </w:p>
        </w:tc>
      </w:tr>
      <w:tr w:rsidR="005012B9" w:rsidRPr="00486970" w14:paraId="1B69D1A1" w14:textId="77777777" w:rsidTr="004D1906">
        <w:trPr>
          <w:trHeight w:val="259"/>
          <w:jc w:val="center"/>
        </w:trPr>
        <w:tc>
          <w:tcPr>
            <w:tcW w:w="3392" w:type="dxa"/>
            <w:tcBorders>
              <w:top w:val="nil"/>
              <w:left w:val="single" w:sz="4" w:space="0" w:color="FFFFFF"/>
              <w:bottom w:val="single" w:sz="8" w:space="0" w:color="808080"/>
              <w:right w:val="single" w:sz="4" w:space="0" w:color="FFFFFF"/>
            </w:tcBorders>
            <w:shd w:val="clear" w:color="auto" w:fill="auto"/>
            <w:vAlign w:val="bottom"/>
            <w:hideMark/>
          </w:tcPr>
          <w:p w14:paraId="211C802D" w14:textId="77777777" w:rsidR="005012B9" w:rsidRPr="00486970" w:rsidRDefault="005012B9" w:rsidP="005012B9">
            <w:pPr>
              <w:spacing w:after="0" w:line="240" w:lineRule="auto"/>
              <w:rPr>
                <w:rFonts w:eastAsia="Times New Roman" w:cstheme="minorHAnsi"/>
                <w:i/>
                <w:iCs/>
                <w:color w:val="4A4A4A"/>
                <w:sz w:val="16"/>
              </w:rPr>
            </w:pPr>
            <w:r w:rsidRPr="00486970">
              <w:rPr>
                <w:rFonts w:eastAsia="Times New Roman" w:cstheme="minorHAnsi"/>
                <w:i/>
                <w:iCs/>
                <w:color w:val="4A4A4A"/>
                <w:sz w:val="16"/>
              </w:rPr>
              <w:t>Medicines captured in the surveys (%)</w:t>
            </w:r>
          </w:p>
        </w:tc>
        <w:tc>
          <w:tcPr>
            <w:tcW w:w="1279" w:type="dxa"/>
            <w:tcBorders>
              <w:top w:val="nil"/>
              <w:left w:val="nil"/>
              <w:bottom w:val="single" w:sz="8" w:space="0" w:color="808080"/>
              <w:right w:val="single" w:sz="4" w:space="0" w:color="FFFFFF"/>
            </w:tcBorders>
            <w:shd w:val="clear" w:color="auto" w:fill="auto"/>
            <w:noWrap/>
            <w:vAlign w:val="bottom"/>
            <w:hideMark/>
          </w:tcPr>
          <w:p w14:paraId="5D6DFF75"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49.8%</w:t>
            </w:r>
          </w:p>
        </w:tc>
        <w:tc>
          <w:tcPr>
            <w:tcW w:w="1259" w:type="dxa"/>
            <w:tcBorders>
              <w:top w:val="nil"/>
              <w:left w:val="nil"/>
              <w:bottom w:val="single" w:sz="8" w:space="0" w:color="808080"/>
              <w:right w:val="single" w:sz="4" w:space="0" w:color="FFFFFF"/>
            </w:tcBorders>
            <w:shd w:val="clear" w:color="auto" w:fill="auto"/>
            <w:noWrap/>
            <w:vAlign w:val="bottom"/>
            <w:hideMark/>
          </w:tcPr>
          <w:p w14:paraId="5FEE25C9"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66.3%</w:t>
            </w:r>
          </w:p>
        </w:tc>
        <w:tc>
          <w:tcPr>
            <w:tcW w:w="1132" w:type="dxa"/>
            <w:tcBorders>
              <w:top w:val="nil"/>
              <w:left w:val="nil"/>
              <w:bottom w:val="single" w:sz="8" w:space="0" w:color="808080"/>
              <w:right w:val="single" w:sz="4" w:space="0" w:color="FFFFFF"/>
            </w:tcBorders>
            <w:shd w:val="clear" w:color="auto" w:fill="auto"/>
            <w:noWrap/>
            <w:vAlign w:val="bottom"/>
            <w:hideMark/>
          </w:tcPr>
          <w:p w14:paraId="4E2C7AA4"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72.9%</w:t>
            </w:r>
          </w:p>
        </w:tc>
      </w:tr>
      <w:bookmarkEnd w:id="5"/>
    </w:tbl>
    <w:p w14:paraId="459BBE1E" w14:textId="77777777" w:rsidR="005012B9" w:rsidRPr="00486970" w:rsidRDefault="005012B9" w:rsidP="005012B9">
      <w:pPr>
        <w:shd w:val="clear" w:color="auto" w:fill="FFFFFF" w:themeFill="background1"/>
        <w:spacing w:after="0"/>
        <w:jc w:val="both"/>
        <w:rPr>
          <w:rFonts w:eastAsia="Times New Roman" w:cstheme="minorHAnsi"/>
          <w:color w:val="4A4A4A"/>
          <w:lang w:eastAsia="en-GB"/>
        </w:rPr>
      </w:pPr>
    </w:p>
    <w:p w14:paraId="02D95A52" w14:textId="77777777" w:rsidR="005012B9" w:rsidRPr="00486970" w:rsidRDefault="005012B9" w:rsidP="005012B9">
      <w:pPr>
        <w:shd w:val="clear" w:color="auto" w:fill="FFFFFF" w:themeFill="background1"/>
        <w:spacing w:after="0"/>
        <w:jc w:val="both"/>
        <w:rPr>
          <w:rFonts w:eastAsia="Times New Roman" w:cstheme="minorHAnsi"/>
          <w:b/>
          <w:bCs/>
          <w:color w:val="4A4A4A"/>
          <w:lang w:eastAsia="en-GB"/>
        </w:rPr>
      </w:pPr>
      <w:r w:rsidRPr="00486970">
        <w:rPr>
          <w:rFonts w:eastAsia="Times New Roman" w:cstheme="minorHAnsi"/>
          <w:color w:val="4A4A4A"/>
          <w:lang w:eastAsia="en-GB"/>
        </w:rPr>
        <w:t>The distribution of these 76 surveys across WHO regions is represented in</w:t>
      </w:r>
      <w:r w:rsidRPr="00486970">
        <w:rPr>
          <w:rFonts w:eastAsia="Times New Roman" w:cstheme="minorHAnsi"/>
          <w:b/>
          <w:bCs/>
          <w:color w:val="4A4A4A"/>
          <w:lang w:eastAsia="en-GB"/>
        </w:rPr>
        <w:t xml:space="preserve"> Table 3. </w:t>
      </w:r>
    </w:p>
    <w:p w14:paraId="63BEEFC2" w14:textId="2F00E3E2" w:rsidR="00BD0A68" w:rsidRDefault="005012B9" w:rsidP="005012B9">
      <w:pPr>
        <w:shd w:val="clear" w:color="auto" w:fill="FFFFFF" w:themeFill="background1"/>
        <w:spacing w:after="0"/>
        <w:jc w:val="center"/>
        <w:rPr>
          <w:rFonts w:eastAsia="Times New Roman" w:cstheme="minorHAnsi"/>
          <w:color w:val="4A4A4A"/>
          <w:sz w:val="21"/>
          <w:szCs w:val="21"/>
          <w:lang w:eastAsia="en-GB"/>
        </w:rPr>
      </w:pPr>
      <w:r w:rsidRPr="00486970">
        <w:rPr>
          <w:rFonts w:eastAsia="Times New Roman" w:cstheme="minorHAnsi"/>
          <w:b/>
          <w:bCs/>
          <w:color w:val="4A4A4A"/>
          <w:sz w:val="21"/>
          <w:szCs w:val="21"/>
          <w:lang w:eastAsia="en-GB"/>
        </w:rPr>
        <w:t xml:space="preserve">Table 3. </w:t>
      </w:r>
      <w:r w:rsidRPr="00486970">
        <w:rPr>
          <w:rFonts w:eastAsia="Times New Roman" w:cstheme="minorHAnsi"/>
          <w:color w:val="4A4A4A"/>
          <w:sz w:val="21"/>
          <w:szCs w:val="21"/>
          <w:lang w:eastAsia="en-GB"/>
        </w:rPr>
        <w:t>Number of HAI/WHO surveys across regions</w:t>
      </w:r>
    </w:p>
    <w:p w14:paraId="503318FC" w14:textId="1285510F" w:rsidR="00BD0A68" w:rsidRDefault="00BD0A68" w:rsidP="005012B9">
      <w:pPr>
        <w:shd w:val="clear" w:color="auto" w:fill="FFFFFF" w:themeFill="background1"/>
        <w:spacing w:after="0"/>
        <w:jc w:val="center"/>
        <w:rPr>
          <w:rFonts w:eastAsia="Times New Roman" w:cstheme="minorHAnsi"/>
          <w:color w:val="4A4A4A"/>
          <w:sz w:val="21"/>
          <w:szCs w:val="21"/>
          <w:lang w:eastAsia="en-GB"/>
        </w:rPr>
      </w:pPr>
      <w:r>
        <w:rPr>
          <w:noProof/>
        </w:rPr>
        <w:drawing>
          <wp:inline distT="0" distB="0" distL="0" distR="0" wp14:anchorId="1F836FE3" wp14:editId="0CBA5616">
            <wp:extent cx="4346425" cy="1548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5551" cy="1576325"/>
                    </a:xfrm>
                    <a:prstGeom prst="rect">
                      <a:avLst/>
                    </a:prstGeom>
                  </pic:spPr>
                </pic:pic>
              </a:graphicData>
            </a:graphic>
          </wp:inline>
        </w:drawing>
      </w:r>
    </w:p>
    <w:p w14:paraId="676AB1F6" w14:textId="53526B1D" w:rsidR="005012B9" w:rsidRPr="00486970" w:rsidRDefault="005012B9" w:rsidP="005012B9">
      <w:pPr>
        <w:shd w:val="clear" w:color="auto" w:fill="FFFFFF" w:themeFill="background1"/>
        <w:spacing w:after="0"/>
        <w:jc w:val="center"/>
        <w:rPr>
          <w:rFonts w:cstheme="minorHAnsi"/>
          <w:noProof/>
          <w:color w:val="4A4A4A"/>
          <w:lang w:val="en-US"/>
        </w:rPr>
      </w:pPr>
    </w:p>
    <w:p w14:paraId="033A10BA" w14:textId="77777777" w:rsidR="005012B9" w:rsidRPr="00486970" w:rsidRDefault="005012B9" w:rsidP="00BD0A68">
      <w:pPr>
        <w:shd w:val="clear" w:color="auto" w:fill="FFFFFF" w:themeFill="background1"/>
        <w:spacing w:after="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Overall 21 </w:t>
      </w:r>
      <w:r w:rsidRPr="00E31F2F">
        <w:rPr>
          <w:rFonts w:eastAsia="Times New Roman" w:cstheme="minorHAnsi"/>
          <w:color w:val="4A4A4A"/>
          <w:lang w:eastAsia="en-GB"/>
        </w:rPr>
        <w:t>SARA</w:t>
      </w:r>
      <w:r w:rsidRPr="00486970">
        <w:rPr>
          <w:rFonts w:eastAsia="Times New Roman" w:cstheme="minorHAnsi"/>
          <w:color w:val="4A4A4A"/>
          <w:lang w:eastAsia="en-GB"/>
        </w:rPr>
        <w:t xml:space="preserve"> surveys were conducted over the period from 2010 to 2017. 17 surveys were conducted between 2010 and 2015 and 4 surveys after 2015. </w:t>
      </w:r>
    </w:p>
    <w:p w14:paraId="760C013A" w14:textId="4597FCBD" w:rsidR="00D51E7C" w:rsidRPr="00486970" w:rsidRDefault="00D51E7C" w:rsidP="00576CFA">
      <w:pPr>
        <w:pStyle w:val="MText"/>
        <w:rPr>
          <w:rFonts w:cstheme="minorHAnsi"/>
          <w:highlight w:val="cyan"/>
        </w:rPr>
      </w:pPr>
    </w:p>
    <w:p w14:paraId="72C7C370" w14:textId="7CA3CA69" w:rsidR="00D51E7C" w:rsidRPr="00E31F2F" w:rsidRDefault="00D51E7C" w:rsidP="00576CFA">
      <w:pPr>
        <w:pStyle w:val="MText"/>
        <w:rPr>
          <w:rFonts w:cstheme="minorHAnsi"/>
          <w:b/>
          <w:bCs/>
        </w:rPr>
      </w:pPr>
      <w:r w:rsidRPr="00E31F2F">
        <w:rPr>
          <w:rFonts w:cstheme="minorHAnsi"/>
          <w:b/>
          <w:bCs/>
        </w:rPr>
        <w:lastRenderedPageBreak/>
        <w:t>Disaggregation:</w:t>
      </w:r>
    </w:p>
    <w:p w14:paraId="235C2ED6" w14:textId="6B7F9949" w:rsidR="00F70A66" w:rsidRPr="00486970" w:rsidRDefault="00F70A66" w:rsidP="00F70A66">
      <w:pPr>
        <w:shd w:val="clear" w:color="auto" w:fill="FFFFFF"/>
        <w:spacing w:after="0" w:line="240" w:lineRule="auto"/>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The proposed indicator will allow</w:t>
      </w:r>
      <w:r w:rsidR="005B2719">
        <w:rPr>
          <w:rFonts w:eastAsia="Times New Roman" w:cstheme="minorHAnsi"/>
          <w:color w:val="4A4A4A"/>
          <w:sz w:val="21"/>
          <w:szCs w:val="21"/>
          <w:lang w:eastAsia="en-US"/>
        </w:rPr>
        <w:t xml:space="preserve"> </w:t>
      </w:r>
      <w:r w:rsidRPr="00486970">
        <w:rPr>
          <w:rFonts w:eastAsia="Times New Roman" w:cstheme="minorHAnsi"/>
          <w:color w:val="4A4A4A"/>
          <w:sz w:val="21"/>
          <w:szCs w:val="21"/>
          <w:lang w:eastAsia="en-US"/>
        </w:rPr>
        <w:t>for</w:t>
      </w:r>
      <w:r w:rsidR="005B2719">
        <w:rPr>
          <w:rFonts w:eastAsia="Times New Roman" w:cstheme="minorHAnsi"/>
          <w:color w:val="4A4A4A"/>
          <w:sz w:val="21"/>
          <w:szCs w:val="21"/>
          <w:lang w:eastAsia="en-US"/>
        </w:rPr>
        <w:t xml:space="preserve"> </w:t>
      </w:r>
      <w:r w:rsidRPr="00486970">
        <w:rPr>
          <w:rFonts w:eastAsia="Times New Roman" w:cstheme="minorHAnsi"/>
          <w:color w:val="4A4A4A"/>
          <w:sz w:val="21"/>
          <w:szCs w:val="21"/>
          <w:lang w:eastAsia="en-US"/>
        </w:rPr>
        <w:t>the following disaggregation:</w:t>
      </w:r>
      <w:r w:rsidR="005B2719">
        <w:rPr>
          <w:rFonts w:eastAsia="Times New Roman" w:cstheme="minorHAnsi"/>
          <w:color w:val="4A4A4A"/>
          <w:sz w:val="21"/>
          <w:szCs w:val="21"/>
          <w:lang w:eastAsia="en-US"/>
        </w:rPr>
        <w:t xml:space="preserve"> </w:t>
      </w:r>
    </w:p>
    <w:p w14:paraId="227D96B8" w14:textId="3851C53C" w:rsidR="00F70A66" w:rsidRPr="00486970" w:rsidRDefault="00F70A66" w:rsidP="00397ADD">
      <w:pPr>
        <w:numPr>
          <w:ilvl w:val="0"/>
          <w:numId w:val="20"/>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public/private/mission sectors facilities (managing authority)</w:t>
      </w:r>
    </w:p>
    <w:p w14:paraId="470BD58E" w14:textId="34085395" w:rsidR="00F70A66" w:rsidRPr="00486970" w:rsidRDefault="00F70A66" w:rsidP="00397ADD">
      <w:pPr>
        <w:numPr>
          <w:ilvl w:val="0"/>
          <w:numId w:val="21"/>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geography – rural/urban areas</w:t>
      </w:r>
    </w:p>
    <w:p w14:paraId="2C0C71B8" w14:textId="1B01D095" w:rsidR="00F70A66" w:rsidRPr="00486970" w:rsidRDefault="00F70A66" w:rsidP="00397ADD">
      <w:pPr>
        <w:numPr>
          <w:ilvl w:val="0"/>
          <w:numId w:val="22"/>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therapeutic group</w:t>
      </w:r>
    </w:p>
    <w:p w14:paraId="74735E1B" w14:textId="2FAB95CF" w:rsidR="00F70A66" w:rsidRPr="00486970" w:rsidRDefault="00F70A66" w:rsidP="00397ADD">
      <w:pPr>
        <w:numPr>
          <w:ilvl w:val="0"/>
          <w:numId w:val="23"/>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facility type (pharmacy/hospital)</w:t>
      </w:r>
    </w:p>
    <w:p w14:paraId="08EE2FD7" w14:textId="649EEA15" w:rsidR="00F70A66" w:rsidRPr="00486970" w:rsidRDefault="00F70A66" w:rsidP="00397ADD">
      <w:pPr>
        <w:numPr>
          <w:ilvl w:val="0"/>
          <w:numId w:val="24"/>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medicine.</w:t>
      </w:r>
    </w:p>
    <w:p w14:paraId="42E8CA56" w14:textId="77777777" w:rsidR="00D51E7C" w:rsidRPr="00486970" w:rsidRDefault="00D51E7C" w:rsidP="00576CFA">
      <w:pPr>
        <w:pStyle w:val="MText"/>
        <w:rPr>
          <w:rFonts w:cstheme="minorHAnsi"/>
        </w:rPr>
      </w:pPr>
    </w:p>
    <w:p w14:paraId="4D0520F7" w14:textId="11F0E737" w:rsidR="00382CF3" w:rsidRPr="00486970" w:rsidRDefault="00B31E2C" w:rsidP="000412A0">
      <w:pPr>
        <w:pStyle w:val="MHeader"/>
        <w:spacing w:after="100"/>
        <w:rPr>
          <w:rFonts w:cstheme="minorHAnsi"/>
        </w:rPr>
      </w:pPr>
      <w:r w:rsidRPr="00486970">
        <w:rPr>
          <w:rFonts w:cstheme="minorHAnsi"/>
        </w:rPr>
        <w:t>6. Comparability / d</w:t>
      </w:r>
      <w:r w:rsidR="00576CFA" w:rsidRPr="00486970">
        <w:rPr>
          <w:rFonts w:cstheme="minorHAnsi"/>
        </w:rPr>
        <w:t>eviatio</w:t>
      </w:r>
      <w:r w:rsidR="00382CF3" w:rsidRPr="00486970">
        <w:rPr>
          <w:rFonts w:cstheme="minorHAnsi"/>
        </w:rPr>
        <w:t>n from international standards</w:t>
      </w:r>
    </w:p>
    <w:p w14:paraId="33BE7367" w14:textId="28DFF81E" w:rsidR="005012B9" w:rsidRPr="00E31F2F" w:rsidRDefault="00D51E7C" w:rsidP="00486970">
      <w:pPr>
        <w:pStyle w:val="MText"/>
        <w:rPr>
          <w:rFonts w:cstheme="minorHAnsi"/>
          <w:b/>
          <w:bCs/>
        </w:rPr>
      </w:pPr>
      <w:r w:rsidRPr="00E31F2F">
        <w:rPr>
          <w:rFonts w:cstheme="minorHAnsi"/>
          <w:b/>
          <w:bCs/>
        </w:rPr>
        <w:t>Sources of discrepancies:</w:t>
      </w:r>
    </w:p>
    <w:p w14:paraId="7FE4781C" w14:textId="1524824B"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Data can be received from three data sources:</w:t>
      </w:r>
      <w:r w:rsidR="005B2719">
        <w:rPr>
          <w:rFonts w:eastAsia="Times New Roman" w:cstheme="minorHAnsi"/>
          <w:color w:val="4A4A4A"/>
          <w:lang w:eastAsia="en-US"/>
        </w:rPr>
        <w:t xml:space="preserve"> </w:t>
      </w:r>
      <w:r w:rsidRPr="00486970">
        <w:rPr>
          <w:rFonts w:eastAsia="Times New Roman" w:cstheme="minorHAnsi"/>
          <w:color w:val="4A4A4A"/>
          <w:lang w:eastAsia="en-US"/>
        </w:rPr>
        <w:t>SARA, HAI/WHO,</w:t>
      </w:r>
      <w:r w:rsidR="005B2719">
        <w:rPr>
          <w:rFonts w:eastAsia="Times New Roman" w:cstheme="minorHAnsi"/>
          <w:color w:val="4A4A4A"/>
          <w:lang w:eastAsia="en-US"/>
        </w:rPr>
        <w:t xml:space="preserve"> </w:t>
      </w:r>
      <w:r w:rsidRPr="00486970">
        <w:rPr>
          <w:rFonts w:eastAsia="Times New Roman" w:cstheme="minorHAnsi"/>
          <w:color w:val="4A4A4A"/>
          <w:lang w:eastAsia="en-US"/>
        </w:rPr>
        <w:t>and the</w:t>
      </w:r>
      <w:r w:rsidR="005B2719">
        <w:rPr>
          <w:rFonts w:eastAsia="Times New Roman" w:cstheme="minorHAnsi"/>
          <w:color w:val="4A4A4A"/>
          <w:lang w:eastAsia="en-US"/>
        </w:rPr>
        <w:t xml:space="preserve"> </w:t>
      </w:r>
      <w:r w:rsidRPr="00486970">
        <w:rPr>
          <w:rFonts w:eastAsia="Times New Roman" w:cstheme="minorHAnsi"/>
          <w:color w:val="4A4A4A"/>
          <w:lang w:eastAsia="en-US"/>
        </w:rPr>
        <w:t>EMP</w:t>
      </w:r>
      <w:r w:rsidR="005B2719">
        <w:rPr>
          <w:rFonts w:eastAsia="Times New Roman" w:cstheme="minorHAnsi"/>
          <w:color w:val="4A4A4A"/>
          <w:lang w:eastAsia="en-US"/>
        </w:rPr>
        <w:t xml:space="preserve"> </w:t>
      </w:r>
      <w:r w:rsidRPr="00486970">
        <w:rPr>
          <w:rFonts w:eastAsia="Times New Roman" w:cstheme="minorHAnsi"/>
          <w:color w:val="4A4A4A"/>
          <w:lang w:eastAsia="en-US"/>
        </w:rPr>
        <w:t>MedMon. These data collection methods</w:t>
      </w:r>
      <w:r w:rsidR="005B2719">
        <w:rPr>
          <w:rFonts w:eastAsia="Times New Roman" w:cstheme="minorHAnsi"/>
          <w:color w:val="4A4A4A"/>
          <w:lang w:eastAsia="en-US"/>
        </w:rPr>
        <w:t xml:space="preserve"> </w:t>
      </w:r>
      <w:r w:rsidRPr="00486970">
        <w:rPr>
          <w:rFonts w:eastAsia="Times New Roman" w:cstheme="minorHAnsi"/>
          <w:color w:val="4A4A4A"/>
          <w:lang w:eastAsia="en-US"/>
        </w:rPr>
        <w:t>demonstrate</w:t>
      </w:r>
      <w:r w:rsidR="005B2719">
        <w:rPr>
          <w:rFonts w:eastAsia="Times New Roman" w:cstheme="minorHAnsi"/>
          <w:color w:val="4A4A4A"/>
          <w:lang w:eastAsia="en-US"/>
        </w:rPr>
        <w:t xml:space="preserve"> </w:t>
      </w:r>
      <w:r w:rsidRPr="00486970">
        <w:rPr>
          <w:rFonts w:eastAsia="Times New Roman" w:cstheme="minorHAnsi"/>
          <w:color w:val="4A4A4A"/>
          <w:lang w:eastAsia="en-US"/>
        </w:rPr>
        <w:t>the following discrepancies:</w:t>
      </w:r>
    </w:p>
    <w:p w14:paraId="7AE0C6ED" w14:textId="4B710FB4" w:rsidR="005012B9" w:rsidRPr="00486970" w:rsidRDefault="005012B9" w:rsidP="00397ADD">
      <w:pPr>
        <w:numPr>
          <w:ilvl w:val="0"/>
          <w:numId w:val="29"/>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Sampling of the facilities to be surveyed,</w:t>
      </w:r>
    </w:p>
    <w:p w14:paraId="1C3C5C93" w14:textId="13F32248" w:rsidR="005012B9" w:rsidRPr="00486970" w:rsidRDefault="005012B9" w:rsidP="00397ADD">
      <w:pPr>
        <w:numPr>
          <w:ilvl w:val="0"/>
          <w:numId w:val="30"/>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Size of the sampling of the facilities to be surveyed, and</w:t>
      </w:r>
    </w:p>
    <w:p w14:paraId="52B82B39" w14:textId="645E548A" w:rsidR="005012B9" w:rsidRPr="00486970" w:rsidRDefault="005012B9" w:rsidP="00397ADD">
      <w:pPr>
        <w:numPr>
          <w:ilvl w:val="0"/>
          <w:numId w:val="31"/>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Questions asked at facility level to capture availability (i.e.</w:t>
      </w:r>
      <w:r w:rsidR="005B2719">
        <w:rPr>
          <w:rFonts w:eastAsia="Times New Roman" w:cstheme="minorHAnsi"/>
          <w:color w:val="4A4A4A"/>
          <w:lang w:eastAsia="en-US"/>
        </w:rPr>
        <w:t xml:space="preserve"> </w:t>
      </w:r>
      <w:r w:rsidRPr="00486970">
        <w:rPr>
          <w:rFonts w:eastAsia="Times New Roman" w:cstheme="minorHAnsi"/>
          <w:color w:val="4A4A4A"/>
          <w:lang w:eastAsia="en-US"/>
        </w:rPr>
        <w:t>SARA considers potentially</w:t>
      </w:r>
      <w:r w:rsidR="005B2719">
        <w:rPr>
          <w:rFonts w:eastAsia="Times New Roman" w:cstheme="minorHAnsi"/>
          <w:color w:val="4A4A4A"/>
          <w:lang w:eastAsia="en-US"/>
        </w:rPr>
        <w:t xml:space="preserve"> </w:t>
      </w:r>
      <w:r w:rsidRPr="00486970">
        <w:rPr>
          <w:rFonts w:eastAsia="Times New Roman" w:cstheme="minorHAnsi"/>
          <w:color w:val="4A4A4A"/>
          <w:lang w:eastAsia="en-US"/>
        </w:rPr>
        <w:t>available expired medicines as well).</w:t>
      </w:r>
    </w:p>
    <w:p w14:paraId="7E5F0FE8" w14:textId="4955BEF1"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WHO will use any of these three data sources available for the year of calculation as a compromise between the limitations that these discrepancies pose to the proposed methodology and the need to overcome data availability issues in order to start reporting on this critical</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w:t>
      </w:r>
      <w:r w:rsidR="005B2719">
        <w:rPr>
          <w:rFonts w:eastAsia="Times New Roman" w:cstheme="minorHAnsi"/>
          <w:color w:val="4A4A4A"/>
          <w:lang w:eastAsia="en-US"/>
        </w:rPr>
        <w:t xml:space="preserve"> </w:t>
      </w:r>
      <w:r w:rsidRPr="00486970">
        <w:rPr>
          <w:rFonts w:eastAsia="Times New Roman" w:cstheme="minorHAnsi"/>
          <w:color w:val="4A4A4A"/>
          <w:lang w:eastAsia="en-US"/>
        </w:rPr>
        <w:t>In the unlikely case that data is available through more than one data source for a specific country, WHO will rely on the source with a larger sample size and a higher percentage of medicines from the defined core list captured by the survey.</w:t>
      </w:r>
    </w:p>
    <w:p w14:paraId="3C2D4870" w14:textId="77777777" w:rsidR="00D51E7C" w:rsidRPr="00486970" w:rsidRDefault="00D51E7C" w:rsidP="00576CFA">
      <w:pPr>
        <w:pStyle w:val="MText"/>
        <w:rPr>
          <w:rFonts w:cstheme="minorHAnsi"/>
        </w:rPr>
      </w:pPr>
    </w:p>
    <w:p w14:paraId="76DF099C" w14:textId="703C09F1" w:rsidR="00382CF3" w:rsidRPr="00486970" w:rsidRDefault="00576CFA" w:rsidP="000412A0">
      <w:pPr>
        <w:pStyle w:val="MHeader"/>
        <w:spacing w:after="100"/>
        <w:rPr>
          <w:rFonts w:cstheme="minorHAnsi"/>
        </w:rPr>
      </w:pPr>
      <w:r w:rsidRPr="00486970">
        <w:rPr>
          <w:rFonts w:cstheme="minorHAnsi"/>
        </w:rPr>
        <w:t>7</w:t>
      </w:r>
      <w:r w:rsidR="00382CF3" w:rsidRPr="00486970">
        <w:rPr>
          <w:rFonts w:cstheme="minorHAnsi"/>
        </w:rPr>
        <w:t>. References and Documentation</w:t>
      </w:r>
    </w:p>
    <w:p w14:paraId="11882293" w14:textId="2327D660" w:rsidR="005012B9" w:rsidRPr="00486970" w:rsidRDefault="005012B9" w:rsidP="00397ADD">
      <w:pPr>
        <w:numPr>
          <w:ilvl w:val="0"/>
          <w:numId w:val="33"/>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World Health Organization and Health Action International,</w:t>
      </w:r>
      <w:r w:rsidR="005B2719">
        <w:rPr>
          <w:rFonts w:eastAsia="Times New Roman" w:cstheme="minorHAnsi"/>
          <w:color w:val="4A4A4A"/>
          <w:lang w:val="en-US" w:eastAsia="en-US"/>
        </w:rPr>
        <w:t xml:space="preserve"> </w:t>
      </w:r>
      <w:r w:rsidRPr="00486970">
        <w:rPr>
          <w:rFonts w:eastAsia="Times New Roman" w:cstheme="minorHAnsi"/>
          <w:i/>
          <w:iCs/>
          <w:color w:val="4A4A4A"/>
          <w:lang w:val="en-US" w:eastAsia="en-US"/>
        </w:rPr>
        <w:t>Measuring medicine prices, availability, affordability and price components, 2</w:t>
      </w:r>
      <w:r w:rsidR="00B84B96" w:rsidRPr="00B84B96">
        <w:rPr>
          <w:rFonts w:eastAsia="Times New Roman" w:cstheme="minorHAnsi"/>
          <w:i/>
          <w:iCs/>
          <w:color w:val="4A4A4A"/>
          <w:vertAlign w:val="superscript"/>
          <w:lang w:val="en-US" w:eastAsia="en-US"/>
        </w:rPr>
        <w:t>nd</w:t>
      </w:r>
      <w:r w:rsidR="00B84B96">
        <w:rPr>
          <w:rFonts w:eastAsia="Times New Roman" w:cstheme="minorHAnsi"/>
          <w:i/>
          <w:iCs/>
          <w:color w:val="4A4A4A"/>
          <w:lang w:val="en-US" w:eastAsia="en-US"/>
        </w:rPr>
        <w:t xml:space="preserve"> </w:t>
      </w:r>
      <w:r w:rsidRPr="00486970">
        <w:rPr>
          <w:rFonts w:eastAsia="Times New Roman" w:cstheme="minorHAnsi"/>
          <w:i/>
          <w:iCs/>
          <w:color w:val="4A4A4A"/>
          <w:lang w:val="en-US" w:eastAsia="en-US"/>
        </w:rPr>
        <w:t>Edition</w:t>
      </w:r>
      <w:r w:rsidR="00B84B96">
        <w:rPr>
          <w:rFonts w:eastAsia="Times New Roman" w:cstheme="minorHAnsi"/>
          <w:color w:val="4A4A4A"/>
          <w:lang w:val="en-US" w:eastAsia="en-US"/>
        </w:rPr>
        <w:t xml:space="preserve"> </w:t>
      </w:r>
      <w:r w:rsidRPr="00486970">
        <w:rPr>
          <w:rFonts w:eastAsia="Times New Roman" w:cstheme="minorHAnsi"/>
          <w:color w:val="4A4A4A"/>
          <w:lang w:val="en-US" w:eastAsia="en-US"/>
        </w:rPr>
        <w:t>(Switzerland, 2008), available from</w:t>
      </w:r>
      <w:r w:rsidR="005B2719">
        <w:rPr>
          <w:rFonts w:eastAsia="Times New Roman" w:cstheme="minorHAnsi"/>
          <w:color w:val="4A4A4A"/>
          <w:lang w:val="en-US" w:eastAsia="en-US"/>
        </w:rPr>
        <w:t xml:space="preserve"> </w:t>
      </w:r>
      <w:hyperlink r:id="rId17" w:tgtFrame="_blank" w:history="1">
        <w:r w:rsidRPr="00486970">
          <w:rPr>
            <w:rFonts w:eastAsia="Times New Roman" w:cstheme="minorHAnsi"/>
            <w:color w:val="0000FF"/>
            <w:u w:val="single"/>
            <w:lang w:eastAsia="en-US"/>
          </w:rPr>
          <w:t>http://www.who.int/medicines/areas/access/OMS_Medicine_prices.pdf</w:t>
        </w:r>
      </w:hyperlink>
    </w:p>
    <w:p w14:paraId="2EA31508" w14:textId="28FD32A1" w:rsidR="005012B9" w:rsidRPr="00486970" w:rsidRDefault="005012B9" w:rsidP="00397ADD">
      <w:pPr>
        <w:numPr>
          <w:ilvl w:val="0"/>
          <w:numId w:val="34"/>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“Defined Daily Dose: Definition and general considerations” (WHO Collaborating Centre for Drug Statistics methodology, 07 February 2018),</w:t>
      </w:r>
      <w:r w:rsidRPr="00486970">
        <w:rPr>
          <w:rFonts w:eastAsia="Times New Roman" w:cstheme="minorHAnsi"/>
          <w:b/>
          <w:bCs/>
          <w:color w:val="4A4A4A"/>
          <w:lang w:val="en-US" w:eastAsia="en-US"/>
        </w:rPr>
        <w:t> </w:t>
      </w:r>
      <w:hyperlink r:id="rId18" w:tgtFrame="_blank" w:history="1">
        <w:r w:rsidRPr="00486970">
          <w:rPr>
            <w:rFonts w:eastAsia="Times New Roman" w:cstheme="minorHAnsi"/>
            <w:color w:val="0000FF"/>
            <w:u w:val="single"/>
            <w:lang w:val="en-US" w:eastAsia="en-US"/>
          </w:rPr>
          <w:t>https://www.whocc.no/ddd/definition_and_general_considera/</w:t>
        </w:r>
      </w:hyperlink>
    </w:p>
    <w:p w14:paraId="416A8D27" w14:textId="64AD56D8" w:rsidR="005012B9" w:rsidRPr="00486970" w:rsidRDefault="005012B9" w:rsidP="00397ADD">
      <w:pPr>
        <w:numPr>
          <w:ilvl w:val="0"/>
          <w:numId w:val="35"/>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“How to define a minimum wage?” (International</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Labour</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Organization, 2018),</w:t>
      </w:r>
      <w:hyperlink r:id="rId19" w:tgtFrame="_blank" w:history="1">
        <w:r w:rsidRPr="00486970">
          <w:rPr>
            <w:rFonts w:eastAsia="Times New Roman" w:cstheme="minorHAnsi"/>
            <w:color w:val="0000FF"/>
            <w:u w:val="single"/>
            <w:lang w:eastAsia="en-US"/>
          </w:rPr>
          <w:t>https://www.ilo.org/global/topics/wages/minimum-wages/definition/lang--en/index.htm</w:t>
        </w:r>
      </w:hyperlink>
    </w:p>
    <w:p w14:paraId="2FB5E251" w14:textId="75028A71" w:rsidR="005012B9" w:rsidRPr="00486970" w:rsidRDefault="005012B9" w:rsidP="00397ADD">
      <w:pPr>
        <w:numPr>
          <w:ilvl w:val="0"/>
          <w:numId w:val="36"/>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World Health Organization,</w:t>
      </w:r>
      <w:r w:rsidR="005B2719">
        <w:rPr>
          <w:rFonts w:eastAsia="Times New Roman" w:cstheme="minorHAnsi"/>
          <w:color w:val="4A4A4A"/>
          <w:lang w:val="en-US" w:eastAsia="en-US"/>
        </w:rPr>
        <w:t xml:space="preserve"> </w:t>
      </w:r>
      <w:r w:rsidRPr="00486970">
        <w:rPr>
          <w:rFonts w:eastAsia="Times New Roman" w:cstheme="minorHAnsi"/>
          <w:i/>
          <w:iCs/>
          <w:color w:val="4A4A4A"/>
          <w:lang w:val="en-US" w:eastAsia="en-US"/>
        </w:rPr>
        <w:t>The Global Burden of Disease: 2004 Update</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(Switzerland, 2008), available from</w:t>
      </w:r>
      <w:hyperlink r:id="rId20" w:tgtFrame="_blank" w:history="1">
        <w:r w:rsidRPr="00486970">
          <w:rPr>
            <w:rFonts w:eastAsia="Times New Roman" w:cstheme="minorHAnsi"/>
            <w:color w:val="0000FF"/>
            <w:u w:val="single"/>
            <w:lang w:eastAsia="en-US"/>
          </w:rPr>
          <w:t>http://www.who.int/healthinfo/global_burden_disease/2004_report_update/en/</w:t>
        </w:r>
      </w:hyperlink>
    </w:p>
    <w:p w14:paraId="6FB80C66" w14:textId="0EBAF6B2" w:rsidR="005012B9" w:rsidRPr="00486970" w:rsidRDefault="005012B9" w:rsidP="00397ADD">
      <w:pPr>
        <w:numPr>
          <w:ilvl w:val="0"/>
          <w:numId w:val="37"/>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“WHO Global Benchmarking Tool (GBT) for evaluation of national regulatory systems” (WHO Essential medicines and health products, 2018), available from</w:t>
      </w:r>
      <w:hyperlink r:id="rId21" w:history="1">
        <w:r w:rsidR="00AC1F56" w:rsidRPr="001B5F83">
          <w:rPr>
            <w:rStyle w:val="Hyperlink"/>
            <w:rFonts w:eastAsia="Times New Roman" w:cstheme="minorHAnsi"/>
            <w:lang w:eastAsia="en-US"/>
          </w:rPr>
          <w:t>http://www.who.int/medicines/regulation/benchmarking_tool/en/</w:t>
        </w:r>
      </w:hyperlink>
      <w:r w:rsidRPr="00486970">
        <w:rPr>
          <w:rFonts w:eastAsia="Times New Roman" w:cstheme="minorHAnsi"/>
          <w:color w:val="4A4A4A"/>
          <w:lang w:val="en-US" w:eastAsia="en-US"/>
        </w:rPr>
        <w:t>.</w:t>
      </w:r>
    </w:p>
    <w:p w14:paraId="02C09022" w14:textId="5E1268DE" w:rsidR="005012B9" w:rsidRPr="00486970" w:rsidRDefault="005012B9" w:rsidP="00397ADD">
      <w:pPr>
        <w:numPr>
          <w:ilvl w:val="0"/>
          <w:numId w:val="38"/>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“Disease burden and mortality estimates” (WHO Health statistics and information systems, 2018), available from</w:t>
      </w:r>
      <w:r w:rsidR="00AC1F56">
        <w:rPr>
          <w:rFonts w:eastAsia="Times New Roman" w:cstheme="minorHAnsi"/>
          <w:b/>
          <w:bCs/>
          <w:lang w:val="en-US" w:eastAsia="en-US"/>
        </w:rPr>
        <w:t xml:space="preserve"> </w:t>
      </w:r>
      <w:hyperlink r:id="rId22" w:history="1">
        <w:r w:rsidR="00AC1F56" w:rsidRPr="001B5F83">
          <w:rPr>
            <w:rStyle w:val="Hyperlink"/>
            <w:rFonts w:eastAsia="Times New Roman" w:cstheme="minorHAnsi"/>
            <w:lang w:eastAsia="en-US"/>
          </w:rPr>
          <w:t>http://www.who.int/healthinfo/global_burden_disease/estimates/en/index1.html</w:t>
        </w:r>
      </w:hyperlink>
      <w:r w:rsidRPr="00486970">
        <w:rPr>
          <w:rFonts w:eastAsia="Times New Roman" w:cstheme="minorHAnsi"/>
          <w:color w:val="4A4A4A"/>
          <w:lang w:eastAsia="en-US"/>
        </w:rPr>
        <w:t>.</w:t>
      </w:r>
    </w:p>
    <w:p w14:paraId="30660B32" w14:textId="3600A7DF" w:rsidR="005012B9" w:rsidRPr="00486970" w:rsidRDefault="005012B9" w:rsidP="00397ADD">
      <w:pPr>
        <w:numPr>
          <w:ilvl w:val="0"/>
          <w:numId w:val="39"/>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val="en-US" w:eastAsia="en-US"/>
        </w:rPr>
        <w:t>Alkire, S. and Robles, G. (2016). “Measuring multidimensional poverty: Dashboards, Union identification, and the Multidimensional Poverty Index (MPI).” OPHI Research in Progress 46a, University of Oxford.</w:t>
      </w:r>
    </w:p>
    <w:p w14:paraId="55C84266" w14:textId="4F817F62" w:rsidR="005012B9" w:rsidRPr="00486970" w:rsidRDefault="005012B9" w:rsidP="00397ADD">
      <w:pPr>
        <w:numPr>
          <w:ilvl w:val="0"/>
          <w:numId w:val="40"/>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“Essential Medicines” (WHO Global Health Observatory data repository, 2016), available from</w:t>
      </w:r>
      <w:r w:rsidR="00AC1F56">
        <w:rPr>
          <w:rFonts w:eastAsia="Times New Roman" w:cstheme="minorHAnsi"/>
          <w:color w:val="4A4A4A"/>
          <w:lang w:val="en-US" w:eastAsia="en-US"/>
        </w:rPr>
        <w:t xml:space="preserve"> </w:t>
      </w:r>
      <w:hyperlink r:id="rId23" w:tgtFrame="_blank" w:history="1">
        <w:r w:rsidRPr="00486970">
          <w:rPr>
            <w:rFonts w:eastAsia="Times New Roman" w:cstheme="minorHAnsi"/>
            <w:color w:val="0000FF"/>
            <w:u w:val="single"/>
            <w:lang w:val="en-US" w:eastAsia="en-US"/>
          </w:rPr>
          <w:t>http://apps.who.int/gho/data/node.main.487</w:t>
        </w:r>
      </w:hyperlink>
      <w:r w:rsidRPr="00486970">
        <w:rPr>
          <w:rFonts w:eastAsia="Times New Roman" w:cstheme="minorHAnsi"/>
          <w:color w:val="4A4A4A"/>
          <w:lang w:val="en-US" w:eastAsia="en-US"/>
        </w:rPr>
        <w:t>.</w:t>
      </w:r>
    </w:p>
    <w:p w14:paraId="7EA82D99" w14:textId="468F3C71" w:rsidR="005012B9" w:rsidRPr="00486970" w:rsidRDefault="005012B9" w:rsidP="00397ADD">
      <w:pPr>
        <w:numPr>
          <w:ilvl w:val="0"/>
          <w:numId w:val="41"/>
        </w:numPr>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Health</w:t>
      </w:r>
      <w:r w:rsidR="00AC1F56">
        <w:rPr>
          <w:rFonts w:eastAsia="Times New Roman" w:cstheme="minorHAnsi"/>
          <w:color w:val="4A4A4A"/>
          <w:lang w:val="en-US" w:eastAsia="en-US"/>
        </w:rPr>
        <w:t xml:space="preserve"> </w:t>
      </w:r>
      <w:r w:rsidRPr="00486970">
        <w:rPr>
          <w:rFonts w:eastAsia="Times New Roman" w:cstheme="minorHAnsi"/>
          <w:color w:val="4A4A4A"/>
          <w:lang w:val="en-US" w:eastAsia="en-US"/>
        </w:rPr>
        <w:t>at a Glance</w:t>
      </w:r>
      <w:r w:rsidR="00AC1F56">
        <w:rPr>
          <w:rFonts w:eastAsia="Times New Roman" w:cstheme="minorHAnsi"/>
          <w:color w:val="4A4A4A"/>
          <w:lang w:val="en-US" w:eastAsia="en-US"/>
        </w:rPr>
        <w:t xml:space="preserve"> </w:t>
      </w:r>
      <w:r w:rsidRPr="00486970">
        <w:rPr>
          <w:rFonts w:eastAsia="Times New Roman" w:cstheme="minorHAnsi"/>
          <w:color w:val="4A4A4A"/>
          <w:lang w:val="en-US" w:eastAsia="en-US"/>
        </w:rPr>
        <w:t>2017: OECD Indicators, OECD (2017). OECD Publishing, Paris</w:t>
      </w:r>
      <w:r w:rsidR="00AC1F56">
        <w:rPr>
          <w:rFonts w:eastAsia="Times New Roman" w:cstheme="minorHAnsi"/>
          <w:color w:val="4A4A4A"/>
          <w:lang w:val="en-US" w:eastAsia="en-US"/>
        </w:rPr>
        <w:t xml:space="preserve"> </w:t>
      </w:r>
      <w:hyperlink r:id="rId24" w:tgtFrame="_blank" w:history="1">
        <w:r w:rsidRPr="00486970">
          <w:rPr>
            <w:rFonts w:eastAsia="Times New Roman" w:cstheme="minorHAnsi"/>
            <w:color w:val="0000FF"/>
            <w:u w:val="single"/>
            <w:lang w:val="en-US" w:eastAsia="en-US"/>
          </w:rPr>
          <w:t>https://doi.org/10.1787/health_glance-2017-en</w:t>
        </w:r>
      </w:hyperlink>
      <w:r w:rsidRPr="00486970">
        <w:rPr>
          <w:rFonts w:eastAsia="Times New Roman" w:cstheme="minorHAnsi"/>
          <w:color w:val="0000FF"/>
          <w:u w:val="single"/>
          <w:lang w:val="en-US" w:eastAsia="en-US"/>
        </w:rPr>
        <w:t>.</w:t>
      </w:r>
    </w:p>
    <w:p w14:paraId="707C74D8" w14:textId="719B7781" w:rsidR="009443FF" w:rsidRPr="00486970" w:rsidRDefault="009443FF">
      <w:pPr>
        <w:rPr>
          <w:rFonts w:cstheme="minorHAnsi"/>
        </w:rPr>
      </w:pPr>
    </w:p>
    <w:tbl>
      <w:tblPr>
        <w:tblStyle w:val="TableGrid1"/>
        <w:tblpPr w:leftFromText="180" w:rightFromText="180" w:vertAnchor="text" w:horzAnchor="margin" w:tblpXSpec="center" w:tblpY="-889"/>
        <w:tblW w:w="11283" w:type="dxa"/>
        <w:tblLook w:val="04A0" w:firstRow="1" w:lastRow="0" w:firstColumn="1" w:lastColumn="0" w:noHBand="0" w:noVBand="1"/>
      </w:tblPr>
      <w:tblGrid>
        <w:gridCol w:w="4923"/>
        <w:gridCol w:w="1540"/>
        <w:gridCol w:w="4820"/>
      </w:tblGrid>
      <w:tr w:rsidR="009443FF" w:rsidRPr="00486970" w14:paraId="0687BFA3" w14:textId="77777777" w:rsidTr="00D942BA">
        <w:trPr>
          <w:trHeight w:val="288"/>
          <w:tblHeader/>
        </w:trPr>
        <w:tc>
          <w:tcPr>
            <w:tcW w:w="4923" w:type="dxa"/>
            <w:noWrap/>
            <w:hideMark/>
          </w:tcPr>
          <w:p w14:paraId="42A21D5E" w14:textId="77777777" w:rsidR="009443FF" w:rsidRPr="00486970" w:rsidRDefault="009443FF" w:rsidP="00D942BA">
            <w:pPr>
              <w:jc w:val="center"/>
              <w:rPr>
                <w:rFonts w:cstheme="minorHAnsi"/>
                <w:b/>
                <w:bCs/>
                <w:u w:val="single"/>
              </w:rPr>
            </w:pPr>
            <w:r w:rsidRPr="00486970">
              <w:rPr>
                <w:rFonts w:cstheme="minorHAnsi"/>
                <w:b/>
                <w:bCs/>
                <w:u w:val="single"/>
              </w:rPr>
              <w:lastRenderedPageBreak/>
              <w:t>Medicine</w:t>
            </w:r>
          </w:p>
        </w:tc>
        <w:tc>
          <w:tcPr>
            <w:tcW w:w="1540" w:type="dxa"/>
            <w:noWrap/>
            <w:hideMark/>
          </w:tcPr>
          <w:p w14:paraId="604D6667" w14:textId="77777777" w:rsidR="009443FF" w:rsidRPr="00486970" w:rsidRDefault="009443FF" w:rsidP="00D942BA">
            <w:pPr>
              <w:jc w:val="center"/>
              <w:rPr>
                <w:rFonts w:cstheme="minorHAnsi"/>
                <w:b/>
                <w:bCs/>
                <w:u w:val="single"/>
              </w:rPr>
            </w:pPr>
            <w:r w:rsidRPr="00486970">
              <w:rPr>
                <w:rFonts w:cstheme="minorHAnsi"/>
                <w:b/>
                <w:bCs/>
                <w:u w:val="single"/>
              </w:rPr>
              <w:t>Category (Therapeutic group)</w:t>
            </w:r>
          </w:p>
        </w:tc>
        <w:tc>
          <w:tcPr>
            <w:tcW w:w="4820" w:type="dxa"/>
            <w:noWrap/>
            <w:hideMark/>
          </w:tcPr>
          <w:p w14:paraId="145E73A8" w14:textId="77777777" w:rsidR="009443FF" w:rsidRPr="00486970" w:rsidRDefault="009443FF" w:rsidP="00D942BA">
            <w:pPr>
              <w:rPr>
                <w:rFonts w:cstheme="minorHAnsi"/>
                <w:b/>
                <w:bCs/>
                <w:u w:val="single"/>
              </w:rPr>
            </w:pPr>
            <w:r w:rsidRPr="00486970">
              <w:rPr>
                <w:rFonts w:cstheme="minorHAnsi"/>
                <w:b/>
                <w:bCs/>
                <w:u w:val="single"/>
              </w:rPr>
              <w:t>Justification</w:t>
            </w:r>
          </w:p>
        </w:tc>
      </w:tr>
      <w:tr w:rsidR="009443FF" w:rsidRPr="00486970" w14:paraId="75CFB5AC" w14:textId="77777777" w:rsidTr="00D942BA">
        <w:trPr>
          <w:trHeight w:val="900"/>
        </w:trPr>
        <w:tc>
          <w:tcPr>
            <w:tcW w:w="4923" w:type="dxa"/>
            <w:noWrap/>
            <w:hideMark/>
          </w:tcPr>
          <w:p w14:paraId="20CF8E42" w14:textId="77777777" w:rsidR="009443FF" w:rsidRPr="00486970" w:rsidRDefault="009443FF" w:rsidP="00D942BA">
            <w:pPr>
              <w:rPr>
                <w:rFonts w:cstheme="minorHAnsi"/>
                <w:sz w:val="20"/>
                <w:szCs w:val="20"/>
              </w:rPr>
            </w:pPr>
            <w:r w:rsidRPr="00486970">
              <w:rPr>
                <w:rFonts w:cstheme="minorHAnsi"/>
                <w:sz w:val="20"/>
                <w:szCs w:val="20"/>
              </w:rPr>
              <w:t>Salbutamol (100 mcg/dose inhaler)</w:t>
            </w:r>
          </w:p>
        </w:tc>
        <w:tc>
          <w:tcPr>
            <w:tcW w:w="1540" w:type="dxa"/>
            <w:noWrap/>
            <w:hideMark/>
          </w:tcPr>
          <w:p w14:paraId="55913CBD" w14:textId="77777777" w:rsidR="009443FF" w:rsidRPr="00486970" w:rsidRDefault="009443FF" w:rsidP="00D942BA">
            <w:pPr>
              <w:rPr>
                <w:rFonts w:cstheme="minorHAnsi"/>
                <w:sz w:val="20"/>
                <w:szCs w:val="20"/>
              </w:rPr>
            </w:pPr>
            <w:r w:rsidRPr="00486970">
              <w:rPr>
                <w:rFonts w:cstheme="minorHAnsi"/>
                <w:sz w:val="20"/>
                <w:szCs w:val="20"/>
              </w:rPr>
              <w:t>NCD - Respiratory</w:t>
            </w:r>
          </w:p>
        </w:tc>
        <w:tc>
          <w:tcPr>
            <w:tcW w:w="4820" w:type="dxa"/>
            <w:hideMark/>
          </w:tcPr>
          <w:p w14:paraId="3FD3F26E"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Salbutamol, a short acting beta-2 agonist, is recommended for prophylaxis and the first-line treatment of bronchospasm in asthma and COPD. It is recommended for all patients with acute severe asthma. </w:t>
            </w:r>
          </w:p>
          <w:p w14:paraId="410842A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5"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26"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 xml:space="preserve"> </w:t>
            </w:r>
          </w:p>
          <w:p w14:paraId="74F1A83A"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25.1</w:t>
            </w:r>
          </w:p>
        </w:tc>
      </w:tr>
      <w:tr w:rsidR="009443FF" w:rsidRPr="00486970" w14:paraId="49DBBC87" w14:textId="77777777" w:rsidTr="00D942BA">
        <w:trPr>
          <w:trHeight w:val="900"/>
        </w:trPr>
        <w:tc>
          <w:tcPr>
            <w:tcW w:w="4923" w:type="dxa"/>
            <w:noWrap/>
            <w:hideMark/>
          </w:tcPr>
          <w:p w14:paraId="3C798A62" w14:textId="77777777" w:rsidR="009443FF" w:rsidRPr="00486970" w:rsidRDefault="009443FF" w:rsidP="00D942BA">
            <w:pPr>
              <w:rPr>
                <w:rFonts w:cstheme="minorHAnsi"/>
                <w:sz w:val="20"/>
                <w:szCs w:val="20"/>
              </w:rPr>
            </w:pPr>
            <w:r w:rsidRPr="00486970">
              <w:rPr>
                <w:rFonts w:cstheme="minorHAnsi"/>
                <w:sz w:val="20"/>
                <w:szCs w:val="20"/>
              </w:rPr>
              <w:t>Beclometasone (100 mcg/dose inhaler) or other corticosteroid inhaler</w:t>
            </w:r>
          </w:p>
          <w:p w14:paraId="1DBEB808" w14:textId="77777777" w:rsidR="009443FF" w:rsidRPr="00486970" w:rsidRDefault="009443FF" w:rsidP="00D942BA">
            <w:pPr>
              <w:rPr>
                <w:rFonts w:cstheme="minorHAnsi"/>
                <w:sz w:val="20"/>
                <w:szCs w:val="20"/>
              </w:rPr>
            </w:pPr>
          </w:p>
          <w:p w14:paraId="38A6C9FF" w14:textId="77777777" w:rsidR="009443FF" w:rsidRPr="00486970" w:rsidRDefault="009443FF" w:rsidP="00D942BA">
            <w:pPr>
              <w:rPr>
                <w:rFonts w:cstheme="minorHAnsi"/>
                <w:sz w:val="20"/>
                <w:szCs w:val="20"/>
              </w:rPr>
            </w:pPr>
          </w:p>
          <w:p w14:paraId="71A0133A" w14:textId="77777777" w:rsidR="009443FF" w:rsidRPr="00486970" w:rsidRDefault="009443FF" w:rsidP="00D942BA">
            <w:pPr>
              <w:rPr>
                <w:rFonts w:cstheme="minorHAnsi"/>
                <w:sz w:val="20"/>
                <w:szCs w:val="20"/>
              </w:rPr>
            </w:pPr>
            <w:r w:rsidRPr="00486970">
              <w:rPr>
                <w:rFonts w:cstheme="minorHAnsi"/>
                <w:sz w:val="20"/>
                <w:szCs w:val="20"/>
              </w:rPr>
              <w:t xml:space="preserve">Alternatives would include, but not be limited to, budesonide, fluticasone, ciclesonide.  Refer to ATC group R03BA - </w:t>
            </w:r>
          </w:p>
          <w:p w14:paraId="250E7EE0" w14:textId="77777777" w:rsidR="009443FF" w:rsidRPr="00486970" w:rsidRDefault="009443FF" w:rsidP="00D942BA">
            <w:pPr>
              <w:rPr>
                <w:rFonts w:cstheme="minorHAnsi"/>
                <w:sz w:val="20"/>
                <w:szCs w:val="20"/>
              </w:rPr>
            </w:pPr>
          </w:p>
        </w:tc>
        <w:tc>
          <w:tcPr>
            <w:tcW w:w="1540" w:type="dxa"/>
            <w:noWrap/>
            <w:hideMark/>
          </w:tcPr>
          <w:p w14:paraId="382612F2" w14:textId="77777777" w:rsidR="009443FF" w:rsidRPr="00486970" w:rsidRDefault="009443FF" w:rsidP="00D942BA">
            <w:pPr>
              <w:rPr>
                <w:rFonts w:cstheme="minorHAnsi"/>
                <w:sz w:val="20"/>
                <w:szCs w:val="20"/>
              </w:rPr>
            </w:pPr>
            <w:r w:rsidRPr="00486970">
              <w:rPr>
                <w:rFonts w:cstheme="minorHAnsi"/>
                <w:sz w:val="20"/>
                <w:szCs w:val="20"/>
              </w:rPr>
              <w:t>NCD - Respiratory</w:t>
            </w:r>
          </w:p>
        </w:tc>
        <w:tc>
          <w:tcPr>
            <w:tcW w:w="4820" w:type="dxa"/>
            <w:hideMark/>
          </w:tcPr>
          <w:p w14:paraId="27B190E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Inhaled corticosteroids are indicated for maintenance treatment of asthma symptoms by reducing inflammation and reducing airways hyper-responsiveness.  These do not provide symptomatic relief in acute asthma.  Beclometasone is a representative antiasthmatic in the WHO EML. </w:t>
            </w:r>
          </w:p>
          <w:p w14:paraId="6210B03A"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7"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28"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 xml:space="preserve"> </w:t>
            </w:r>
          </w:p>
          <w:p w14:paraId="354597C2"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25.1</w:t>
            </w:r>
          </w:p>
        </w:tc>
      </w:tr>
      <w:tr w:rsidR="009443FF" w:rsidRPr="00486970" w14:paraId="375A135A" w14:textId="77777777" w:rsidTr="00D942BA">
        <w:trPr>
          <w:trHeight w:val="2259"/>
        </w:trPr>
        <w:tc>
          <w:tcPr>
            <w:tcW w:w="4923" w:type="dxa"/>
            <w:noWrap/>
            <w:hideMark/>
          </w:tcPr>
          <w:p w14:paraId="0DDC52B9" w14:textId="77777777" w:rsidR="009443FF" w:rsidRPr="00486970" w:rsidRDefault="009443FF" w:rsidP="00D942BA">
            <w:pPr>
              <w:rPr>
                <w:rFonts w:cstheme="minorHAnsi"/>
                <w:sz w:val="20"/>
                <w:szCs w:val="20"/>
              </w:rPr>
            </w:pPr>
            <w:r w:rsidRPr="00486970">
              <w:rPr>
                <w:rFonts w:cstheme="minorHAnsi"/>
                <w:sz w:val="20"/>
                <w:szCs w:val="20"/>
              </w:rPr>
              <w:t>Gliclazide (80 mg cap/tab) or other sulfonylurea</w:t>
            </w:r>
          </w:p>
          <w:p w14:paraId="585E4837" w14:textId="77777777" w:rsidR="009443FF" w:rsidRPr="00486970" w:rsidRDefault="009443FF" w:rsidP="00D942BA">
            <w:pPr>
              <w:rPr>
                <w:rFonts w:cstheme="minorHAnsi"/>
                <w:sz w:val="20"/>
                <w:szCs w:val="20"/>
              </w:rPr>
            </w:pPr>
          </w:p>
          <w:p w14:paraId="34054AFC" w14:textId="77777777" w:rsidR="009443FF" w:rsidRPr="00486970" w:rsidRDefault="009443FF" w:rsidP="00D942BA">
            <w:pPr>
              <w:rPr>
                <w:rFonts w:cstheme="minorHAnsi"/>
                <w:sz w:val="20"/>
                <w:szCs w:val="20"/>
              </w:rPr>
            </w:pPr>
            <w:r w:rsidRPr="00486970">
              <w:rPr>
                <w:rFonts w:cstheme="minorHAnsi"/>
                <w:sz w:val="20"/>
                <w:szCs w:val="20"/>
              </w:rPr>
              <w:t xml:space="preserve">Alternatives would include but not be limited to glibenclamide, glimepiride.  Refer to ATC group A10BB </w:t>
            </w:r>
          </w:p>
        </w:tc>
        <w:tc>
          <w:tcPr>
            <w:tcW w:w="1540" w:type="dxa"/>
            <w:noWrap/>
            <w:hideMark/>
          </w:tcPr>
          <w:p w14:paraId="4A1A79B1"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74BB5476"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Second generation sulfonylureas (SFUs) increase the release of insulin from the pancreas to relieve the hyperglycaemia associated with diabetes. SFUs are useful in patients unable to tolerate metformin, or not adequately controlled on metformin.  These are among the main therapies for most patients with type 2 diabetes, but contraindicated for patients with type 1 diabetes. However, it should be noted that glibenclamide has associated with higher levels of hypoglycaemia compared with gliclazide.  Gliclazide is the representative sulfonylurea in the WHO EML.</w:t>
            </w:r>
          </w:p>
          <w:p w14:paraId="51A438EA"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9"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0" w:history="1">
              <w:r w:rsidRPr="00486970">
                <w:rPr>
                  <w:rFonts w:cstheme="minorHAnsi"/>
                  <w:color w:val="0000FF" w:themeColor="hyperlink"/>
                  <w:sz w:val="20"/>
                  <w:szCs w:val="20"/>
                  <w:u w:val="single"/>
                </w:rPr>
                <w:t>Guidelines for primary health care in low-resource settings</w:t>
              </w:r>
            </w:hyperlink>
          </w:p>
          <w:p w14:paraId="24284133"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664C2DC9" w14:textId="77777777" w:rsidTr="00D942BA">
        <w:trPr>
          <w:trHeight w:val="1200"/>
        </w:trPr>
        <w:tc>
          <w:tcPr>
            <w:tcW w:w="4923" w:type="dxa"/>
            <w:noWrap/>
            <w:hideMark/>
          </w:tcPr>
          <w:p w14:paraId="15A524A9" w14:textId="77777777" w:rsidR="009443FF" w:rsidRPr="00486970" w:rsidRDefault="009443FF" w:rsidP="00D942BA">
            <w:pPr>
              <w:rPr>
                <w:rFonts w:cstheme="minorHAnsi"/>
                <w:sz w:val="20"/>
                <w:szCs w:val="20"/>
              </w:rPr>
            </w:pPr>
            <w:r w:rsidRPr="00486970">
              <w:rPr>
                <w:rFonts w:cstheme="minorHAnsi"/>
                <w:sz w:val="20"/>
                <w:szCs w:val="20"/>
              </w:rPr>
              <w:t xml:space="preserve">Metformin (500 mg cap/tab, 850 mg cap/tab  or 1 g cap/tab) </w:t>
            </w:r>
          </w:p>
        </w:tc>
        <w:tc>
          <w:tcPr>
            <w:tcW w:w="1540" w:type="dxa"/>
            <w:noWrap/>
            <w:hideMark/>
          </w:tcPr>
          <w:p w14:paraId="7B7C2D60"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65E5AEBD"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Metformin, an oral anti-diabetic medicine, can be used in patients with type 2 diabetes as a monotherapy or in combination with sulfonylureas.</w:t>
            </w:r>
          </w:p>
          <w:p w14:paraId="376D7409" w14:textId="77777777" w:rsidR="009443FF" w:rsidRPr="00486970" w:rsidRDefault="009443FF" w:rsidP="00D942BA">
            <w:pPr>
              <w:tabs>
                <w:tab w:val="right" w:pos="4554"/>
              </w:tabs>
              <w:rPr>
                <w:rFonts w:cstheme="minorHAnsi"/>
                <w:b/>
                <w:sz w:val="20"/>
                <w:szCs w:val="20"/>
              </w:rPr>
            </w:pPr>
            <w:r w:rsidRPr="00486970">
              <w:rPr>
                <w:rFonts w:cstheme="minorHAnsi"/>
                <w:b/>
                <w:sz w:val="20"/>
                <w:szCs w:val="20"/>
              </w:rPr>
              <w:t xml:space="preserve">Treatment References: </w:t>
            </w:r>
            <w:hyperlink r:id="rId31"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2"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ab/>
            </w:r>
          </w:p>
          <w:p w14:paraId="7D093BE8"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64347ED1" w14:textId="77777777" w:rsidTr="00D942BA">
        <w:trPr>
          <w:trHeight w:val="900"/>
        </w:trPr>
        <w:tc>
          <w:tcPr>
            <w:tcW w:w="4923" w:type="dxa"/>
            <w:noWrap/>
            <w:hideMark/>
          </w:tcPr>
          <w:p w14:paraId="138577A0" w14:textId="77777777" w:rsidR="009443FF" w:rsidRPr="00486970" w:rsidRDefault="009443FF" w:rsidP="00D942BA">
            <w:pPr>
              <w:rPr>
                <w:rFonts w:cstheme="minorHAnsi"/>
                <w:sz w:val="20"/>
                <w:szCs w:val="20"/>
              </w:rPr>
            </w:pPr>
            <w:r w:rsidRPr="00486970">
              <w:rPr>
                <w:rFonts w:cstheme="minorHAnsi"/>
                <w:sz w:val="20"/>
                <w:szCs w:val="20"/>
              </w:rPr>
              <w:t>Insulin regular, soluble (100 IU/ml injection)</w:t>
            </w:r>
          </w:p>
        </w:tc>
        <w:tc>
          <w:tcPr>
            <w:tcW w:w="1540" w:type="dxa"/>
            <w:noWrap/>
            <w:hideMark/>
          </w:tcPr>
          <w:p w14:paraId="024AF56B"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10B5B781" w14:textId="77777777" w:rsidR="009443FF" w:rsidRPr="00486970" w:rsidRDefault="009443FF" w:rsidP="00D942BA">
            <w:pPr>
              <w:rPr>
                <w:rFonts w:cstheme="minorHAnsi"/>
                <w:sz w:val="20"/>
                <w:szCs w:val="20"/>
              </w:rPr>
            </w:pPr>
            <w:r w:rsidRPr="00486970">
              <w:rPr>
                <w:rFonts w:cstheme="minorHAnsi"/>
                <w:b/>
                <w:sz w:val="20"/>
                <w:szCs w:val="20"/>
              </w:rPr>
              <w:t xml:space="preserve">Rationale: </w:t>
            </w:r>
            <w:r w:rsidRPr="00486970">
              <w:rPr>
                <w:rFonts w:cstheme="minorHAnsi"/>
                <w:sz w:val="20"/>
                <w:szCs w:val="20"/>
              </w:rPr>
              <w:t>Regular human insulin, a rapid acting insulin, is necessary for all patients with type 1 and more than 10% of patients with type 2 diabetes. It is currently more affordable to health systems than other long-acting or analogue insulins.</w:t>
            </w:r>
          </w:p>
          <w:p w14:paraId="264D9B18"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3" w:history="1">
              <w:r w:rsidRPr="00486970">
                <w:rPr>
                  <w:rFonts w:cstheme="minorHAnsi"/>
                  <w:color w:val="0000FF" w:themeColor="hyperlink"/>
                  <w:sz w:val="20"/>
                  <w:szCs w:val="20"/>
                  <w:u w:val="single"/>
                </w:rPr>
                <w:t>WHO PEN 5.b</w:t>
              </w:r>
            </w:hyperlink>
          </w:p>
          <w:p w14:paraId="0A43C04A"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2406B42C" w14:textId="77777777" w:rsidTr="00D942BA">
        <w:trPr>
          <w:trHeight w:val="600"/>
        </w:trPr>
        <w:tc>
          <w:tcPr>
            <w:tcW w:w="4923" w:type="dxa"/>
            <w:noWrap/>
            <w:hideMark/>
          </w:tcPr>
          <w:p w14:paraId="4CF21102" w14:textId="77777777" w:rsidR="009443FF" w:rsidRPr="00486970" w:rsidRDefault="009443FF" w:rsidP="00D942BA">
            <w:pPr>
              <w:rPr>
                <w:rFonts w:cstheme="minorHAnsi"/>
                <w:sz w:val="20"/>
                <w:szCs w:val="20"/>
              </w:rPr>
            </w:pPr>
            <w:r w:rsidRPr="00486970">
              <w:rPr>
                <w:rFonts w:cstheme="minorHAnsi"/>
                <w:sz w:val="20"/>
                <w:szCs w:val="20"/>
              </w:rPr>
              <w:t>Two of the following antihypertensive:</w:t>
            </w:r>
          </w:p>
          <w:p w14:paraId="7D8367F1"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Amlodipine (5 mg cap/tab)</w:t>
            </w:r>
          </w:p>
          <w:p w14:paraId="3537902C"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Enalapril (5 mg cap/tab) or other angiotensin converting enzyme inhibitor (ACEI).  Refer to ATC group C09AA.</w:t>
            </w:r>
          </w:p>
          <w:p w14:paraId="2FA2B922"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 xml:space="preserve">Hydrochlorothiazide (25 mg cap/tab) or Chlorthalidone (25 mg cap/tab) </w:t>
            </w:r>
          </w:p>
          <w:p w14:paraId="10A51C54"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 xml:space="preserve">Bisoprolol (5 mg cap/tab) or alternative betablocker (atenolol or carvedilol or metoprolol only) </w:t>
            </w:r>
          </w:p>
          <w:p w14:paraId="293C873A" w14:textId="77777777" w:rsidR="009443FF" w:rsidRPr="00486970" w:rsidRDefault="009443FF" w:rsidP="00D942BA">
            <w:pPr>
              <w:ind w:left="360"/>
              <w:rPr>
                <w:rFonts w:cstheme="minorHAnsi"/>
                <w:sz w:val="20"/>
                <w:szCs w:val="20"/>
              </w:rPr>
            </w:pPr>
          </w:p>
        </w:tc>
        <w:tc>
          <w:tcPr>
            <w:tcW w:w="1540" w:type="dxa"/>
            <w:noWrap/>
            <w:hideMark/>
          </w:tcPr>
          <w:p w14:paraId="121C8534" w14:textId="77777777" w:rsidR="009443FF" w:rsidRPr="00486970" w:rsidRDefault="009443FF" w:rsidP="00D942BA">
            <w:pPr>
              <w:rPr>
                <w:rFonts w:cstheme="minorHAnsi"/>
                <w:sz w:val="20"/>
                <w:szCs w:val="20"/>
              </w:rPr>
            </w:pPr>
            <w:r w:rsidRPr="00486970">
              <w:rPr>
                <w:rFonts w:cstheme="minorHAnsi"/>
                <w:sz w:val="20"/>
                <w:szCs w:val="20"/>
              </w:rPr>
              <w:t>NCD - Cardiovascular</w:t>
            </w:r>
          </w:p>
        </w:tc>
        <w:tc>
          <w:tcPr>
            <w:tcW w:w="4820" w:type="dxa"/>
            <w:hideMark/>
          </w:tcPr>
          <w:p w14:paraId="6B2EDA27"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p>
          <w:p w14:paraId="7F740832" w14:textId="77777777" w:rsidR="009443FF" w:rsidRPr="00486970" w:rsidRDefault="009443FF" w:rsidP="00D942BA">
            <w:pPr>
              <w:rPr>
                <w:rFonts w:cstheme="minorHAnsi"/>
                <w:sz w:val="20"/>
                <w:szCs w:val="20"/>
              </w:rPr>
            </w:pPr>
            <w:r w:rsidRPr="00486970">
              <w:rPr>
                <w:rFonts w:cstheme="minorHAnsi"/>
                <w:sz w:val="20"/>
                <w:szCs w:val="20"/>
              </w:rPr>
              <w:t xml:space="preserve">Calcium channel blockers (CBB) are among the first-line treatment options for patients with hypertension.  Amlodipine is the representative CCB in the WHO EML. </w:t>
            </w:r>
          </w:p>
          <w:p w14:paraId="216B5416" w14:textId="77777777" w:rsidR="009443FF" w:rsidRPr="00486970" w:rsidRDefault="009443FF" w:rsidP="00D942BA">
            <w:pPr>
              <w:rPr>
                <w:rFonts w:cstheme="minorHAnsi"/>
                <w:sz w:val="20"/>
                <w:szCs w:val="20"/>
              </w:rPr>
            </w:pPr>
            <w:r w:rsidRPr="00486970">
              <w:rPr>
                <w:rFonts w:cstheme="minorHAnsi"/>
                <w:sz w:val="20"/>
                <w:szCs w:val="20"/>
              </w:rPr>
              <w:t>ACEIs are among first-line treatment options for patients with hypertension.  ACEIs are also used in the management of heart failure.  Enalapril is the representative ACEI in the WHO EML.</w:t>
            </w:r>
          </w:p>
          <w:p w14:paraId="2D859574" w14:textId="77777777" w:rsidR="009443FF" w:rsidRPr="00486970" w:rsidRDefault="009443FF" w:rsidP="00D942BA">
            <w:pPr>
              <w:rPr>
                <w:rFonts w:cstheme="minorHAnsi"/>
                <w:sz w:val="20"/>
                <w:szCs w:val="20"/>
              </w:rPr>
            </w:pPr>
            <w:r w:rsidRPr="00486970">
              <w:rPr>
                <w:rFonts w:cstheme="minorHAnsi"/>
                <w:sz w:val="20"/>
                <w:szCs w:val="20"/>
              </w:rPr>
              <w:t xml:space="preserve">Thiazide diuretics are among the first-line treatment options for patients with hypertension. Thiazides are </w:t>
            </w:r>
            <w:r w:rsidRPr="00486970">
              <w:rPr>
                <w:rFonts w:cstheme="minorHAnsi"/>
                <w:sz w:val="20"/>
                <w:szCs w:val="20"/>
              </w:rPr>
              <w:lastRenderedPageBreak/>
              <w:t>also used as the management of heart failure.  Hydrochlorothiazide is the representative thiazide diuretic in the WHO EML.</w:t>
            </w:r>
          </w:p>
          <w:p w14:paraId="78C34539" w14:textId="77777777" w:rsidR="009443FF" w:rsidRPr="00486970" w:rsidRDefault="009443FF" w:rsidP="00D942BA">
            <w:pPr>
              <w:rPr>
                <w:rFonts w:cstheme="minorHAnsi"/>
                <w:sz w:val="20"/>
                <w:szCs w:val="20"/>
              </w:rPr>
            </w:pPr>
            <w:r w:rsidRPr="00486970">
              <w:rPr>
                <w:rFonts w:cstheme="minorHAnsi"/>
                <w:sz w:val="20"/>
                <w:szCs w:val="20"/>
              </w:rPr>
              <w:t xml:space="preserve">Beta-blockers are among the recommended treatment options for patients with hypertension, angina, cardiac arrhythmias or heart failure.  Bisoprolol is the representative beta-blocker in the WHO EML. </w:t>
            </w:r>
          </w:p>
          <w:p w14:paraId="7643A3D9"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4" w:history="1">
              <w:r w:rsidRPr="00486970">
                <w:rPr>
                  <w:rFonts w:cstheme="minorHAnsi"/>
                  <w:color w:val="0000FF" w:themeColor="hyperlink"/>
                  <w:sz w:val="20"/>
                  <w:szCs w:val="20"/>
                  <w:u w:val="single"/>
                </w:rPr>
                <w:t>WHO PEN 5.b</w:t>
              </w:r>
            </w:hyperlink>
            <w:r w:rsidRPr="00486970">
              <w:rPr>
                <w:rFonts w:cstheme="minorHAnsi"/>
                <w:color w:val="0000FF" w:themeColor="hyperlink"/>
                <w:sz w:val="20"/>
                <w:szCs w:val="20"/>
                <w:u w:val="single"/>
              </w:rPr>
              <w:t xml:space="preserve">, WHO </w:t>
            </w:r>
            <w:hyperlink r:id="rId35" w:history="1">
              <w:r w:rsidRPr="00486970">
                <w:rPr>
                  <w:rFonts w:cstheme="minorHAnsi"/>
                  <w:color w:val="0000FF" w:themeColor="hyperlink"/>
                  <w:sz w:val="20"/>
                  <w:szCs w:val="20"/>
                  <w:u w:val="single"/>
                </w:rPr>
                <w:t>Guidelines for primary health care in low-resource settings</w:t>
              </w:r>
            </w:hyperlink>
          </w:p>
          <w:p w14:paraId="1BF1BDAF"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12.3, 12.4</w:t>
            </w:r>
          </w:p>
        </w:tc>
      </w:tr>
      <w:tr w:rsidR="009443FF" w:rsidRPr="00486970" w14:paraId="21B8FD9C" w14:textId="77777777" w:rsidTr="00D942BA">
        <w:trPr>
          <w:trHeight w:val="600"/>
        </w:trPr>
        <w:tc>
          <w:tcPr>
            <w:tcW w:w="4923" w:type="dxa"/>
            <w:noWrap/>
          </w:tcPr>
          <w:p w14:paraId="303ACE68" w14:textId="77777777" w:rsidR="009443FF" w:rsidRPr="00486970" w:rsidRDefault="009443FF" w:rsidP="00D942BA">
            <w:pPr>
              <w:rPr>
                <w:rFonts w:cstheme="minorHAnsi"/>
                <w:sz w:val="20"/>
                <w:szCs w:val="20"/>
              </w:rPr>
            </w:pPr>
            <w:r w:rsidRPr="00486970">
              <w:rPr>
                <w:rFonts w:cstheme="minorHAnsi"/>
                <w:sz w:val="20"/>
                <w:szCs w:val="20"/>
              </w:rPr>
              <w:t>Simvastatin (20 mg cap/tab) or other statin.  Refer to ATC group C10AA.</w:t>
            </w:r>
          </w:p>
        </w:tc>
        <w:tc>
          <w:tcPr>
            <w:tcW w:w="1540" w:type="dxa"/>
            <w:noWrap/>
          </w:tcPr>
          <w:p w14:paraId="5B0D3E20" w14:textId="77777777" w:rsidR="009443FF" w:rsidRPr="00486970" w:rsidRDefault="009443FF" w:rsidP="00D942BA">
            <w:pPr>
              <w:rPr>
                <w:rFonts w:cstheme="minorHAnsi"/>
                <w:sz w:val="20"/>
                <w:szCs w:val="20"/>
              </w:rPr>
            </w:pPr>
            <w:r w:rsidRPr="00486970">
              <w:rPr>
                <w:rFonts w:cstheme="minorHAnsi"/>
                <w:sz w:val="20"/>
                <w:szCs w:val="20"/>
              </w:rPr>
              <w:t>NCD - Cardiovascular</w:t>
            </w:r>
          </w:p>
        </w:tc>
        <w:tc>
          <w:tcPr>
            <w:tcW w:w="4820" w:type="dxa"/>
          </w:tcPr>
          <w:p w14:paraId="2615435E"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Statins, lipid-lowering medicines, are used to reduce the risk of coronary heart disease, including fatal and non-fatal myocardial infarction and stroke.  Simvastatin is the representative statin in the WHO EML.</w:t>
            </w:r>
          </w:p>
          <w:p w14:paraId="18C63CA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6"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7" w:history="1">
              <w:r w:rsidRPr="00486970">
                <w:rPr>
                  <w:rFonts w:cstheme="minorHAnsi"/>
                  <w:color w:val="0000FF" w:themeColor="hyperlink"/>
                  <w:sz w:val="20"/>
                  <w:szCs w:val="20"/>
                  <w:u w:val="single"/>
                </w:rPr>
                <w:t>Guidelines for primary health care in low-resource settings</w:t>
              </w:r>
            </w:hyperlink>
          </w:p>
          <w:p w14:paraId="08117B6F"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bCs/>
                <w:sz w:val="20"/>
                <w:szCs w:val="20"/>
              </w:rPr>
              <w:t>12.6</w:t>
            </w:r>
          </w:p>
        </w:tc>
      </w:tr>
      <w:tr w:rsidR="009443FF" w:rsidRPr="00486970" w14:paraId="4C37FC9B" w14:textId="77777777" w:rsidTr="00D942BA">
        <w:trPr>
          <w:trHeight w:val="600"/>
        </w:trPr>
        <w:tc>
          <w:tcPr>
            <w:tcW w:w="4923" w:type="dxa"/>
            <w:noWrap/>
          </w:tcPr>
          <w:p w14:paraId="50E60A8F" w14:textId="77777777" w:rsidR="009443FF" w:rsidRPr="00486970" w:rsidRDefault="009443FF" w:rsidP="00D942BA">
            <w:pPr>
              <w:rPr>
                <w:rFonts w:cstheme="minorHAnsi"/>
                <w:sz w:val="20"/>
                <w:szCs w:val="20"/>
              </w:rPr>
            </w:pPr>
            <w:r w:rsidRPr="00486970">
              <w:rPr>
                <w:rFonts w:cstheme="minorHAnsi"/>
                <w:sz w:val="20"/>
                <w:szCs w:val="20"/>
              </w:rPr>
              <w:t>Acetylsalicylic acid (aspirin) (100 mg cap/tab)</w:t>
            </w:r>
          </w:p>
        </w:tc>
        <w:tc>
          <w:tcPr>
            <w:tcW w:w="1540" w:type="dxa"/>
            <w:noWrap/>
          </w:tcPr>
          <w:p w14:paraId="242FF554" w14:textId="77777777" w:rsidR="009443FF" w:rsidRPr="00486970" w:rsidRDefault="009443FF" w:rsidP="00D942BA">
            <w:pPr>
              <w:rPr>
                <w:rFonts w:cstheme="minorHAnsi"/>
                <w:sz w:val="20"/>
                <w:szCs w:val="20"/>
              </w:rPr>
            </w:pPr>
            <w:r w:rsidRPr="00486970">
              <w:rPr>
                <w:rFonts w:cstheme="minorHAnsi"/>
                <w:sz w:val="20"/>
                <w:szCs w:val="20"/>
              </w:rPr>
              <w:t xml:space="preserve">NCD – Cardiovascular </w:t>
            </w:r>
          </w:p>
        </w:tc>
        <w:tc>
          <w:tcPr>
            <w:tcW w:w="4820" w:type="dxa"/>
          </w:tcPr>
          <w:p w14:paraId="5EE36823"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Aspirin, an anti-platelet medication, is recommended for preventing a first stroke, has an important role in preventing recurrent strokes, and can reduce the severity of an ischemic stroke. Low-dose aspirin has numerous therapeutic indications including anti-platelet therapy and can be used to reduce the risk of cardiovascular disease. </w:t>
            </w:r>
          </w:p>
          <w:p w14:paraId="551EF1A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8" w:history="1">
              <w:r w:rsidRPr="00486970">
                <w:rPr>
                  <w:rFonts w:cstheme="minorHAnsi"/>
                  <w:color w:val="0000FF" w:themeColor="hyperlink"/>
                  <w:sz w:val="20"/>
                  <w:szCs w:val="20"/>
                  <w:u w:val="single"/>
                </w:rPr>
                <w:t>WHO PEN 5.b</w:t>
              </w:r>
            </w:hyperlink>
          </w:p>
          <w:p w14:paraId="1F28DBC6"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12.5</w:t>
            </w:r>
          </w:p>
          <w:p w14:paraId="7D84016F" w14:textId="77777777" w:rsidR="009443FF" w:rsidRPr="00486970" w:rsidRDefault="009443FF" w:rsidP="00D942BA">
            <w:pPr>
              <w:rPr>
                <w:rFonts w:cstheme="minorHAnsi"/>
                <w:b/>
                <w:sz w:val="20"/>
                <w:szCs w:val="20"/>
              </w:rPr>
            </w:pPr>
          </w:p>
        </w:tc>
      </w:tr>
      <w:tr w:rsidR="009443FF" w:rsidRPr="00486970" w14:paraId="339B8B97" w14:textId="77777777" w:rsidTr="00D942BA">
        <w:trPr>
          <w:trHeight w:val="600"/>
        </w:trPr>
        <w:tc>
          <w:tcPr>
            <w:tcW w:w="4923" w:type="dxa"/>
            <w:noWrap/>
          </w:tcPr>
          <w:p w14:paraId="1AE294C3" w14:textId="77777777" w:rsidR="009443FF" w:rsidRPr="00486970" w:rsidRDefault="009443FF" w:rsidP="00D942BA">
            <w:pPr>
              <w:rPr>
                <w:rFonts w:cstheme="minorHAnsi"/>
                <w:sz w:val="20"/>
                <w:szCs w:val="20"/>
              </w:rPr>
            </w:pPr>
            <w:r w:rsidRPr="00486970">
              <w:rPr>
                <w:rFonts w:cstheme="minorHAnsi"/>
                <w:sz w:val="20"/>
                <w:szCs w:val="20"/>
              </w:rPr>
              <w:t>Furosemide  40 mg tablet</w:t>
            </w:r>
          </w:p>
        </w:tc>
        <w:tc>
          <w:tcPr>
            <w:tcW w:w="1540" w:type="dxa"/>
            <w:noWrap/>
          </w:tcPr>
          <w:p w14:paraId="0171B723" w14:textId="77777777" w:rsidR="009443FF" w:rsidRPr="00486970" w:rsidRDefault="009443FF" w:rsidP="00D942BA">
            <w:pPr>
              <w:rPr>
                <w:rFonts w:cstheme="minorHAnsi"/>
                <w:sz w:val="20"/>
                <w:szCs w:val="20"/>
              </w:rPr>
            </w:pPr>
            <w:r w:rsidRPr="00486970">
              <w:rPr>
                <w:rFonts w:cstheme="minorHAnsi"/>
                <w:sz w:val="20"/>
                <w:szCs w:val="20"/>
              </w:rPr>
              <w:t>NCD - Cardiovascular</w:t>
            </w:r>
          </w:p>
        </w:tc>
        <w:tc>
          <w:tcPr>
            <w:tcW w:w="4820" w:type="dxa"/>
          </w:tcPr>
          <w:p w14:paraId="028B7955"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Furosemide is a loop diuretic used in the treatment of oedema, congestive heart failure, and kidney disease.  </w:t>
            </w:r>
          </w:p>
          <w:p w14:paraId="3BBA6D86"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WHO PEN 5.b </w:t>
            </w:r>
          </w:p>
          <w:p w14:paraId="7A088321"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12.4</w:t>
            </w:r>
          </w:p>
        </w:tc>
      </w:tr>
      <w:tr w:rsidR="009443FF" w:rsidRPr="00486970" w14:paraId="70D499DB" w14:textId="77777777" w:rsidTr="00D942BA">
        <w:trPr>
          <w:trHeight w:val="600"/>
        </w:trPr>
        <w:tc>
          <w:tcPr>
            <w:tcW w:w="4923" w:type="dxa"/>
            <w:noWrap/>
          </w:tcPr>
          <w:p w14:paraId="7146EA68" w14:textId="77777777" w:rsidR="009443FF" w:rsidRPr="00486970" w:rsidRDefault="009443FF" w:rsidP="00D942BA">
            <w:pPr>
              <w:rPr>
                <w:rFonts w:cstheme="minorHAnsi"/>
                <w:sz w:val="20"/>
                <w:szCs w:val="20"/>
              </w:rPr>
            </w:pPr>
            <w:r w:rsidRPr="00486970">
              <w:rPr>
                <w:rFonts w:cstheme="minorHAnsi"/>
                <w:sz w:val="20"/>
                <w:szCs w:val="20"/>
              </w:rPr>
              <w:t>Morphine (10mg tablet)</w:t>
            </w:r>
          </w:p>
        </w:tc>
        <w:tc>
          <w:tcPr>
            <w:tcW w:w="1540" w:type="dxa"/>
            <w:noWrap/>
          </w:tcPr>
          <w:p w14:paraId="489B8DB8" w14:textId="77777777" w:rsidR="009443FF" w:rsidRPr="00486970" w:rsidRDefault="009443FF" w:rsidP="00D942BA">
            <w:pPr>
              <w:rPr>
                <w:rFonts w:cstheme="minorHAnsi"/>
                <w:sz w:val="20"/>
                <w:szCs w:val="20"/>
              </w:rPr>
            </w:pPr>
            <w:r w:rsidRPr="00486970">
              <w:rPr>
                <w:rFonts w:cstheme="minorHAnsi"/>
                <w:sz w:val="20"/>
                <w:szCs w:val="20"/>
              </w:rPr>
              <w:t>Palliative care</w:t>
            </w:r>
          </w:p>
        </w:tc>
        <w:tc>
          <w:tcPr>
            <w:tcW w:w="4820" w:type="dxa"/>
          </w:tcPr>
          <w:p w14:paraId="1298A21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Morphine, an opioid analgesic, is the first-choice opioid for treatment of strong pain, including cancer pain. It is also recommended as a preoperative medication and sedation for short-term procedures. </w:t>
            </w:r>
          </w:p>
          <w:p w14:paraId="048F0275"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7D5DFB85" w14:textId="77777777" w:rsidR="009443FF" w:rsidRPr="00486970" w:rsidRDefault="000B31FA" w:rsidP="00D942BA">
            <w:pPr>
              <w:rPr>
                <w:rFonts w:cstheme="minorHAnsi"/>
                <w:sz w:val="20"/>
                <w:szCs w:val="20"/>
              </w:rPr>
            </w:pPr>
            <w:hyperlink r:id="rId39" w:history="1">
              <w:r w:rsidR="009443FF" w:rsidRPr="00486970">
                <w:rPr>
                  <w:rFonts w:cstheme="minorHAnsi"/>
                  <w:color w:val="0000FF" w:themeColor="hyperlink"/>
                  <w:sz w:val="20"/>
                  <w:szCs w:val="20"/>
                  <w:u w:val="single"/>
                </w:rPr>
                <w:t>WHO Model Prescribing Information: Drugs Used in Anaesthesia</w:t>
              </w:r>
            </w:hyperlink>
          </w:p>
          <w:p w14:paraId="1987264A"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2.2,1.3</w:t>
            </w:r>
          </w:p>
        </w:tc>
      </w:tr>
      <w:tr w:rsidR="009443FF" w:rsidRPr="00486970" w14:paraId="6B9A2ED7" w14:textId="77777777" w:rsidTr="00D942BA">
        <w:trPr>
          <w:trHeight w:val="2793"/>
        </w:trPr>
        <w:tc>
          <w:tcPr>
            <w:tcW w:w="4923" w:type="dxa"/>
            <w:noWrap/>
          </w:tcPr>
          <w:p w14:paraId="271F5082" w14:textId="77777777" w:rsidR="009443FF" w:rsidRPr="00486970" w:rsidRDefault="009443FF" w:rsidP="00D942BA">
            <w:pPr>
              <w:rPr>
                <w:rFonts w:cstheme="minorHAnsi"/>
                <w:sz w:val="20"/>
                <w:szCs w:val="20"/>
              </w:rPr>
            </w:pPr>
            <w:r w:rsidRPr="00486970">
              <w:rPr>
                <w:rFonts w:cstheme="minorHAnsi"/>
                <w:sz w:val="20"/>
                <w:szCs w:val="20"/>
              </w:rPr>
              <w:t>Paracetamol (any strength)</w:t>
            </w:r>
          </w:p>
        </w:tc>
        <w:tc>
          <w:tcPr>
            <w:tcW w:w="1540" w:type="dxa"/>
            <w:noWrap/>
          </w:tcPr>
          <w:p w14:paraId="77605F11" w14:textId="77777777" w:rsidR="009443FF" w:rsidRPr="00486970" w:rsidRDefault="009443FF" w:rsidP="00D942BA">
            <w:pPr>
              <w:rPr>
                <w:rFonts w:cstheme="minorHAnsi"/>
                <w:sz w:val="20"/>
                <w:szCs w:val="20"/>
              </w:rPr>
            </w:pPr>
            <w:r w:rsidRPr="00486970">
              <w:rPr>
                <w:rFonts w:cstheme="minorHAnsi"/>
                <w:sz w:val="20"/>
                <w:szCs w:val="20"/>
              </w:rPr>
              <w:t>Pain and Palliative Care</w:t>
            </w:r>
          </w:p>
        </w:tc>
        <w:tc>
          <w:tcPr>
            <w:tcW w:w="4820" w:type="dxa"/>
          </w:tcPr>
          <w:p w14:paraId="472C1932"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bCs/>
                <w:sz w:val="20"/>
                <w:szCs w:val="20"/>
              </w:rPr>
              <w:t>Paracetamol, also referred to as acetaminophen or APAP, is an analgesic and antipyretic that is used widely as a first-line treatment for mild to moderate pain and fever. It is also often found in combinations with other medications to treat a cold or for severe pain. In particular, it is the preferred analgesic for pregnant women.</w:t>
            </w:r>
          </w:p>
          <w:p w14:paraId="01CF5D1F" w14:textId="77777777" w:rsidR="009443FF" w:rsidRPr="00486970" w:rsidRDefault="009443FF" w:rsidP="00D942BA">
            <w:pPr>
              <w:rPr>
                <w:rFonts w:cstheme="minorHAnsi"/>
                <w:sz w:val="20"/>
                <w:szCs w:val="20"/>
              </w:rPr>
            </w:pPr>
            <w:r w:rsidRPr="00486970">
              <w:rPr>
                <w:rFonts w:cstheme="minorHAnsi"/>
                <w:b/>
                <w:sz w:val="20"/>
                <w:szCs w:val="20"/>
              </w:rPr>
              <w:t>Treatment References:</w:t>
            </w:r>
            <w:r w:rsidRPr="00486970">
              <w:rPr>
                <w:rFonts w:cstheme="minorHAnsi"/>
                <w:sz w:val="20"/>
                <w:szCs w:val="20"/>
              </w:rPr>
              <w:t xml:space="preserve"> </w:t>
            </w:r>
            <w:hyperlink r:id="rId40" w:history="1">
              <w:r w:rsidRPr="00486970">
                <w:rPr>
                  <w:rFonts w:cstheme="minorHAnsi"/>
                  <w:color w:val="0000FF" w:themeColor="hyperlink"/>
                  <w:sz w:val="20"/>
                  <w:szCs w:val="20"/>
                  <w:u w:val="single"/>
                </w:rPr>
                <w:t>WHO Model Prescribing Information: Drugs Used in Anaesthesia</w:t>
              </w:r>
            </w:hyperlink>
          </w:p>
          <w:p w14:paraId="0B342C75"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2.1, 7.1</w:t>
            </w:r>
          </w:p>
        </w:tc>
      </w:tr>
      <w:tr w:rsidR="009443FF" w:rsidRPr="00486970" w14:paraId="12E4F019" w14:textId="77777777" w:rsidTr="00D942BA">
        <w:trPr>
          <w:trHeight w:val="600"/>
        </w:trPr>
        <w:tc>
          <w:tcPr>
            <w:tcW w:w="4923" w:type="dxa"/>
            <w:noWrap/>
          </w:tcPr>
          <w:p w14:paraId="1503D0A1" w14:textId="77777777" w:rsidR="009443FF" w:rsidRPr="00486970" w:rsidRDefault="009443FF" w:rsidP="00D942BA">
            <w:pPr>
              <w:rPr>
                <w:rFonts w:cstheme="minorHAnsi"/>
                <w:sz w:val="20"/>
                <w:szCs w:val="20"/>
              </w:rPr>
            </w:pPr>
            <w:r w:rsidRPr="00486970">
              <w:rPr>
                <w:rFonts w:cstheme="minorHAnsi"/>
                <w:sz w:val="20"/>
                <w:szCs w:val="20"/>
              </w:rPr>
              <w:lastRenderedPageBreak/>
              <w:t>Fluoxetine (20 mg cap/tab) or other selective serotonin reuptake inhibitor (SSRI)</w:t>
            </w:r>
          </w:p>
        </w:tc>
        <w:tc>
          <w:tcPr>
            <w:tcW w:w="1540" w:type="dxa"/>
            <w:noWrap/>
          </w:tcPr>
          <w:p w14:paraId="4E6775A6" w14:textId="77777777" w:rsidR="009443FF" w:rsidRPr="00486970" w:rsidRDefault="009443FF" w:rsidP="00D942BA">
            <w:pPr>
              <w:rPr>
                <w:rFonts w:cstheme="minorHAnsi"/>
                <w:sz w:val="20"/>
                <w:szCs w:val="20"/>
              </w:rPr>
            </w:pPr>
            <w:r w:rsidRPr="00486970">
              <w:rPr>
                <w:rFonts w:cstheme="minorHAnsi"/>
                <w:sz w:val="20"/>
                <w:szCs w:val="20"/>
              </w:rPr>
              <w:t>CNS</w:t>
            </w:r>
          </w:p>
        </w:tc>
        <w:tc>
          <w:tcPr>
            <w:tcW w:w="4820" w:type="dxa"/>
          </w:tcPr>
          <w:p w14:paraId="72192DE1" w14:textId="77777777" w:rsidR="009443FF" w:rsidRPr="00486970" w:rsidRDefault="009443FF" w:rsidP="00D942BA">
            <w:pPr>
              <w:rPr>
                <w:rFonts w:cstheme="minorHAnsi"/>
                <w:sz w:val="20"/>
                <w:szCs w:val="20"/>
              </w:rPr>
            </w:pPr>
            <w:r w:rsidRPr="00486970">
              <w:rPr>
                <w:rFonts w:cstheme="minorHAnsi"/>
                <w:b/>
                <w:sz w:val="20"/>
                <w:szCs w:val="20"/>
              </w:rPr>
              <w:t xml:space="preserve">Rationale: </w:t>
            </w:r>
            <w:r w:rsidRPr="00486970">
              <w:rPr>
                <w:rFonts w:cstheme="minorHAnsi"/>
                <w:sz w:val="20"/>
                <w:szCs w:val="20"/>
              </w:rPr>
              <w:t>SSRIs are among the most widely used drugs in the treatment of depressive disorders. Fluoxetine is recommended for use in depressive disorders and can be used to treat patients over 8 years old.</w:t>
            </w:r>
          </w:p>
          <w:p w14:paraId="4B020301" w14:textId="77777777" w:rsidR="009443FF" w:rsidRPr="00486970" w:rsidRDefault="009443FF" w:rsidP="00D942BA">
            <w:pPr>
              <w:rPr>
                <w:rFonts w:cstheme="minorHAnsi"/>
                <w:sz w:val="20"/>
                <w:szCs w:val="20"/>
              </w:rPr>
            </w:pPr>
            <w:r w:rsidRPr="00486970">
              <w:rPr>
                <w:rFonts w:cstheme="minorHAnsi"/>
                <w:sz w:val="20"/>
                <w:szCs w:val="20"/>
              </w:rPr>
              <w:t xml:space="preserve">SSRIs should be used as part of a comprehensive management plan. </w:t>
            </w:r>
          </w:p>
          <w:p w14:paraId="273A175B" w14:textId="77777777" w:rsidR="009443FF" w:rsidRPr="00486970" w:rsidRDefault="009443FF" w:rsidP="00D942BA">
            <w:pPr>
              <w:rPr>
                <w:rFonts w:cstheme="minorHAnsi"/>
                <w:b/>
                <w:sz w:val="20"/>
                <w:szCs w:val="20"/>
              </w:rPr>
            </w:pPr>
            <w:r w:rsidRPr="00486970">
              <w:rPr>
                <w:rFonts w:cstheme="minorHAnsi"/>
                <w:b/>
                <w:sz w:val="20"/>
                <w:szCs w:val="20"/>
              </w:rPr>
              <w:t>Treatment References:</w:t>
            </w:r>
          </w:p>
          <w:p w14:paraId="7A9EB74D" w14:textId="77777777" w:rsidR="009443FF" w:rsidRPr="00486970" w:rsidRDefault="000B31FA" w:rsidP="00D942BA">
            <w:pPr>
              <w:rPr>
                <w:rFonts w:cstheme="minorHAnsi"/>
                <w:bCs/>
                <w:sz w:val="20"/>
                <w:szCs w:val="20"/>
                <w:u w:val="single"/>
              </w:rPr>
            </w:pPr>
            <w:hyperlink r:id="rId41" w:history="1">
              <w:r w:rsidR="009443FF" w:rsidRPr="00486970">
                <w:rPr>
                  <w:rFonts w:cstheme="minorHAnsi"/>
                  <w:bCs/>
                  <w:color w:val="0000FF" w:themeColor="hyperlink"/>
                  <w:sz w:val="20"/>
                  <w:szCs w:val="20"/>
                  <w:u w:val="single"/>
                </w:rPr>
                <w:t>Evidence-based recommendations for management of depression in non-specialized health settings</w:t>
              </w:r>
            </w:hyperlink>
          </w:p>
          <w:p w14:paraId="35EAFC7C"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24.2</w:t>
            </w:r>
          </w:p>
        </w:tc>
      </w:tr>
      <w:tr w:rsidR="009443FF" w:rsidRPr="00486970" w14:paraId="2A746178" w14:textId="77777777" w:rsidTr="00D942BA">
        <w:trPr>
          <w:trHeight w:val="900"/>
        </w:trPr>
        <w:tc>
          <w:tcPr>
            <w:tcW w:w="4923" w:type="dxa"/>
            <w:noWrap/>
          </w:tcPr>
          <w:p w14:paraId="73DBBAC2" w14:textId="77777777" w:rsidR="009443FF" w:rsidRPr="00486970" w:rsidRDefault="009443FF" w:rsidP="00D942BA">
            <w:pPr>
              <w:rPr>
                <w:rFonts w:cstheme="minorHAnsi"/>
                <w:sz w:val="20"/>
                <w:szCs w:val="20"/>
              </w:rPr>
            </w:pPr>
            <w:r w:rsidRPr="00486970">
              <w:rPr>
                <w:rFonts w:cstheme="minorHAnsi"/>
                <w:sz w:val="20"/>
                <w:szCs w:val="20"/>
              </w:rPr>
              <w:t>Phenytoin (100mg Tablet) or Carbamazepine (200 mg cap/tab)</w:t>
            </w:r>
          </w:p>
        </w:tc>
        <w:tc>
          <w:tcPr>
            <w:tcW w:w="1540" w:type="dxa"/>
            <w:noWrap/>
          </w:tcPr>
          <w:p w14:paraId="4F988FD9" w14:textId="77777777" w:rsidR="009443FF" w:rsidRPr="00486970" w:rsidRDefault="009443FF" w:rsidP="00D942BA">
            <w:pPr>
              <w:rPr>
                <w:rFonts w:cstheme="minorHAnsi"/>
                <w:sz w:val="20"/>
                <w:szCs w:val="20"/>
              </w:rPr>
            </w:pPr>
            <w:r w:rsidRPr="00486970">
              <w:rPr>
                <w:rFonts w:cstheme="minorHAnsi"/>
                <w:sz w:val="20"/>
                <w:szCs w:val="20"/>
              </w:rPr>
              <w:t>CNS</w:t>
            </w:r>
          </w:p>
        </w:tc>
        <w:tc>
          <w:tcPr>
            <w:tcW w:w="4820" w:type="dxa"/>
          </w:tcPr>
          <w:p w14:paraId="2AD35CE9"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Carbamazepine and phenytoin are anticonvulsant/antiepileptic medicines used in the management of generalized and partial seizures and neuropathic pain.</w:t>
            </w:r>
          </w:p>
          <w:p w14:paraId="09A031C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1A1B485" w14:textId="77777777" w:rsidR="009443FF" w:rsidRPr="00486970" w:rsidRDefault="000B31FA" w:rsidP="00D942BA">
            <w:pPr>
              <w:rPr>
                <w:rFonts w:cstheme="minorHAnsi"/>
                <w:bCs/>
                <w:sz w:val="20"/>
                <w:szCs w:val="20"/>
              </w:rPr>
            </w:pPr>
            <w:hyperlink r:id="rId42" w:history="1">
              <w:r w:rsidR="009443FF" w:rsidRPr="00486970">
                <w:rPr>
                  <w:rFonts w:cstheme="minorHAnsi"/>
                  <w:bCs/>
                  <w:color w:val="0000FF" w:themeColor="hyperlink"/>
                  <w:sz w:val="20"/>
                  <w:szCs w:val="20"/>
                  <w:u w:val="single"/>
                </w:rPr>
                <w:t>Evidence-based recommendations for management of epilepsy and seizures in non-specialized health settings</w:t>
              </w:r>
            </w:hyperlink>
          </w:p>
          <w:p w14:paraId="1397326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5</w:t>
            </w:r>
          </w:p>
        </w:tc>
      </w:tr>
      <w:tr w:rsidR="009443FF" w:rsidRPr="00486970" w14:paraId="53AC34B1" w14:textId="77777777" w:rsidTr="00D942BA">
        <w:trPr>
          <w:trHeight w:val="900"/>
        </w:trPr>
        <w:tc>
          <w:tcPr>
            <w:tcW w:w="4923" w:type="dxa"/>
            <w:noWrap/>
            <w:hideMark/>
          </w:tcPr>
          <w:p w14:paraId="4DCC1534" w14:textId="77777777" w:rsidR="009443FF" w:rsidRPr="00486970" w:rsidRDefault="009443FF" w:rsidP="00D942BA">
            <w:pPr>
              <w:rPr>
                <w:rFonts w:cstheme="minorHAnsi"/>
                <w:sz w:val="20"/>
                <w:szCs w:val="20"/>
                <w:lang w:val="it-IT"/>
              </w:rPr>
            </w:pPr>
            <w:r w:rsidRPr="00486970">
              <w:rPr>
                <w:rFonts w:cstheme="minorHAnsi"/>
                <w:sz w:val="20"/>
                <w:szCs w:val="20"/>
                <w:lang w:val="it-IT"/>
              </w:rPr>
              <w:t>Gentamicin (40 mg/mL in 2mL vial)</w:t>
            </w:r>
          </w:p>
        </w:tc>
        <w:tc>
          <w:tcPr>
            <w:tcW w:w="1540" w:type="dxa"/>
            <w:noWrap/>
            <w:hideMark/>
          </w:tcPr>
          <w:p w14:paraId="29565936"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70A946FA"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Gentamicin, an aminoglycoside antibiotic, is used for the systemic treatment of susceptible infections. It is classified as an ACCESS antibiotic in the WHO EML, signifying that it should widely available, affordable, and quality assured. It is the first-line treatment for community acquired pneumonia, complicated severe malnutrition, and neonatal sepsis, and second-line treatment for gonorrhoeae.</w:t>
            </w:r>
          </w:p>
          <w:p w14:paraId="2914E74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21F9250D" w14:textId="77777777" w:rsidR="009443FF" w:rsidRPr="00486970" w:rsidRDefault="000B31FA" w:rsidP="00D942BA">
            <w:pPr>
              <w:rPr>
                <w:rFonts w:cstheme="minorHAnsi"/>
                <w:bCs/>
                <w:color w:val="0000FF" w:themeColor="hyperlink"/>
                <w:sz w:val="20"/>
                <w:szCs w:val="20"/>
                <w:u w:val="single"/>
              </w:rPr>
            </w:pPr>
            <w:hyperlink r:id="rId43" w:history="1">
              <w:r w:rsidR="009443FF" w:rsidRPr="00486970">
                <w:rPr>
                  <w:rFonts w:cstheme="minorHAnsi"/>
                  <w:bCs/>
                  <w:color w:val="0000FF" w:themeColor="hyperlink"/>
                  <w:sz w:val="20"/>
                  <w:szCs w:val="20"/>
                  <w:u w:val="single"/>
                </w:rPr>
                <w:t>WHO Model Prescribing Information: Drugs used in Bacterial Infections</w:t>
              </w:r>
            </w:hyperlink>
            <w:r w:rsidR="009443FF" w:rsidRPr="00486970">
              <w:rPr>
                <w:rFonts w:cstheme="minorHAnsi"/>
                <w:bCs/>
                <w:color w:val="0000FF" w:themeColor="hyperlink"/>
                <w:sz w:val="20"/>
                <w:szCs w:val="20"/>
                <w:u w:val="single"/>
              </w:rPr>
              <w:t xml:space="preserve"> </w:t>
            </w:r>
          </w:p>
          <w:p w14:paraId="6E0F152C"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6.2.2</w:t>
            </w:r>
          </w:p>
        </w:tc>
      </w:tr>
      <w:tr w:rsidR="009443FF" w:rsidRPr="00486970" w14:paraId="738A777D" w14:textId="77777777" w:rsidTr="00D942BA">
        <w:trPr>
          <w:trHeight w:val="900"/>
        </w:trPr>
        <w:tc>
          <w:tcPr>
            <w:tcW w:w="4923" w:type="dxa"/>
            <w:noWrap/>
            <w:hideMark/>
          </w:tcPr>
          <w:p w14:paraId="106E3FF2" w14:textId="77777777" w:rsidR="009443FF" w:rsidRPr="00486970" w:rsidRDefault="009443FF" w:rsidP="00D942BA">
            <w:pPr>
              <w:rPr>
                <w:rFonts w:cstheme="minorHAnsi"/>
                <w:sz w:val="20"/>
                <w:szCs w:val="20"/>
              </w:rPr>
            </w:pPr>
            <w:r w:rsidRPr="00486970">
              <w:rPr>
                <w:rFonts w:cstheme="minorHAnsi"/>
                <w:sz w:val="20"/>
                <w:szCs w:val="20"/>
              </w:rPr>
              <w:t>Amoxicillin (500mg cap/tab)</w:t>
            </w:r>
          </w:p>
          <w:p w14:paraId="7097F1FD" w14:textId="77777777" w:rsidR="009443FF" w:rsidRPr="00486970" w:rsidRDefault="009443FF" w:rsidP="00D942BA">
            <w:pPr>
              <w:rPr>
                <w:rFonts w:cstheme="minorHAnsi"/>
                <w:sz w:val="20"/>
                <w:szCs w:val="20"/>
              </w:rPr>
            </w:pPr>
          </w:p>
          <w:p w14:paraId="102B7744" w14:textId="77777777" w:rsidR="009443FF" w:rsidRPr="00486970" w:rsidRDefault="009443FF" w:rsidP="00D942BA">
            <w:pPr>
              <w:rPr>
                <w:rFonts w:cstheme="minorHAnsi"/>
                <w:sz w:val="20"/>
                <w:szCs w:val="20"/>
              </w:rPr>
            </w:pPr>
          </w:p>
          <w:p w14:paraId="6E8B2505" w14:textId="77777777" w:rsidR="009443FF" w:rsidRPr="00486970" w:rsidRDefault="009443FF" w:rsidP="00D942BA">
            <w:pPr>
              <w:rPr>
                <w:rFonts w:cstheme="minorHAnsi"/>
                <w:sz w:val="20"/>
                <w:szCs w:val="20"/>
              </w:rPr>
            </w:pPr>
          </w:p>
          <w:p w14:paraId="6B182F4B" w14:textId="77777777" w:rsidR="009443FF" w:rsidRPr="00486970" w:rsidRDefault="009443FF" w:rsidP="00D942BA">
            <w:pPr>
              <w:rPr>
                <w:rFonts w:cstheme="minorHAnsi"/>
                <w:sz w:val="20"/>
                <w:szCs w:val="20"/>
              </w:rPr>
            </w:pPr>
          </w:p>
          <w:p w14:paraId="19DB4177" w14:textId="77777777" w:rsidR="009443FF" w:rsidRPr="00486970" w:rsidRDefault="009443FF" w:rsidP="00D942BA">
            <w:pPr>
              <w:rPr>
                <w:rFonts w:cstheme="minorHAnsi"/>
                <w:sz w:val="20"/>
                <w:szCs w:val="20"/>
              </w:rPr>
            </w:pPr>
          </w:p>
        </w:tc>
        <w:tc>
          <w:tcPr>
            <w:tcW w:w="1540" w:type="dxa"/>
            <w:noWrap/>
            <w:hideMark/>
          </w:tcPr>
          <w:p w14:paraId="0B6B3765"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2B38C3E8"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Amoxicillin, a beta-lactam antibiotic, is used to treat a wide range of susceptible infections. It is classified as an ACCESS antibiotic in the WHO EML, signifying that it should widely available, affordable, and quality assured. It is the first-line treatment for specific infectious syndromes, including community acquired pneumonia, neonatal sepsis, lower urinary tract infections, and the second-line treatment for acute bacterial meningitis.</w:t>
            </w:r>
          </w:p>
          <w:p w14:paraId="3BC0672F"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5F434FFD" w14:textId="77777777" w:rsidR="009443FF" w:rsidRPr="00486970" w:rsidRDefault="000B31FA" w:rsidP="00D942BA">
            <w:pPr>
              <w:rPr>
                <w:rFonts w:cstheme="minorHAnsi"/>
                <w:bCs/>
                <w:sz w:val="20"/>
                <w:szCs w:val="20"/>
              </w:rPr>
            </w:pPr>
            <w:hyperlink r:id="rId44" w:history="1">
              <w:r w:rsidR="009443FF" w:rsidRPr="00486970">
                <w:rPr>
                  <w:rFonts w:cstheme="minorHAnsi"/>
                  <w:bCs/>
                  <w:color w:val="0000FF" w:themeColor="hyperlink"/>
                  <w:sz w:val="20"/>
                  <w:szCs w:val="20"/>
                  <w:u w:val="single"/>
                </w:rPr>
                <w:t>WHO Model Prescribing Information: Drugs used in Bacterial Infections</w:t>
              </w:r>
            </w:hyperlink>
          </w:p>
          <w:p w14:paraId="3460758D"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0FF89578" w14:textId="77777777" w:rsidTr="00D942BA">
        <w:trPr>
          <w:trHeight w:val="900"/>
        </w:trPr>
        <w:tc>
          <w:tcPr>
            <w:tcW w:w="4923" w:type="dxa"/>
            <w:noWrap/>
            <w:hideMark/>
          </w:tcPr>
          <w:p w14:paraId="2216EB60" w14:textId="77777777" w:rsidR="009443FF" w:rsidRPr="00486970" w:rsidRDefault="009443FF" w:rsidP="00D942BA">
            <w:pPr>
              <w:rPr>
                <w:rFonts w:cstheme="minorHAnsi"/>
                <w:sz w:val="20"/>
                <w:szCs w:val="20"/>
              </w:rPr>
            </w:pPr>
            <w:r w:rsidRPr="00486970">
              <w:rPr>
                <w:rFonts w:cstheme="minorHAnsi"/>
                <w:sz w:val="20"/>
                <w:szCs w:val="20"/>
              </w:rPr>
              <w:t>Ceftriaxone (1g/vial Injection)</w:t>
            </w:r>
          </w:p>
        </w:tc>
        <w:tc>
          <w:tcPr>
            <w:tcW w:w="1540" w:type="dxa"/>
            <w:noWrap/>
            <w:hideMark/>
          </w:tcPr>
          <w:p w14:paraId="64508A2E"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00D1EB6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Ceftriaxone, a third generation cephalosporin, is used for the systemic treatment of susceptible infections.  It is classified as a WATCH in the WHO EML, signifying it higher resistance potential and recommendation for only a specific, limited number of indications.  It is the first-line treatment for specific infectious syndromes including severe community acquired pneumonia, acute bacterial meningitis, and gonorrhoeae.</w:t>
            </w:r>
          </w:p>
          <w:p w14:paraId="10412025" w14:textId="77777777" w:rsidR="009443FF" w:rsidRPr="00486970" w:rsidRDefault="009443FF" w:rsidP="00D942BA">
            <w:pPr>
              <w:rPr>
                <w:rFonts w:cstheme="minorHAnsi"/>
                <w:b/>
                <w:sz w:val="20"/>
                <w:szCs w:val="20"/>
              </w:rPr>
            </w:pPr>
            <w:r w:rsidRPr="00486970">
              <w:rPr>
                <w:rFonts w:cstheme="minorHAnsi"/>
                <w:b/>
                <w:sz w:val="20"/>
                <w:szCs w:val="20"/>
              </w:rPr>
              <w:t>Treatment References:</w:t>
            </w:r>
          </w:p>
          <w:p w14:paraId="2D7AEEBB" w14:textId="77777777" w:rsidR="009443FF" w:rsidRPr="00486970" w:rsidRDefault="000B31FA" w:rsidP="00D942BA">
            <w:pPr>
              <w:rPr>
                <w:rFonts w:cstheme="minorHAnsi"/>
                <w:bCs/>
                <w:sz w:val="20"/>
                <w:szCs w:val="20"/>
              </w:rPr>
            </w:pPr>
            <w:hyperlink r:id="rId45" w:history="1">
              <w:r w:rsidR="009443FF" w:rsidRPr="00486970">
                <w:rPr>
                  <w:rFonts w:cstheme="minorHAnsi"/>
                  <w:bCs/>
                  <w:color w:val="0000FF" w:themeColor="hyperlink"/>
                  <w:sz w:val="20"/>
                  <w:szCs w:val="20"/>
                  <w:u w:val="single"/>
                </w:rPr>
                <w:t>WHO Model Prescribing Information: Drugs used in Bacterial Infections</w:t>
              </w:r>
            </w:hyperlink>
          </w:p>
          <w:p w14:paraId="60253F4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5B24A79F" w14:textId="77777777" w:rsidTr="00D942BA">
        <w:trPr>
          <w:trHeight w:val="300"/>
        </w:trPr>
        <w:tc>
          <w:tcPr>
            <w:tcW w:w="4923" w:type="dxa"/>
            <w:noWrap/>
            <w:hideMark/>
          </w:tcPr>
          <w:p w14:paraId="4E8AC727" w14:textId="77777777" w:rsidR="009443FF" w:rsidRPr="00486970" w:rsidRDefault="009443FF" w:rsidP="00D942BA">
            <w:pPr>
              <w:rPr>
                <w:rFonts w:cstheme="minorHAnsi"/>
                <w:sz w:val="20"/>
                <w:szCs w:val="20"/>
              </w:rPr>
            </w:pPr>
            <w:r w:rsidRPr="00486970">
              <w:rPr>
                <w:rFonts w:cstheme="minorHAnsi"/>
                <w:sz w:val="20"/>
                <w:szCs w:val="20"/>
              </w:rPr>
              <w:t>Procaine benzylpenicillin (1G = 1MU Injection) or Benzathine benzylpenicillin (900mg=1.2 MIU or 1.44g = 2.4MIU) injection</w:t>
            </w:r>
          </w:p>
        </w:tc>
        <w:tc>
          <w:tcPr>
            <w:tcW w:w="1540" w:type="dxa"/>
            <w:noWrap/>
            <w:hideMark/>
          </w:tcPr>
          <w:p w14:paraId="3D07039A"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noWrap/>
            <w:hideMark/>
          </w:tcPr>
          <w:p w14:paraId="5121FC04"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Procaine benzylpenicillin, a beta-lactam antibiotic, is used to treat syphilis in adults and children. It is classified as an ACCESS antibiotic in the WHO EML, signifying that it should widely available, affordable, and quality assured.</w:t>
            </w:r>
          </w:p>
          <w:p w14:paraId="1FCE13D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3FDB4E7C" w14:textId="77777777" w:rsidR="009443FF" w:rsidRPr="00486970" w:rsidRDefault="000B31FA" w:rsidP="00D942BA">
            <w:pPr>
              <w:rPr>
                <w:rFonts w:cstheme="minorHAnsi"/>
                <w:bCs/>
                <w:sz w:val="20"/>
                <w:szCs w:val="20"/>
              </w:rPr>
            </w:pPr>
            <w:hyperlink r:id="rId46" w:history="1">
              <w:r w:rsidR="009443FF" w:rsidRPr="00486970">
                <w:rPr>
                  <w:rFonts w:cstheme="minorHAnsi"/>
                  <w:bCs/>
                  <w:color w:val="0000FF" w:themeColor="hyperlink"/>
                  <w:sz w:val="20"/>
                  <w:szCs w:val="20"/>
                  <w:u w:val="single"/>
                </w:rPr>
                <w:t>WHO Model Prescribing Information: Drugs used in Bacterial Infections</w:t>
              </w:r>
            </w:hyperlink>
          </w:p>
          <w:p w14:paraId="5B5EB3CD"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11C3D04B" w14:textId="77777777" w:rsidTr="00D942BA">
        <w:trPr>
          <w:trHeight w:val="300"/>
        </w:trPr>
        <w:tc>
          <w:tcPr>
            <w:tcW w:w="4923" w:type="dxa"/>
            <w:noWrap/>
          </w:tcPr>
          <w:p w14:paraId="283F6B09" w14:textId="77777777" w:rsidR="009443FF" w:rsidRPr="00486970" w:rsidRDefault="009443FF" w:rsidP="00D942BA">
            <w:pPr>
              <w:rPr>
                <w:rFonts w:cstheme="minorHAnsi"/>
                <w:sz w:val="20"/>
                <w:szCs w:val="20"/>
              </w:rPr>
            </w:pPr>
            <w:r w:rsidRPr="00486970">
              <w:rPr>
                <w:rFonts w:cstheme="minorHAnsi"/>
                <w:sz w:val="20"/>
                <w:szCs w:val="20"/>
              </w:rPr>
              <w:t>One of the following contraceptives:</w:t>
            </w:r>
          </w:p>
          <w:p w14:paraId="23F9FDCE"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Ethinylestradiol + levonorgestrel: tablet 30 mcg + 150 mcg (or alternative combined oral contraceptive)</w:t>
            </w:r>
          </w:p>
          <w:p w14:paraId="488A90E4"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 xml:space="preserve">Levonorgestrel 30 microgram tablet. </w:t>
            </w:r>
          </w:p>
          <w:p w14:paraId="06E5587E"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Medroxyprogesterone acetate injection IM 150 mg/mL or SC 104 mg/0.65mL</w:t>
            </w:r>
          </w:p>
          <w:p w14:paraId="27808F33"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Progesterone-releasing implant (etonogestrel 68 mg or levonorgestrel 150 mg)</w:t>
            </w:r>
          </w:p>
          <w:p w14:paraId="0A025E90"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Levonorgestrel 750 mcg or 1.5 mg tablet</w:t>
            </w:r>
          </w:p>
          <w:p w14:paraId="17F27549" w14:textId="77777777" w:rsidR="009443FF" w:rsidRPr="00486970" w:rsidRDefault="009443FF" w:rsidP="00D942BA">
            <w:pPr>
              <w:rPr>
                <w:rFonts w:cstheme="minorHAnsi"/>
                <w:sz w:val="20"/>
                <w:szCs w:val="20"/>
              </w:rPr>
            </w:pPr>
          </w:p>
          <w:p w14:paraId="4B8A231F" w14:textId="77777777" w:rsidR="009443FF" w:rsidRPr="00486970" w:rsidRDefault="009443FF" w:rsidP="00D942BA">
            <w:pPr>
              <w:rPr>
                <w:rFonts w:cstheme="minorHAnsi"/>
                <w:sz w:val="20"/>
                <w:szCs w:val="20"/>
              </w:rPr>
            </w:pPr>
          </w:p>
        </w:tc>
        <w:tc>
          <w:tcPr>
            <w:tcW w:w="1540" w:type="dxa"/>
            <w:noWrap/>
          </w:tcPr>
          <w:p w14:paraId="0D723F8C" w14:textId="77777777" w:rsidR="009443FF" w:rsidRPr="00486970" w:rsidRDefault="009443FF" w:rsidP="00D942BA">
            <w:pPr>
              <w:rPr>
                <w:rFonts w:cstheme="minorHAnsi"/>
                <w:sz w:val="20"/>
                <w:szCs w:val="20"/>
                <w:lang w:val="pt-BR"/>
              </w:rPr>
            </w:pPr>
            <w:r w:rsidRPr="00486970">
              <w:rPr>
                <w:rFonts w:cstheme="minorHAnsi"/>
                <w:sz w:val="20"/>
                <w:szCs w:val="20"/>
                <w:lang w:val="pt-BR"/>
              </w:rPr>
              <w:t>MCH</w:t>
            </w:r>
          </w:p>
        </w:tc>
        <w:tc>
          <w:tcPr>
            <w:tcW w:w="4820" w:type="dxa"/>
            <w:noWrap/>
          </w:tcPr>
          <w:p w14:paraId="72FC84D2"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sz w:val="20"/>
                <w:szCs w:val="20"/>
              </w:rPr>
              <w:t xml:space="preserve">Promotion of family planning – and ensuring access to preferred contraceptive methods for women and couples – is essential to securing the well-being and autonomy of women, while supporting the health and development of communities. Access to contraceptives can reduce infant and maternal mortality rates associated with closely spaced and ill-timed pregnancies. Additionally, contraceptives have be included on the WHO EML since its inception and are also listed as life-saving commodities by the UN Commission on Life-Saving Commodities for Women and Children. </w:t>
            </w:r>
          </w:p>
          <w:p w14:paraId="5C80578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47" w:history="1">
              <w:r w:rsidRPr="00486970">
                <w:rPr>
                  <w:rFonts w:cstheme="minorHAnsi"/>
                  <w:color w:val="0000FF" w:themeColor="hyperlink"/>
                  <w:sz w:val="20"/>
                  <w:szCs w:val="20"/>
                  <w:u w:val="single"/>
                </w:rPr>
                <w:t>Medical eligibility criteria for contraceptive use</w:t>
              </w:r>
            </w:hyperlink>
          </w:p>
          <w:p w14:paraId="42AA13BB"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18.3</w:t>
            </w:r>
          </w:p>
        </w:tc>
      </w:tr>
      <w:tr w:rsidR="009443FF" w:rsidRPr="00486970" w14:paraId="0F203EC2" w14:textId="77777777" w:rsidTr="00D942BA">
        <w:trPr>
          <w:trHeight w:val="1200"/>
        </w:trPr>
        <w:tc>
          <w:tcPr>
            <w:tcW w:w="4923" w:type="dxa"/>
            <w:noWrap/>
            <w:hideMark/>
          </w:tcPr>
          <w:p w14:paraId="201A7B2E" w14:textId="77777777" w:rsidR="009443FF" w:rsidRPr="00486970" w:rsidRDefault="009443FF" w:rsidP="00D942BA">
            <w:pPr>
              <w:rPr>
                <w:rFonts w:cstheme="minorHAnsi"/>
                <w:sz w:val="20"/>
                <w:szCs w:val="20"/>
              </w:rPr>
            </w:pPr>
            <w:r w:rsidRPr="00486970">
              <w:rPr>
                <w:rFonts w:cstheme="minorHAnsi"/>
                <w:sz w:val="20"/>
                <w:szCs w:val="20"/>
              </w:rPr>
              <w:t>Oral rehydration (salts 1 litre)</w:t>
            </w:r>
          </w:p>
        </w:tc>
        <w:tc>
          <w:tcPr>
            <w:tcW w:w="1540" w:type="dxa"/>
            <w:noWrap/>
            <w:hideMark/>
          </w:tcPr>
          <w:p w14:paraId="32F45473"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62589738"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Oral rehydration salts (ORS), solutions containing sodium, potassium, citrate, and glucose, are used to replace fluid and electrolytes orally. ORS is used to treat acute diarrhoea in children to prevent or treat dehydration. </w:t>
            </w:r>
          </w:p>
          <w:p w14:paraId="7BAE1835"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0E3936D" w14:textId="77777777" w:rsidR="009443FF" w:rsidRPr="00486970" w:rsidRDefault="000B31FA" w:rsidP="00D942BA">
            <w:pPr>
              <w:rPr>
                <w:rFonts w:cstheme="minorHAnsi"/>
                <w:bCs/>
                <w:sz w:val="20"/>
                <w:szCs w:val="20"/>
              </w:rPr>
            </w:pPr>
            <w:hyperlink r:id="rId48" w:history="1">
              <w:r w:rsidR="009443FF" w:rsidRPr="00486970">
                <w:rPr>
                  <w:rFonts w:cstheme="minorHAnsi"/>
                  <w:bCs/>
                  <w:color w:val="0000FF" w:themeColor="hyperlink"/>
                  <w:sz w:val="20"/>
                  <w:szCs w:val="20"/>
                  <w:u w:val="single"/>
                </w:rPr>
                <w:t>Diarrhoea treatment guidelines including new recommendations for the use of ORS and zinc supplementation for clinic-based healthcare workers</w:t>
              </w:r>
            </w:hyperlink>
          </w:p>
          <w:p w14:paraId="159BA547"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26.1</w:t>
            </w:r>
          </w:p>
        </w:tc>
      </w:tr>
      <w:tr w:rsidR="009443FF" w:rsidRPr="00486970" w14:paraId="009C9CD6" w14:textId="77777777" w:rsidTr="00D942BA">
        <w:trPr>
          <w:trHeight w:val="900"/>
        </w:trPr>
        <w:tc>
          <w:tcPr>
            <w:tcW w:w="4923" w:type="dxa"/>
            <w:noWrap/>
            <w:hideMark/>
          </w:tcPr>
          <w:p w14:paraId="63144129" w14:textId="77777777" w:rsidR="009443FF" w:rsidRPr="00486970" w:rsidRDefault="009443FF" w:rsidP="00D942BA">
            <w:pPr>
              <w:rPr>
                <w:rFonts w:cstheme="minorHAnsi"/>
                <w:sz w:val="20"/>
                <w:szCs w:val="20"/>
              </w:rPr>
            </w:pPr>
            <w:r w:rsidRPr="00486970">
              <w:rPr>
                <w:rFonts w:cstheme="minorHAnsi"/>
                <w:sz w:val="20"/>
                <w:szCs w:val="20"/>
              </w:rPr>
              <w:t>Zinc sulphate (20mg dispersible tablet)</w:t>
            </w:r>
          </w:p>
        </w:tc>
        <w:tc>
          <w:tcPr>
            <w:tcW w:w="1540" w:type="dxa"/>
            <w:noWrap/>
            <w:hideMark/>
          </w:tcPr>
          <w:p w14:paraId="1B14B3F0"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0447C333"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Zinc supplements are recommended to reduce the severity and duration of acute diarrhoea. If given for 10 to 14 days, zinc also reduces the incidence of new episodes of diarrhoea in the 2 to 3 months following treatment.</w:t>
            </w:r>
          </w:p>
          <w:p w14:paraId="50183A2B"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4C7C57C4" w14:textId="77777777" w:rsidR="009443FF" w:rsidRPr="00486970" w:rsidRDefault="000B31FA" w:rsidP="00D942BA">
            <w:pPr>
              <w:rPr>
                <w:rFonts w:cstheme="minorHAnsi"/>
                <w:bCs/>
                <w:sz w:val="20"/>
                <w:szCs w:val="20"/>
              </w:rPr>
            </w:pPr>
            <w:hyperlink r:id="rId49" w:history="1">
              <w:r w:rsidR="009443FF" w:rsidRPr="00486970">
                <w:rPr>
                  <w:rFonts w:cstheme="minorHAnsi"/>
                  <w:bCs/>
                  <w:color w:val="0000FF" w:themeColor="hyperlink"/>
                  <w:sz w:val="20"/>
                  <w:szCs w:val="20"/>
                  <w:u w:val="single"/>
                </w:rPr>
                <w:t>Diarrhoea treatment guidelines including new recommendations for the use of ORS and zinc supplementation for clinic-based healthcare workers</w:t>
              </w:r>
            </w:hyperlink>
          </w:p>
          <w:p w14:paraId="593FD35E"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17.5.2</w:t>
            </w:r>
          </w:p>
        </w:tc>
      </w:tr>
      <w:tr w:rsidR="009443FF" w:rsidRPr="00486970" w14:paraId="3DD549EE" w14:textId="77777777" w:rsidTr="00D942BA">
        <w:trPr>
          <w:trHeight w:val="900"/>
        </w:trPr>
        <w:tc>
          <w:tcPr>
            <w:tcW w:w="4923" w:type="dxa"/>
            <w:noWrap/>
            <w:hideMark/>
          </w:tcPr>
          <w:p w14:paraId="13396F7F" w14:textId="77777777" w:rsidR="009443FF" w:rsidRPr="00486970" w:rsidRDefault="009443FF" w:rsidP="00D942BA">
            <w:pPr>
              <w:rPr>
                <w:rFonts w:cstheme="minorHAnsi"/>
                <w:sz w:val="20"/>
                <w:szCs w:val="20"/>
              </w:rPr>
            </w:pPr>
            <w:r w:rsidRPr="00486970">
              <w:rPr>
                <w:rFonts w:cstheme="minorHAnsi"/>
                <w:sz w:val="20"/>
                <w:szCs w:val="20"/>
              </w:rPr>
              <w:t>Oxytocin (5iu or 10iu injection)</w:t>
            </w:r>
          </w:p>
        </w:tc>
        <w:tc>
          <w:tcPr>
            <w:tcW w:w="1540" w:type="dxa"/>
            <w:noWrap/>
            <w:hideMark/>
          </w:tcPr>
          <w:p w14:paraId="1D7725FE"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7EF951D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Oxytocin, a peptide hormone, is used for the prevention and treatment of postpartum and post-abortion haemorrhage in emergency situations. It is the recommended that all women giving birth should be </w:t>
            </w:r>
            <w:r w:rsidRPr="00486970">
              <w:rPr>
                <w:rFonts w:cstheme="minorHAnsi"/>
                <w:sz w:val="20"/>
                <w:szCs w:val="20"/>
              </w:rPr>
              <w:lastRenderedPageBreak/>
              <w:t>offered uterotonic drugs, such as oxytocin, during the third stage of labour for the prevention of PPH.</w:t>
            </w:r>
          </w:p>
          <w:p w14:paraId="3DC6392E"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0" w:history="1">
              <w:r w:rsidRPr="00486970">
                <w:rPr>
                  <w:rFonts w:cstheme="minorHAnsi"/>
                  <w:color w:val="0000FF" w:themeColor="hyperlink"/>
                  <w:sz w:val="20"/>
                  <w:szCs w:val="20"/>
                  <w:u w:val="single"/>
                </w:rPr>
                <w:t>WHO Recommendations for the Prevention and Treatment of Postpartum Haemorrhage</w:t>
              </w:r>
            </w:hyperlink>
            <w:r w:rsidRPr="00486970">
              <w:rPr>
                <w:rFonts w:cstheme="minorHAnsi"/>
                <w:color w:val="0000FF" w:themeColor="hyperlink"/>
                <w:sz w:val="20"/>
                <w:szCs w:val="20"/>
                <w:u w:val="single"/>
              </w:rPr>
              <w:t xml:space="preserve">, </w:t>
            </w:r>
            <w:hyperlink r:id="rId51" w:history="1">
              <w:r w:rsidRPr="00486970">
                <w:rPr>
                  <w:rFonts w:cstheme="minorHAnsi"/>
                  <w:color w:val="0000FF" w:themeColor="hyperlink"/>
                  <w:sz w:val="20"/>
                  <w:szCs w:val="20"/>
                  <w:u w:val="single"/>
                </w:rPr>
                <w:t>UNFPA Medicines for Maternal Health</w:t>
              </w:r>
            </w:hyperlink>
          </w:p>
          <w:p w14:paraId="788C6A4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22.1</w:t>
            </w:r>
          </w:p>
        </w:tc>
      </w:tr>
      <w:tr w:rsidR="009443FF" w:rsidRPr="00486970" w14:paraId="280D997B" w14:textId="77777777" w:rsidTr="00D942BA">
        <w:trPr>
          <w:trHeight w:val="300"/>
        </w:trPr>
        <w:tc>
          <w:tcPr>
            <w:tcW w:w="4923" w:type="dxa"/>
            <w:noWrap/>
            <w:hideMark/>
          </w:tcPr>
          <w:p w14:paraId="3A82154A" w14:textId="77777777" w:rsidR="009443FF" w:rsidRPr="00486970" w:rsidRDefault="009443FF" w:rsidP="00D942BA">
            <w:pPr>
              <w:rPr>
                <w:rFonts w:cstheme="minorHAnsi"/>
                <w:sz w:val="20"/>
                <w:szCs w:val="20"/>
              </w:rPr>
            </w:pPr>
            <w:r w:rsidRPr="00486970">
              <w:rPr>
                <w:rFonts w:cstheme="minorHAnsi"/>
                <w:sz w:val="20"/>
                <w:szCs w:val="20"/>
              </w:rPr>
              <w:t>Magnesium sulphate 50% 10ml Injection</w:t>
            </w:r>
          </w:p>
        </w:tc>
        <w:tc>
          <w:tcPr>
            <w:tcW w:w="1540" w:type="dxa"/>
            <w:noWrap/>
            <w:hideMark/>
          </w:tcPr>
          <w:p w14:paraId="2B778BF4"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2440E1D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Magnesium sulfate, an anticonvulsant, is used in the management and prevention of recurrent seizures in eclampsia and pre-eclampsia.</w:t>
            </w:r>
          </w:p>
          <w:p w14:paraId="6824B28B"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2E27C99" w14:textId="77777777" w:rsidR="009443FF" w:rsidRPr="00486970" w:rsidRDefault="000B31FA" w:rsidP="00D942BA">
            <w:pPr>
              <w:rPr>
                <w:rFonts w:cstheme="minorHAnsi"/>
                <w:sz w:val="20"/>
                <w:szCs w:val="20"/>
              </w:rPr>
            </w:pPr>
            <w:hyperlink r:id="rId52" w:history="1">
              <w:r w:rsidR="009443FF" w:rsidRPr="00486970">
                <w:rPr>
                  <w:rFonts w:cstheme="minorHAnsi"/>
                  <w:color w:val="0000FF" w:themeColor="hyperlink"/>
                  <w:sz w:val="20"/>
                  <w:szCs w:val="20"/>
                  <w:u w:val="single"/>
                </w:rPr>
                <w:t>WHO recommendation on magnesium sulfate for the prevention of eclampsia in women with severe pre-eclampsia</w:t>
              </w:r>
            </w:hyperlink>
            <w:r w:rsidR="009443FF" w:rsidRPr="00486970">
              <w:rPr>
                <w:rFonts w:cstheme="minorHAnsi"/>
                <w:color w:val="0000FF" w:themeColor="hyperlink"/>
                <w:sz w:val="20"/>
                <w:szCs w:val="20"/>
                <w:u w:val="single"/>
              </w:rPr>
              <w:t xml:space="preserve">, </w:t>
            </w:r>
            <w:hyperlink r:id="rId53" w:history="1">
              <w:r w:rsidR="009443FF" w:rsidRPr="00486970">
                <w:rPr>
                  <w:rFonts w:cstheme="minorHAnsi"/>
                  <w:color w:val="0000FF" w:themeColor="hyperlink"/>
                  <w:sz w:val="20"/>
                  <w:szCs w:val="20"/>
                  <w:u w:val="single"/>
                </w:rPr>
                <w:t>UNFPA Medicines for Maternal Health</w:t>
              </w:r>
            </w:hyperlink>
          </w:p>
          <w:p w14:paraId="25D2EE52"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5</w:t>
            </w:r>
          </w:p>
        </w:tc>
      </w:tr>
      <w:tr w:rsidR="009443FF" w:rsidRPr="00486970" w14:paraId="487558A9" w14:textId="77777777" w:rsidTr="00D942BA">
        <w:trPr>
          <w:trHeight w:val="300"/>
        </w:trPr>
        <w:tc>
          <w:tcPr>
            <w:tcW w:w="4923" w:type="dxa"/>
            <w:noWrap/>
          </w:tcPr>
          <w:p w14:paraId="2CC5C76C" w14:textId="77777777" w:rsidR="009443FF" w:rsidRPr="00486970" w:rsidRDefault="009443FF" w:rsidP="00D942BA">
            <w:pPr>
              <w:rPr>
                <w:rFonts w:cstheme="minorHAnsi"/>
                <w:sz w:val="20"/>
                <w:szCs w:val="20"/>
              </w:rPr>
            </w:pPr>
            <w:r w:rsidRPr="00486970">
              <w:rPr>
                <w:rFonts w:cstheme="minorHAnsi"/>
                <w:sz w:val="20"/>
                <w:szCs w:val="20"/>
              </w:rPr>
              <w:t>Folic acid</w:t>
            </w:r>
          </w:p>
        </w:tc>
        <w:tc>
          <w:tcPr>
            <w:tcW w:w="1540" w:type="dxa"/>
            <w:noWrap/>
          </w:tcPr>
          <w:p w14:paraId="3A803581"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tcPr>
          <w:p w14:paraId="63916356"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Single-agent folic acid is important for the prevention of neural tube defects and should be taken periconceptionally and in first trimester of pregnancy. </w:t>
            </w:r>
          </w:p>
          <w:p w14:paraId="5B9CD366" w14:textId="77777777" w:rsidR="009443FF" w:rsidRPr="00486970" w:rsidRDefault="009443FF" w:rsidP="00D942BA">
            <w:pPr>
              <w:rPr>
                <w:rFonts w:cstheme="minorHAnsi"/>
                <w:bCs/>
                <w:sz w:val="20"/>
                <w:szCs w:val="20"/>
              </w:rPr>
            </w:pPr>
            <w:r w:rsidRPr="00486970">
              <w:rPr>
                <w:rFonts w:cstheme="minorHAnsi"/>
                <w:b/>
                <w:sz w:val="20"/>
                <w:szCs w:val="20"/>
              </w:rPr>
              <w:t xml:space="preserve">Treatment References: </w:t>
            </w:r>
            <w:hyperlink r:id="rId54" w:history="1">
              <w:r w:rsidRPr="00486970">
                <w:rPr>
                  <w:rFonts w:cstheme="minorHAnsi"/>
                  <w:bCs/>
                  <w:color w:val="0000FF" w:themeColor="hyperlink"/>
                  <w:sz w:val="20"/>
                  <w:szCs w:val="20"/>
                  <w:u w:val="single"/>
                </w:rPr>
                <w:t>WHO recommendation on periconceptional folic acid supplementation to prevent neural tube defects</w:t>
              </w:r>
            </w:hyperlink>
          </w:p>
          <w:p w14:paraId="2A66E53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10.1</w:t>
            </w:r>
          </w:p>
        </w:tc>
      </w:tr>
      <w:tr w:rsidR="009443FF" w:rsidRPr="00486970" w14:paraId="2D3A1460" w14:textId="77777777" w:rsidTr="00D942BA">
        <w:trPr>
          <w:trHeight w:val="300"/>
        </w:trPr>
        <w:tc>
          <w:tcPr>
            <w:tcW w:w="4923" w:type="dxa"/>
            <w:noWrap/>
            <w:hideMark/>
          </w:tcPr>
          <w:p w14:paraId="58D71CC4" w14:textId="77777777" w:rsidR="009443FF" w:rsidRPr="00486970" w:rsidRDefault="009443FF" w:rsidP="00D942BA">
            <w:pPr>
              <w:rPr>
                <w:rFonts w:cstheme="minorHAnsi"/>
                <w:sz w:val="20"/>
                <w:szCs w:val="20"/>
              </w:rPr>
            </w:pPr>
            <w:r w:rsidRPr="00486970">
              <w:rPr>
                <w:rFonts w:cstheme="minorHAnsi"/>
                <w:sz w:val="20"/>
                <w:szCs w:val="20"/>
              </w:rPr>
              <w:t xml:space="preserve">Artemisinin-based combination therapy (ACT) for treatment of uncomplicated </w:t>
            </w:r>
            <w:r w:rsidRPr="00486970">
              <w:rPr>
                <w:rFonts w:cstheme="minorHAnsi"/>
                <w:i/>
                <w:iCs/>
                <w:sz w:val="20"/>
                <w:szCs w:val="20"/>
              </w:rPr>
              <w:t>P. falciparum</w:t>
            </w:r>
            <w:r w:rsidRPr="00486970">
              <w:rPr>
                <w:rFonts w:cstheme="minorHAnsi"/>
                <w:sz w:val="20"/>
                <w:szCs w:val="20"/>
              </w:rPr>
              <w:t xml:space="preserve"> malaria.</w:t>
            </w:r>
          </w:p>
          <w:p w14:paraId="4F776F15" w14:textId="77777777" w:rsidR="009443FF" w:rsidRPr="00486970" w:rsidRDefault="009443FF" w:rsidP="00D942BA">
            <w:pPr>
              <w:rPr>
                <w:rFonts w:cstheme="minorHAnsi"/>
                <w:sz w:val="20"/>
                <w:szCs w:val="20"/>
              </w:rPr>
            </w:pPr>
            <w:r w:rsidRPr="00486970">
              <w:rPr>
                <w:rFonts w:cstheme="minorHAnsi"/>
                <w:sz w:val="20"/>
                <w:szCs w:val="20"/>
              </w:rPr>
              <w:t>One of the following:</w:t>
            </w:r>
          </w:p>
          <w:p w14:paraId="33ED5757"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Artemether+lumefantrine  (20/120 mg cap/tab)</w:t>
            </w:r>
          </w:p>
          <w:p w14:paraId="333C6EDC"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Artesunate+amodiaquine  (any strength)</w:t>
            </w:r>
          </w:p>
          <w:p w14:paraId="3075C7FD"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Artesunate+mefloquine (any strength)</w:t>
            </w:r>
          </w:p>
          <w:p w14:paraId="3185F520"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Dihydroartemisinin+piperaquine (any strength)</w:t>
            </w:r>
          </w:p>
          <w:p w14:paraId="7B1999A6"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Artesunate+sulfadoxine-pyrimethamine (50 mg+500mg/25mg)</w:t>
            </w:r>
          </w:p>
        </w:tc>
        <w:tc>
          <w:tcPr>
            <w:tcW w:w="1540" w:type="dxa"/>
            <w:noWrap/>
            <w:hideMark/>
          </w:tcPr>
          <w:p w14:paraId="20286B05" w14:textId="77777777" w:rsidR="009443FF" w:rsidRPr="00486970" w:rsidRDefault="009443FF" w:rsidP="00D942BA">
            <w:pPr>
              <w:rPr>
                <w:rFonts w:cstheme="minorHAnsi"/>
                <w:sz w:val="20"/>
                <w:szCs w:val="20"/>
              </w:rPr>
            </w:pPr>
            <w:r w:rsidRPr="00486970">
              <w:rPr>
                <w:rFonts w:cstheme="minorHAnsi"/>
                <w:sz w:val="20"/>
                <w:szCs w:val="20"/>
              </w:rPr>
              <w:t>Anti-malarial</w:t>
            </w:r>
          </w:p>
        </w:tc>
        <w:tc>
          <w:tcPr>
            <w:tcW w:w="4820" w:type="dxa"/>
            <w:noWrap/>
            <w:hideMark/>
          </w:tcPr>
          <w:p w14:paraId="499E6014"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WHO Guidelines recommend treating adults and children with uncomplicated </w:t>
            </w:r>
            <w:r w:rsidRPr="00486970">
              <w:rPr>
                <w:rFonts w:cstheme="minorHAnsi"/>
                <w:i/>
                <w:iCs/>
                <w:sz w:val="20"/>
                <w:szCs w:val="20"/>
              </w:rPr>
              <w:t>P. falciparum</w:t>
            </w:r>
            <w:r w:rsidRPr="00486970">
              <w:rPr>
                <w:rFonts w:cstheme="minorHAnsi"/>
                <w:sz w:val="20"/>
                <w:szCs w:val="20"/>
              </w:rPr>
              <w:t xml:space="preserve"> malaria with artemisinin-based combination therapy (strong recommendation, high-quality evidence). </w:t>
            </w:r>
          </w:p>
          <w:p w14:paraId="5BD8C11F"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5" w:history="1">
              <w:r w:rsidRPr="00486970">
                <w:rPr>
                  <w:rFonts w:cstheme="minorHAnsi"/>
                  <w:color w:val="0000FF" w:themeColor="hyperlink"/>
                  <w:sz w:val="20"/>
                  <w:szCs w:val="20"/>
                  <w:u w:val="single"/>
                </w:rPr>
                <w:t>WHO Guidelines for the Treatment of Malaria</w:t>
              </w:r>
            </w:hyperlink>
          </w:p>
          <w:p w14:paraId="2575A4A5"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6.5.3.1</w:t>
            </w:r>
          </w:p>
        </w:tc>
      </w:tr>
      <w:tr w:rsidR="009443FF" w:rsidRPr="00486970" w14:paraId="5BBD02C5" w14:textId="77777777" w:rsidTr="00D942BA">
        <w:trPr>
          <w:trHeight w:val="300"/>
        </w:trPr>
        <w:tc>
          <w:tcPr>
            <w:tcW w:w="4923" w:type="dxa"/>
            <w:noWrap/>
          </w:tcPr>
          <w:p w14:paraId="282C76D3" w14:textId="77777777" w:rsidR="009443FF" w:rsidRPr="00486970" w:rsidRDefault="009443FF" w:rsidP="00D942BA">
            <w:pPr>
              <w:rPr>
                <w:rFonts w:cstheme="minorHAnsi"/>
                <w:sz w:val="20"/>
                <w:szCs w:val="20"/>
              </w:rPr>
            </w:pPr>
            <w:r w:rsidRPr="00486970">
              <w:rPr>
                <w:rFonts w:cstheme="minorHAnsi"/>
                <w:sz w:val="20"/>
                <w:szCs w:val="20"/>
              </w:rPr>
              <w:t>Artesunate (60 mg injection or 100 mg rectal dose form)</w:t>
            </w:r>
          </w:p>
        </w:tc>
        <w:tc>
          <w:tcPr>
            <w:tcW w:w="1540" w:type="dxa"/>
            <w:noWrap/>
          </w:tcPr>
          <w:p w14:paraId="4CD74F39" w14:textId="77777777" w:rsidR="009443FF" w:rsidRPr="00486970" w:rsidRDefault="009443FF" w:rsidP="00D942BA">
            <w:pPr>
              <w:rPr>
                <w:rFonts w:cstheme="minorHAnsi"/>
                <w:sz w:val="20"/>
                <w:szCs w:val="20"/>
              </w:rPr>
            </w:pPr>
            <w:r w:rsidRPr="00486970">
              <w:rPr>
                <w:rFonts w:cstheme="minorHAnsi"/>
                <w:sz w:val="20"/>
                <w:szCs w:val="20"/>
              </w:rPr>
              <w:t>Anti-malarial</w:t>
            </w:r>
          </w:p>
        </w:tc>
        <w:tc>
          <w:tcPr>
            <w:tcW w:w="4820" w:type="dxa"/>
            <w:noWrap/>
          </w:tcPr>
          <w:p w14:paraId="7B071DFD"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IM or rectal artesunate is recommended pre-referral treatment of suspected cases of severe malaria pending transfer to a higher level facility.</w:t>
            </w:r>
          </w:p>
          <w:p w14:paraId="5B165C68"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6" w:history="1">
              <w:r w:rsidRPr="00486970">
                <w:rPr>
                  <w:rFonts w:cstheme="minorHAnsi"/>
                  <w:color w:val="0000FF" w:themeColor="hyperlink"/>
                  <w:sz w:val="20"/>
                  <w:szCs w:val="20"/>
                  <w:u w:val="single"/>
                </w:rPr>
                <w:t>WHO Guidelines for the Treatment of Malaria</w:t>
              </w:r>
            </w:hyperlink>
          </w:p>
          <w:p w14:paraId="03E3F866"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6.5.3.1</w:t>
            </w:r>
          </w:p>
        </w:tc>
      </w:tr>
      <w:tr w:rsidR="009443FF" w:rsidRPr="00486970" w14:paraId="767CDAD0" w14:textId="77777777" w:rsidTr="00D942BA">
        <w:trPr>
          <w:trHeight w:val="300"/>
        </w:trPr>
        <w:tc>
          <w:tcPr>
            <w:tcW w:w="4923" w:type="dxa"/>
            <w:noWrap/>
            <w:hideMark/>
          </w:tcPr>
          <w:p w14:paraId="7D2035BA" w14:textId="77777777" w:rsidR="009443FF" w:rsidRPr="00486970" w:rsidRDefault="009443FF" w:rsidP="00D942BA">
            <w:pPr>
              <w:rPr>
                <w:rFonts w:cstheme="minorHAnsi"/>
                <w:sz w:val="20"/>
                <w:szCs w:val="20"/>
              </w:rPr>
            </w:pPr>
            <w:r w:rsidRPr="00486970">
              <w:rPr>
                <w:rFonts w:cstheme="minorHAnsi"/>
                <w:sz w:val="20"/>
                <w:szCs w:val="20"/>
              </w:rPr>
              <w:t xml:space="preserve">Combination anti-retroviral therapy for first line treatment of HIV </w:t>
            </w:r>
          </w:p>
          <w:p w14:paraId="57BA0B91" w14:textId="77777777" w:rsidR="009443FF" w:rsidRPr="00486970" w:rsidRDefault="009443FF" w:rsidP="00D942BA">
            <w:pPr>
              <w:rPr>
                <w:rFonts w:cstheme="minorHAnsi"/>
                <w:sz w:val="20"/>
                <w:szCs w:val="20"/>
              </w:rPr>
            </w:pPr>
            <w:r w:rsidRPr="00486970">
              <w:rPr>
                <w:rFonts w:cstheme="minorHAnsi"/>
                <w:sz w:val="20"/>
                <w:szCs w:val="20"/>
              </w:rPr>
              <w:t>One of the following combinations individually for concomitant use or in fixed-dose combination:</w:t>
            </w:r>
          </w:p>
          <w:p w14:paraId="175AA234" w14:textId="77777777" w:rsidR="009443FF" w:rsidRPr="00486970" w:rsidRDefault="009443FF" w:rsidP="00D942BA">
            <w:pPr>
              <w:rPr>
                <w:rFonts w:cstheme="minorHAnsi"/>
                <w:sz w:val="20"/>
                <w:szCs w:val="20"/>
              </w:rPr>
            </w:pPr>
          </w:p>
          <w:p w14:paraId="0B0D6748" w14:textId="77777777" w:rsidR="009443FF" w:rsidRPr="003B6F65" w:rsidRDefault="009443FF" w:rsidP="00D942BA">
            <w:pPr>
              <w:rPr>
                <w:rFonts w:cstheme="minorHAnsi"/>
                <w:sz w:val="20"/>
                <w:szCs w:val="20"/>
                <w:lang w:val="fr-FR"/>
              </w:rPr>
            </w:pPr>
            <w:r w:rsidRPr="003B6F65">
              <w:rPr>
                <w:rFonts w:cstheme="minorHAnsi"/>
                <w:sz w:val="20"/>
                <w:szCs w:val="20"/>
                <w:lang w:val="fr-FR"/>
              </w:rPr>
              <w:t>1. Efavirenz (400 mg or 600 mg) + Emtricitabine (200 mg) + Tenofovir disoproxil fumarate (300 mg)</w:t>
            </w:r>
          </w:p>
          <w:p w14:paraId="1C3FE616" w14:textId="77777777" w:rsidR="009443FF" w:rsidRPr="003B6F65" w:rsidRDefault="009443FF" w:rsidP="00D942BA">
            <w:pPr>
              <w:rPr>
                <w:rFonts w:cstheme="minorHAnsi"/>
                <w:sz w:val="20"/>
                <w:szCs w:val="20"/>
                <w:lang w:val="fr-FR"/>
              </w:rPr>
            </w:pPr>
          </w:p>
          <w:p w14:paraId="5A6AA4EB" w14:textId="77777777" w:rsidR="009443FF" w:rsidRPr="003B6F65" w:rsidRDefault="009443FF" w:rsidP="00D942BA">
            <w:pPr>
              <w:rPr>
                <w:rFonts w:cstheme="minorHAnsi"/>
                <w:sz w:val="20"/>
                <w:szCs w:val="20"/>
                <w:lang w:val="fr-FR"/>
              </w:rPr>
            </w:pPr>
            <w:r w:rsidRPr="003B6F65">
              <w:rPr>
                <w:rFonts w:cstheme="minorHAnsi"/>
                <w:sz w:val="20"/>
                <w:szCs w:val="20"/>
                <w:lang w:val="fr-FR"/>
              </w:rPr>
              <w:t>2. Efavirenz (400 mg or 600 mg) + Lamivudine (300 mg) + Tenofovir disoproxil fumarate (300 mg)</w:t>
            </w:r>
          </w:p>
        </w:tc>
        <w:tc>
          <w:tcPr>
            <w:tcW w:w="1540" w:type="dxa"/>
            <w:noWrap/>
            <w:hideMark/>
          </w:tcPr>
          <w:p w14:paraId="4845BDC9" w14:textId="77777777" w:rsidR="009443FF" w:rsidRPr="00486970" w:rsidRDefault="009443FF" w:rsidP="00D942BA">
            <w:pPr>
              <w:rPr>
                <w:rFonts w:cstheme="minorHAnsi"/>
                <w:sz w:val="20"/>
                <w:szCs w:val="20"/>
              </w:rPr>
            </w:pPr>
            <w:r w:rsidRPr="00486970">
              <w:rPr>
                <w:rFonts w:cstheme="minorHAnsi"/>
                <w:sz w:val="20"/>
                <w:szCs w:val="20"/>
              </w:rPr>
              <w:t>Antiretroviral</w:t>
            </w:r>
          </w:p>
        </w:tc>
        <w:tc>
          <w:tcPr>
            <w:tcW w:w="4820" w:type="dxa"/>
            <w:noWrap/>
            <w:hideMark/>
          </w:tcPr>
          <w:p w14:paraId="368EAFDF"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Efavirenz/Emtricitabine/Tenofovir is the preferred fixed-dose combination antiretroviral therapies for treatment of HIV in adults, pregnant or breastfeeding women, and adolescents. </w:t>
            </w:r>
          </w:p>
          <w:p w14:paraId="1AFDCE6A"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7" w:history="1">
              <w:r w:rsidRPr="00486970">
                <w:rPr>
                  <w:rFonts w:cstheme="minorHAnsi"/>
                  <w:color w:val="0000FF" w:themeColor="hyperlink"/>
                  <w:sz w:val="20"/>
                  <w:szCs w:val="20"/>
                  <w:u w:val="single"/>
                </w:rPr>
                <w:t>WHO Consolidated Guidelines on the Use of Antiretroviral Drugs for Treating and Preventing HIV Infection</w:t>
              </w:r>
            </w:hyperlink>
          </w:p>
          <w:p w14:paraId="15E4682A"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6.4.2.4</w:t>
            </w:r>
          </w:p>
        </w:tc>
      </w:tr>
      <w:tr w:rsidR="009443FF" w:rsidRPr="00486970" w14:paraId="162208BE" w14:textId="77777777" w:rsidTr="00D942BA">
        <w:trPr>
          <w:trHeight w:val="300"/>
        </w:trPr>
        <w:tc>
          <w:tcPr>
            <w:tcW w:w="4923" w:type="dxa"/>
            <w:noWrap/>
          </w:tcPr>
          <w:p w14:paraId="2EE34950" w14:textId="77777777" w:rsidR="009443FF" w:rsidRPr="00486970" w:rsidRDefault="009443FF" w:rsidP="00D942BA">
            <w:pPr>
              <w:rPr>
                <w:rFonts w:cstheme="minorHAnsi"/>
                <w:sz w:val="20"/>
                <w:szCs w:val="20"/>
              </w:rPr>
            </w:pPr>
            <w:r w:rsidRPr="00486970">
              <w:rPr>
                <w:rFonts w:cstheme="minorHAnsi"/>
                <w:sz w:val="20"/>
                <w:szCs w:val="20"/>
              </w:rPr>
              <w:t>Ibuprofen (200mg tablet)</w:t>
            </w:r>
          </w:p>
        </w:tc>
        <w:tc>
          <w:tcPr>
            <w:tcW w:w="1540" w:type="dxa"/>
            <w:noWrap/>
          </w:tcPr>
          <w:p w14:paraId="60803D54" w14:textId="77777777" w:rsidR="009443FF" w:rsidRPr="00486970" w:rsidRDefault="009443FF" w:rsidP="00D942BA">
            <w:pPr>
              <w:rPr>
                <w:rFonts w:cstheme="minorHAnsi"/>
                <w:sz w:val="20"/>
                <w:szCs w:val="20"/>
              </w:rPr>
            </w:pPr>
            <w:r w:rsidRPr="00486970">
              <w:rPr>
                <w:rFonts w:cstheme="minorHAnsi"/>
                <w:sz w:val="20"/>
                <w:szCs w:val="20"/>
              </w:rPr>
              <w:t>Pain and Palliative Care</w:t>
            </w:r>
          </w:p>
        </w:tc>
        <w:tc>
          <w:tcPr>
            <w:tcW w:w="4820" w:type="dxa"/>
            <w:noWrap/>
          </w:tcPr>
          <w:p w14:paraId="32BDB35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Ibuprofen, a non-steroidal anti-inflammatory drug, is a first choice medicine in the treatment of mild pain. </w:t>
            </w:r>
          </w:p>
          <w:p w14:paraId="32967CDB"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8" w:history="1">
              <w:r w:rsidRPr="00486970">
                <w:rPr>
                  <w:rFonts w:cstheme="minorHAnsi"/>
                  <w:color w:val="0000FF" w:themeColor="hyperlink"/>
                  <w:sz w:val="20"/>
                  <w:szCs w:val="20"/>
                  <w:u w:val="single"/>
                </w:rPr>
                <w:t>WHO Guidelines on the pharmacological treatment of persisting pain in children with medical illnesses</w:t>
              </w:r>
            </w:hyperlink>
          </w:p>
          <w:p w14:paraId="5240AC62" w14:textId="77777777" w:rsidR="009443FF" w:rsidRPr="00486970" w:rsidRDefault="009443FF" w:rsidP="00D942BA">
            <w:pPr>
              <w:rPr>
                <w:rFonts w:cstheme="minorHAnsi"/>
                <w:b/>
                <w:sz w:val="20"/>
                <w:szCs w:val="20"/>
              </w:rPr>
            </w:pPr>
            <w:r w:rsidRPr="00486970">
              <w:rPr>
                <w:rFonts w:cstheme="minorHAnsi"/>
                <w:b/>
                <w:sz w:val="20"/>
                <w:szCs w:val="20"/>
              </w:rPr>
              <w:lastRenderedPageBreak/>
              <w:t>More information in WHO EML 2017 Section Reference:</w:t>
            </w:r>
            <w:r w:rsidRPr="00486970">
              <w:rPr>
                <w:rFonts w:cstheme="minorHAnsi"/>
                <w:sz w:val="20"/>
                <w:szCs w:val="20"/>
              </w:rPr>
              <w:t xml:space="preserve"> 2.1</w:t>
            </w:r>
          </w:p>
        </w:tc>
      </w:tr>
      <w:tr w:rsidR="009443FF" w:rsidRPr="00486970" w14:paraId="629A374A" w14:textId="77777777" w:rsidTr="00D942BA">
        <w:trPr>
          <w:trHeight w:val="300"/>
        </w:trPr>
        <w:tc>
          <w:tcPr>
            <w:tcW w:w="4923" w:type="dxa"/>
            <w:noWrap/>
          </w:tcPr>
          <w:p w14:paraId="32B60C09" w14:textId="77777777" w:rsidR="009443FF" w:rsidRPr="00486970" w:rsidRDefault="009443FF" w:rsidP="00D942BA">
            <w:pPr>
              <w:rPr>
                <w:rFonts w:cstheme="minorHAnsi"/>
                <w:sz w:val="20"/>
                <w:szCs w:val="20"/>
              </w:rPr>
            </w:pPr>
            <w:r w:rsidRPr="00486970">
              <w:rPr>
                <w:rFonts w:cstheme="minorHAnsi"/>
                <w:sz w:val="20"/>
                <w:szCs w:val="20"/>
              </w:rPr>
              <w:t xml:space="preserve">Chlorhexidine </w:t>
            </w:r>
          </w:p>
          <w:p w14:paraId="0CF872CA" w14:textId="77777777" w:rsidR="009443FF" w:rsidRPr="00486970" w:rsidRDefault="009443FF" w:rsidP="00D942BA">
            <w:pPr>
              <w:rPr>
                <w:rFonts w:cstheme="minorHAnsi"/>
                <w:sz w:val="20"/>
                <w:szCs w:val="20"/>
              </w:rPr>
            </w:pPr>
            <w:r w:rsidRPr="00486970">
              <w:rPr>
                <w:rFonts w:cstheme="minorHAnsi"/>
                <w:sz w:val="20"/>
                <w:szCs w:val="20"/>
              </w:rPr>
              <w:t>Solution  or gel: 7.1% (digluconate) delivering 4% chlorhexidine</w:t>
            </w:r>
          </w:p>
        </w:tc>
        <w:tc>
          <w:tcPr>
            <w:tcW w:w="1540" w:type="dxa"/>
            <w:noWrap/>
          </w:tcPr>
          <w:p w14:paraId="325867BB" w14:textId="77777777" w:rsidR="009443FF" w:rsidRPr="00486970" w:rsidRDefault="009443FF" w:rsidP="00D942BA">
            <w:pPr>
              <w:rPr>
                <w:rFonts w:cstheme="minorHAnsi"/>
                <w:sz w:val="20"/>
                <w:szCs w:val="20"/>
              </w:rPr>
            </w:pPr>
            <w:r w:rsidRPr="00486970">
              <w:rPr>
                <w:rFonts w:cstheme="minorHAnsi"/>
                <w:sz w:val="20"/>
                <w:szCs w:val="20"/>
              </w:rPr>
              <w:t>Neonatal care</w:t>
            </w:r>
          </w:p>
        </w:tc>
        <w:tc>
          <w:tcPr>
            <w:tcW w:w="4820" w:type="dxa"/>
            <w:noWrap/>
          </w:tcPr>
          <w:p w14:paraId="04903B31" w14:textId="77777777" w:rsidR="009443FF" w:rsidRPr="00486970" w:rsidRDefault="009443FF" w:rsidP="00D942BA">
            <w:pPr>
              <w:rPr>
                <w:rFonts w:cstheme="minorHAnsi"/>
                <w:bCs/>
                <w:sz w:val="20"/>
                <w:szCs w:val="20"/>
              </w:rPr>
            </w:pPr>
            <w:r w:rsidRPr="00486970">
              <w:rPr>
                <w:rFonts w:cstheme="minorHAnsi"/>
                <w:b/>
                <w:sz w:val="20"/>
                <w:szCs w:val="20"/>
              </w:rPr>
              <w:t>Rationale:</w:t>
            </w:r>
            <w:r w:rsidRPr="00486970">
              <w:rPr>
                <w:rFonts w:cstheme="minorHAnsi"/>
              </w:rPr>
              <w:t xml:space="preserve"> </w:t>
            </w:r>
            <w:r w:rsidRPr="00486970">
              <w:rPr>
                <w:rFonts w:cstheme="minorHAnsi"/>
                <w:bCs/>
                <w:sz w:val="20"/>
                <w:szCs w:val="20"/>
              </w:rPr>
              <w:t>A recommended antiseptic that should be applied to the umbilical cord in cases of unclean delivery, and if the traditional practices in place increase the risk of cord infection</w:t>
            </w:r>
          </w:p>
          <w:p w14:paraId="2C3B7A81"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59" w:history="1">
              <w:r w:rsidRPr="00486970">
                <w:rPr>
                  <w:rFonts w:cstheme="minorHAnsi"/>
                  <w:bCs/>
                  <w:color w:val="0000FF" w:themeColor="hyperlink"/>
                  <w:sz w:val="20"/>
                  <w:szCs w:val="20"/>
                  <w:u w:val="single"/>
                </w:rPr>
                <w:t>Review of the available evidence on 4% chlorhexidine solution for umbilical cord care</w:t>
              </w:r>
            </w:hyperlink>
          </w:p>
          <w:p w14:paraId="00D76715"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29.1</w:t>
            </w:r>
          </w:p>
        </w:tc>
      </w:tr>
      <w:tr w:rsidR="009443FF" w:rsidRPr="00486970" w14:paraId="5F783951" w14:textId="77777777" w:rsidTr="00D942BA">
        <w:trPr>
          <w:trHeight w:val="300"/>
        </w:trPr>
        <w:tc>
          <w:tcPr>
            <w:tcW w:w="4923" w:type="dxa"/>
            <w:noWrap/>
          </w:tcPr>
          <w:p w14:paraId="51480798" w14:textId="77777777" w:rsidR="009443FF" w:rsidRPr="00486970" w:rsidRDefault="009443FF" w:rsidP="00D942BA">
            <w:pPr>
              <w:rPr>
                <w:rFonts w:cstheme="minorHAnsi"/>
                <w:sz w:val="20"/>
                <w:szCs w:val="20"/>
              </w:rPr>
            </w:pPr>
            <w:r w:rsidRPr="00486970">
              <w:rPr>
                <w:rFonts w:cstheme="minorHAnsi"/>
                <w:sz w:val="20"/>
                <w:szCs w:val="20"/>
              </w:rPr>
              <w:t>Ready-to-use therapeutic food (RUTF),</w:t>
            </w:r>
          </w:p>
          <w:p w14:paraId="5358453C" w14:textId="77777777" w:rsidR="009443FF" w:rsidRPr="00486970" w:rsidRDefault="009443FF" w:rsidP="00D942BA">
            <w:pPr>
              <w:rPr>
                <w:rFonts w:cstheme="minorHAnsi"/>
                <w:sz w:val="20"/>
                <w:szCs w:val="20"/>
              </w:rPr>
            </w:pPr>
            <w:r w:rsidRPr="00486970">
              <w:rPr>
                <w:rFonts w:cstheme="minorHAnsi"/>
                <w:sz w:val="20"/>
                <w:szCs w:val="20"/>
              </w:rPr>
              <w:t xml:space="preserve">paste or spread (1 sachet = 92 g [500 Kcal]) </w:t>
            </w:r>
          </w:p>
          <w:p w14:paraId="7C64E1AA" w14:textId="77777777" w:rsidR="009443FF" w:rsidRPr="00486970" w:rsidRDefault="009443FF" w:rsidP="00D942BA">
            <w:pPr>
              <w:rPr>
                <w:rFonts w:cstheme="minorHAnsi"/>
                <w:sz w:val="20"/>
                <w:szCs w:val="20"/>
              </w:rPr>
            </w:pPr>
            <w:r w:rsidRPr="00486970">
              <w:rPr>
                <w:rFonts w:cstheme="minorHAnsi"/>
                <w:sz w:val="20"/>
                <w:szCs w:val="20"/>
              </w:rPr>
              <w:t>or</w:t>
            </w:r>
          </w:p>
          <w:p w14:paraId="453232EA" w14:textId="77777777" w:rsidR="009443FF" w:rsidRPr="00486970" w:rsidRDefault="009443FF" w:rsidP="00D942BA">
            <w:pPr>
              <w:rPr>
                <w:rFonts w:cstheme="minorHAnsi"/>
                <w:sz w:val="20"/>
                <w:szCs w:val="20"/>
              </w:rPr>
            </w:pPr>
            <w:r w:rsidRPr="00486970">
              <w:rPr>
                <w:rFonts w:cstheme="minorHAnsi"/>
                <w:sz w:val="20"/>
                <w:szCs w:val="20"/>
              </w:rPr>
              <w:t>biscuit (28.4g, 500 kcal per 100g)</w:t>
            </w:r>
          </w:p>
        </w:tc>
        <w:tc>
          <w:tcPr>
            <w:tcW w:w="1540" w:type="dxa"/>
            <w:noWrap/>
          </w:tcPr>
          <w:p w14:paraId="31D81419" w14:textId="77777777" w:rsidR="009443FF" w:rsidRPr="00486970" w:rsidRDefault="009443FF" w:rsidP="00D942BA">
            <w:pPr>
              <w:rPr>
                <w:rFonts w:cstheme="minorHAnsi"/>
                <w:sz w:val="20"/>
                <w:szCs w:val="20"/>
              </w:rPr>
            </w:pPr>
            <w:r w:rsidRPr="00486970">
              <w:rPr>
                <w:rFonts w:cstheme="minorHAnsi"/>
                <w:sz w:val="20"/>
                <w:szCs w:val="20"/>
              </w:rPr>
              <w:t>Nutrition</w:t>
            </w:r>
          </w:p>
        </w:tc>
        <w:tc>
          <w:tcPr>
            <w:tcW w:w="4820" w:type="dxa"/>
            <w:noWrap/>
          </w:tcPr>
          <w:p w14:paraId="4987DBCC" w14:textId="77777777" w:rsidR="009443FF" w:rsidRPr="00486970" w:rsidRDefault="009443FF" w:rsidP="00D942BA">
            <w:pPr>
              <w:rPr>
                <w:rFonts w:cstheme="minorHAnsi"/>
                <w:bCs/>
                <w:sz w:val="20"/>
                <w:szCs w:val="20"/>
              </w:rPr>
            </w:pPr>
            <w:r w:rsidRPr="00486970">
              <w:rPr>
                <w:rFonts w:cstheme="minorHAnsi"/>
                <w:b/>
                <w:sz w:val="20"/>
                <w:szCs w:val="20"/>
              </w:rPr>
              <w:t>Rationale:</w:t>
            </w:r>
            <w:r w:rsidRPr="00486970">
              <w:rPr>
                <w:rFonts w:cstheme="minorHAnsi"/>
              </w:rPr>
              <w:t xml:space="preserve"> </w:t>
            </w:r>
            <w:r w:rsidRPr="00486970">
              <w:rPr>
                <w:rFonts w:cstheme="minorHAnsi"/>
                <w:bCs/>
                <w:sz w:val="20"/>
                <w:szCs w:val="20"/>
              </w:rPr>
              <w:t>Energy-dense, micronutrient enhanced pastes used in therapeutic feeding for the community-based management of children who are suffering from uncomplicated severe acute malnutrition and who retain an appetite. Is provided as the therapeutic food in the rehabilitation phase (following F-75 in the stabilization phase)</w:t>
            </w:r>
          </w:p>
          <w:p w14:paraId="7C07FD58" w14:textId="77777777" w:rsidR="009443FF" w:rsidRPr="00486970" w:rsidRDefault="009443FF" w:rsidP="00D942BA">
            <w:pPr>
              <w:rPr>
                <w:rFonts w:cstheme="minorHAnsi"/>
                <w:color w:val="0000FF" w:themeColor="hyperlink"/>
                <w:u w:val="single"/>
              </w:rPr>
            </w:pPr>
            <w:r w:rsidRPr="00486970">
              <w:rPr>
                <w:rFonts w:cstheme="minorHAnsi"/>
                <w:b/>
                <w:sz w:val="20"/>
                <w:szCs w:val="20"/>
              </w:rPr>
              <w:t>Treatment References:</w:t>
            </w:r>
            <w:r w:rsidRPr="00486970">
              <w:rPr>
                <w:rFonts w:cstheme="minorHAnsi"/>
              </w:rPr>
              <w:t xml:space="preserve"> </w:t>
            </w:r>
            <w:hyperlink r:id="rId60" w:history="1">
              <w:r w:rsidRPr="00486970">
                <w:rPr>
                  <w:rFonts w:cstheme="minorHAnsi"/>
                  <w:color w:val="0000FF" w:themeColor="hyperlink"/>
                  <w:u w:val="single"/>
                </w:rPr>
                <w:t>WHO Guideline: Updates on the management of severe acute malnutrition in infants and children. 2013</w:t>
              </w:r>
            </w:hyperlink>
          </w:p>
          <w:p w14:paraId="598F09C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w:t>
            </w:r>
            <w:r w:rsidRPr="00486970">
              <w:rPr>
                <w:rFonts w:cstheme="minorHAnsi"/>
                <w:sz w:val="20"/>
                <w:szCs w:val="20"/>
              </w:rPr>
              <w:t xml:space="preserve"> Not currently included</w:t>
            </w:r>
          </w:p>
        </w:tc>
      </w:tr>
      <w:tr w:rsidR="009443FF" w:rsidRPr="00486970" w14:paraId="36F2B493" w14:textId="77777777" w:rsidTr="00D942BA">
        <w:trPr>
          <w:trHeight w:val="300"/>
        </w:trPr>
        <w:tc>
          <w:tcPr>
            <w:tcW w:w="4923" w:type="dxa"/>
            <w:noWrap/>
          </w:tcPr>
          <w:p w14:paraId="223BC094" w14:textId="77777777" w:rsidR="009443FF" w:rsidRPr="00486970" w:rsidRDefault="009443FF" w:rsidP="00D942BA">
            <w:pPr>
              <w:rPr>
                <w:rFonts w:cstheme="minorHAnsi"/>
                <w:sz w:val="20"/>
                <w:szCs w:val="20"/>
              </w:rPr>
            </w:pPr>
            <w:r w:rsidRPr="00486970">
              <w:rPr>
                <w:rFonts w:cstheme="minorHAnsi"/>
                <w:sz w:val="20"/>
                <w:szCs w:val="20"/>
              </w:rPr>
              <w:t>Isoniazid + pyrazinamide + rifampicin (50 mg + 150 mg + 75 mg)</w:t>
            </w:r>
          </w:p>
          <w:p w14:paraId="6957B3AC" w14:textId="77777777" w:rsidR="009443FF" w:rsidRPr="00486970" w:rsidRDefault="009443FF" w:rsidP="00D942BA">
            <w:pPr>
              <w:rPr>
                <w:rFonts w:cstheme="minorHAnsi"/>
                <w:sz w:val="20"/>
                <w:szCs w:val="20"/>
              </w:rPr>
            </w:pPr>
          </w:p>
          <w:p w14:paraId="6494B961" w14:textId="77777777" w:rsidR="009443FF" w:rsidRPr="00486970" w:rsidRDefault="009443FF" w:rsidP="00D942BA">
            <w:pPr>
              <w:rPr>
                <w:rFonts w:cstheme="minorHAnsi"/>
                <w:sz w:val="20"/>
                <w:szCs w:val="20"/>
              </w:rPr>
            </w:pPr>
          </w:p>
        </w:tc>
        <w:tc>
          <w:tcPr>
            <w:tcW w:w="1540" w:type="dxa"/>
            <w:noWrap/>
          </w:tcPr>
          <w:p w14:paraId="3898ADA8" w14:textId="77777777" w:rsidR="009443FF" w:rsidRPr="00486970" w:rsidRDefault="009443FF" w:rsidP="00D942BA">
            <w:pPr>
              <w:rPr>
                <w:rFonts w:cstheme="minorHAnsi"/>
                <w:sz w:val="20"/>
                <w:szCs w:val="20"/>
              </w:rPr>
            </w:pPr>
            <w:r w:rsidRPr="00486970">
              <w:rPr>
                <w:rFonts w:cstheme="minorHAnsi"/>
                <w:sz w:val="20"/>
                <w:szCs w:val="20"/>
              </w:rPr>
              <w:t>Antituberculosis</w:t>
            </w:r>
          </w:p>
        </w:tc>
        <w:tc>
          <w:tcPr>
            <w:tcW w:w="4820" w:type="dxa"/>
            <w:noWrap/>
          </w:tcPr>
          <w:p w14:paraId="544AE3B1"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sz w:val="20"/>
                <w:szCs w:val="20"/>
              </w:rPr>
              <w:t>Isoniazid + pyrazinamide + rifampicin  is recommended as fixed-dose combination therapy for the intensive phase of treatment of drug-susceptible tuberculosis in children.</w:t>
            </w:r>
          </w:p>
          <w:p w14:paraId="580DD916" w14:textId="77777777" w:rsidR="009443FF" w:rsidRPr="00486970" w:rsidRDefault="009443FF" w:rsidP="00D942BA">
            <w:pPr>
              <w:rPr>
                <w:rFonts w:cstheme="minorHAnsi"/>
                <w:color w:val="0000FF" w:themeColor="hyperlink"/>
                <w:sz w:val="20"/>
                <w:szCs w:val="20"/>
                <w:u w:val="single"/>
              </w:rPr>
            </w:pPr>
            <w:r w:rsidRPr="00486970">
              <w:rPr>
                <w:rFonts w:cstheme="minorHAnsi"/>
                <w:b/>
                <w:sz w:val="20"/>
                <w:szCs w:val="20"/>
              </w:rPr>
              <w:t xml:space="preserve">Treatment References: </w:t>
            </w:r>
            <w:r w:rsidRPr="00486970">
              <w:rPr>
                <w:rFonts w:cstheme="minorHAnsi"/>
                <w:sz w:val="20"/>
                <w:szCs w:val="20"/>
              </w:rPr>
              <w:fldChar w:fldCharType="begin"/>
            </w:r>
            <w:r w:rsidRPr="00486970">
              <w:rPr>
                <w:rFonts w:cstheme="minorHAnsi"/>
                <w:sz w:val="20"/>
                <w:szCs w:val="20"/>
              </w:rPr>
              <w:instrText xml:space="preserve"> HYPERLINK "http://apps.who.int/medicinedocs/documents/s21535en/s21535en.pdf" </w:instrText>
            </w:r>
            <w:r w:rsidRPr="00486970">
              <w:rPr>
                <w:rFonts w:cstheme="minorHAnsi"/>
                <w:sz w:val="20"/>
                <w:szCs w:val="20"/>
              </w:rPr>
              <w:fldChar w:fldCharType="separate"/>
            </w:r>
            <w:r w:rsidRPr="00486970">
              <w:rPr>
                <w:rFonts w:cstheme="minorHAnsi"/>
                <w:color w:val="0000FF" w:themeColor="hyperlink"/>
                <w:sz w:val="20"/>
                <w:szCs w:val="20"/>
                <w:u w:val="single"/>
              </w:rPr>
              <w:t>Guidance for national tuberculosis programmes on the</w:t>
            </w:r>
          </w:p>
          <w:p w14:paraId="264E0E64" w14:textId="77777777" w:rsidR="009443FF" w:rsidRPr="00486970" w:rsidRDefault="009443FF" w:rsidP="00D942BA">
            <w:pPr>
              <w:rPr>
                <w:rFonts w:cstheme="minorHAnsi"/>
                <w:sz w:val="20"/>
                <w:szCs w:val="20"/>
              </w:rPr>
            </w:pPr>
            <w:r w:rsidRPr="00486970">
              <w:rPr>
                <w:rFonts w:cstheme="minorHAnsi"/>
                <w:color w:val="0000FF" w:themeColor="hyperlink"/>
                <w:sz w:val="20"/>
                <w:szCs w:val="20"/>
                <w:u w:val="single"/>
              </w:rPr>
              <w:t>management of tuberculosis in children, 2014</w:t>
            </w:r>
            <w:r w:rsidRPr="00486970">
              <w:rPr>
                <w:rFonts w:cstheme="minorHAnsi"/>
                <w:sz w:val="20"/>
                <w:szCs w:val="20"/>
              </w:rPr>
              <w:fldChar w:fldCharType="end"/>
            </w:r>
          </w:p>
          <w:p w14:paraId="1B8ACD4D"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6.2.4</w:t>
            </w:r>
          </w:p>
        </w:tc>
      </w:tr>
      <w:tr w:rsidR="009443FF" w:rsidRPr="00486970" w14:paraId="2F812EE0" w14:textId="77777777" w:rsidTr="00D942BA">
        <w:trPr>
          <w:trHeight w:val="300"/>
        </w:trPr>
        <w:tc>
          <w:tcPr>
            <w:tcW w:w="4923" w:type="dxa"/>
            <w:noWrap/>
          </w:tcPr>
          <w:p w14:paraId="18064EAF" w14:textId="77777777" w:rsidR="009443FF" w:rsidRPr="00486970" w:rsidRDefault="009443FF" w:rsidP="00D942BA">
            <w:pPr>
              <w:rPr>
                <w:rFonts w:cstheme="minorHAnsi"/>
                <w:sz w:val="20"/>
                <w:szCs w:val="20"/>
              </w:rPr>
            </w:pPr>
            <w:r w:rsidRPr="00486970">
              <w:rPr>
                <w:rFonts w:cstheme="minorHAnsi"/>
                <w:sz w:val="20"/>
                <w:szCs w:val="20"/>
              </w:rPr>
              <w:t>Erythropoiesis - stimulating agents.</w:t>
            </w:r>
          </w:p>
          <w:p w14:paraId="45055CE6" w14:textId="77777777" w:rsidR="009443FF" w:rsidRPr="00486970" w:rsidRDefault="009443FF" w:rsidP="00D942BA">
            <w:pPr>
              <w:rPr>
                <w:rFonts w:cstheme="minorHAnsi"/>
                <w:sz w:val="20"/>
                <w:szCs w:val="20"/>
              </w:rPr>
            </w:pPr>
            <w:r w:rsidRPr="00486970">
              <w:rPr>
                <w:rFonts w:cstheme="minorHAnsi"/>
                <w:sz w:val="20"/>
                <w:szCs w:val="20"/>
              </w:rPr>
              <w:t>One of the following:</w:t>
            </w:r>
          </w:p>
          <w:p w14:paraId="79C9CEC6" w14:textId="77777777" w:rsidR="009443FF" w:rsidRPr="00486970" w:rsidRDefault="009443FF" w:rsidP="00D942BA">
            <w:pPr>
              <w:rPr>
                <w:rFonts w:cstheme="minorHAnsi"/>
                <w:sz w:val="20"/>
                <w:szCs w:val="20"/>
              </w:rPr>
            </w:pPr>
          </w:p>
          <w:p w14:paraId="4E0E7F5C" w14:textId="77777777" w:rsidR="009443FF" w:rsidRPr="00486970" w:rsidRDefault="009443FF" w:rsidP="00D942BA">
            <w:pPr>
              <w:numPr>
                <w:ilvl w:val="0"/>
                <w:numId w:val="47"/>
              </w:numPr>
              <w:contextualSpacing/>
              <w:rPr>
                <w:rFonts w:cstheme="minorHAnsi"/>
                <w:sz w:val="20"/>
                <w:szCs w:val="20"/>
              </w:rPr>
            </w:pPr>
            <w:r w:rsidRPr="00486970">
              <w:rPr>
                <w:rFonts w:cstheme="minorHAnsi"/>
                <w:sz w:val="20"/>
                <w:szCs w:val="20"/>
              </w:rPr>
              <w:t>Epoetin alfa (2,000 IU/mL)</w:t>
            </w:r>
          </w:p>
          <w:p w14:paraId="1D38C8F6" w14:textId="77777777" w:rsidR="009443FF" w:rsidRPr="00486970" w:rsidRDefault="009443FF" w:rsidP="00D942BA">
            <w:pPr>
              <w:numPr>
                <w:ilvl w:val="0"/>
                <w:numId w:val="47"/>
              </w:numPr>
              <w:contextualSpacing/>
              <w:rPr>
                <w:rFonts w:cstheme="minorHAnsi"/>
                <w:sz w:val="20"/>
                <w:szCs w:val="20"/>
              </w:rPr>
            </w:pPr>
            <w:r w:rsidRPr="00486970">
              <w:rPr>
                <w:rFonts w:cstheme="minorHAnsi"/>
                <w:sz w:val="20"/>
                <w:szCs w:val="20"/>
              </w:rPr>
              <w:t>Darbepoetin alfa (100 mcg/mL)</w:t>
            </w:r>
          </w:p>
        </w:tc>
        <w:tc>
          <w:tcPr>
            <w:tcW w:w="1540" w:type="dxa"/>
            <w:noWrap/>
          </w:tcPr>
          <w:p w14:paraId="2682455C" w14:textId="77777777" w:rsidR="009443FF" w:rsidRPr="00486970" w:rsidRDefault="009443FF" w:rsidP="00D942BA">
            <w:pPr>
              <w:rPr>
                <w:rFonts w:cstheme="minorHAnsi"/>
                <w:sz w:val="20"/>
                <w:szCs w:val="20"/>
              </w:rPr>
            </w:pPr>
            <w:r w:rsidRPr="00486970">
              <w:rPr>
                <w:rFonts w:cstheme="minorHAnsi"/>
                <w:sz w:val="20"/>
                <w:szCs w:val="20"/>
              </w:rPr>
              <w:t>Chronic kidney disease</w:t>
            </w:r>
          </w:p>
        </w:tc>
        <w:tc>
          <w:tcPr>
            <w:tcW w:w="4820" w:type="dxa"/>
            <w:noWrap/>
          </w:tcPr>
          <w:p w14:paraId="6EAB928A" w14:textId="77777777" w:rsidR="009443FF" w:rsidRPr="00486970" w:rsidRDefault="009443FF" w:rsidP="00D942BA">
            <w:pPr>
              <w:rPr>
                <w:rFonts w:cstheme="minorHAnsi"/>
                <w:bCs/>
                <w:sz w:val="20"/>
                <w:szCs w:val="20"/>
              </w:rPr>
            </w:pPr>
            <w:r w:rsidRPr="00486970">
              <w:rPr>
                <w:rFonts w:cstheme="minorHAnsi"/>
                <w:b/>
                <w:sz w:val="20"/>
                <w:szCs w:val="20"/>
              </w:rPr>
              <w:t xml:space="preserve">Rationale: </w:t>
            </w:r>
            <w:r w:rsidRPr="00486970">
              <w:rPr>
                <w:rFonts w:cstheme="minorHAnsi"/>
                <w:bCs/>
                <w:sz w:val="20"/>
                <w:szCs w:val="20"/>
              </w:rPr>
              <w:t>Erythropoiesis-stimulating agents are recommended for treatment of anaemia of chronic kidney disease in children, young</w:t>
            </w:r>
          </w:p>
          <w:p w14:paraId="4721BA35" w14:textId="77777777" w:rsidR="009443FF" w:rsidRPr="00486970" w:rsidRDefault="009443FF" w:rsidP="00D942BA">
            <w:pPr>
              <w:rPr>
                <w:rFonts w:cstheme="minorHAnsi"/>
                <w:bCs/>
                <w:sz w:val="20"/>
                <w:szCs w:val="20"/>
              </w:rPr>
            </w:pPr>
            <w:r w:rsidRPr="00486970">
              <w:rPr>
                <w:rFonts w:cstheme="minorHAnsi"/>
                <w:bCs/>
                <w:sz w:val="20"/>
                <w:szCs w:val="20"/>
              </w:rPr>
              <w:t>people and adult patients with chronic renal disease requiring dialysis.</w:t>
            </w:r>
          </w:p>
          <w:p w14:paraId="73F169AE" w14:textId="77777777" w:rsidR="009443FF" w:rsidRPr="00486970" w:rsidRDefault="009443FF" w:rsidP="00D942BA">
            <w:pPr>
              <w:rPr>
                <w:rFonts w:cstheme="minorHAnsi"/>
                <w:bCs/>
                <w:color w:val="0000FF" w:themeColor="hyperlink"/>
                <w:sz w:val="20"/>
                <w:szCs w:val="20"/>
                <w:u w:val="single"/>
              </w:rPr>
            </w:pPr>
            <w:r w:rsidRPr="00486970">
              <w:rPr>
                <w:rFonts w:cstheme="minorHAnsi"/>
                <w:b/>
                <w:sz w:val="20"/>
                <w:szCs w:val="20"/>
              </w:rPr>
              <w:t xml:space="preserve">Treatment References: </w:t>
            </w:r>
            <w:r w:rsidRPr="00486970">
              <w:rPr>
                <w:rFonts w:cstheme="minorHAnsi"/>
                <w:bCs/>
                <w:sz w:val="20"/>
                <w:szCs w:val="20"/>
              </w:rPr>
              <w:fldChar w:fldCharType="begin"/>
            </w:r>
            <w:r w:rsidRPr="00486970">
              <w:rPr>
                <w:rFonts w:cstheme="minorHAnsi"/>
                <w:bCs/>
                <w:sz w:val="20"/>
                <w:szCs w:val="20"/>
              </w:rPr>
              <w:instrText xml:space="preserve"> HYPERLINK "https://www.who.int/selection_medicines/committees/expert/21/applications/s10_erythropoietins_add.pdf?ua=1" </w:instrText>
            </w:r>
            <w:r w:rsidRPr="00486970">
              <w:rPr>
                <w:rFonts w:cstheme="minorHAnsi"/>
                <w:bCs/>
                <w:sz w:val="20"/>
                <w:szCs w:val="20"/>
              </w:rPr>
              <w:fldChar w:fldCharType="separate"/>
            </w:r>
            <w:r w:rsidRPr="00486970">
              <w:rPr>
                <w:rFonts w:cstheme="minorHAnsi"/>
                <w:bCs/>
                <w:color w:val="0000FF" w:themeColor="hyperlink"/>
                <w:sz w:val="20"/>
                <w:szCs w:val="20"/>
                <w:u w:val="single"/>
              </w:rPr>
              <w:t xml:space="preserve">WHO EML 2016-2017 -  Application for erythropoietin-stimulating agents </w:t>
            </w:r>
          </w:p>
          <w:p w14:paraId="0F701DAB" w14:textId="77777777" w:rsidR="009443FF" w:rsidRPr="00486970" w:rsidRDefault="009443FF" w:rsidP="00D942BA">
            <w:pPr>
              <w:rPr>
                <w:rFonts w:cstheme="minorHAnsi"/>
                <w:bCs/>
                <w:sz w:val="20"/>
                <w:szCs w:val="20"/>
              </w:rPr>
            </w:pPr>
            <w:r w:rsidRPr="00486970">
              <w:rPr>
                <w:rFonts w:cstheme="minorHAnsi"/>
                <w:bCs/>
                <w:color w:val="0000FF" w:themeColor="hyperlink"/>
                <w:sz w:val="20"/>
                <w:szCs w:val="20"/>
                <w:u w:val="single"/>
              </w:rPr>
              <w:t>(erythropoietin type blood factors)</w:t>
            </w:r>
            <w:r w:rsidRPr="00486970">
              <w:rPr>
                <w:rFonts w:cstheme="minorHAnsi"/>
                <w:bCs/>
                <w:sz w:val="20"/>
                <w:szCs w:val="20"/>
              </w:rPr>
              <w:fldChar w:fldCharType="end"/>
            </w:r>
          </w:p>
          <w:p w14:paraId="5B2EDA7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10.1</w:t>
            </w:r>
          </w:p>
        </w:tc>
      </w:tr>
      <w:tr w:rsidR="009443FF" w:rsidRPr="00486970" w14:paraId="5C314CE9" w14:textId="77777777" w:rsidTr="00D942BA">
        <w:trPr>
          <w:trHeight w:val="300"/>
        </w:trPr>
        <w:tc>
          <w:tcPr>
            <w:tcW w:w="11283" w:type="dxa"/>
            <w:gridSpan w:val="3"/>
          </w:tcPr>
          <w:p w14:paraId="09F02111" w14:textId="77777777" w:rsidR="009443FF" w:rsidRPr="00486970" w:rsidRDefault="009443FF" w:rsidP="00D942BA">
            <w:pPr>
              <w:jc w:val="center"/>
              <w:rPr>
                <w:rFonts w:cstheme="minorHAnsi"/>
                <w:b/>
                <w:color w:val="C00000"/>
                <w:sz w:val="20"/>
                <w:szCs w:val="20"/>
              </w:rPr>
            </w:pPr>
            <w:r w:rsidRPr="00486970">
              <w:rPr>
                <w:rFonts w:cstheme="minorHAnsi"/>
                <w:b/>
                <w:color w:val="C00000"/>
                <w:sz w:val="20"/>
                <w:szCs w:val="20"/>
              </w:rPr>
              <w:t>Suggested for monitoring (optional for countries) *</w:t>
            </w:r>
          </w:p>
        </w:tc>
      </w:tr>
      <w:tr w:rsidR="009443FF" w:rsidRPr="00486970" w14:paraId="543CBA55" w14:textId="77777777" w:rsidTr="00D942BA">
        <w:trPr>
          <w:trHeight w:val="300"/>
        </w:trPr>
        <w:tc>
          <w:tcPr>
            <w:tcW w:w="4923" w:type="dxa"/>
            <w:noWrap/>
          </w:tcPr>
          <w:p w14:paraId="6A606846" w14:textId="77777777" w:rsidR="009443FF" w:rsidRPr="00486970" w:rsidRDefault="009443FF" w:rsidP="00D942BA">
            <w:pPr>
              <w:rPr>
                <w:rFonts w:cstheme="minorHAnsi"/>
                <w:sz w:val="20"/>
                <w:szCs w:val="20"/>
              </w:rPr>
            </w:pPr>
            <w:r w:rsidRPr="00486970">
              <w:rPr>
                <w:rFonts w:cstheme="minorHAnsi"/>
                <w:sz w:val="20"/>
                <w:szCs w:val="20"/>
              </w:rPr>
              <w:t xml:space="preserve">One of the following: </w:t>
            </w:r>
          </w:p>
          <w:p w14:paraId="0F8D3946" w14:textId="77777777" w:rsidR="009443FF" w:rsidRPr="00486970" w:rsidRDefault="009443FF" w:rsidP="00D942BA">
            <w:pPr>
              <w:numPr>
                <w:ilvl w:val="0"/>
                <w:numId w:val="15"/>
              </w:numPr>
              <w:contextualSpacing/>
              <w:rPr>
                <w:rFonts w:cstheme="minorHAnsi"/>
                <w:sz w:val="20"/>
                <w:szCs w:val="20"/>
              </w:rPr>
            </w:pPr>
            <w:r w:rsidRPr="00486970">
              <w:rPr>
                <w:rFonts w:cstheme="minorHAnsi"/>
                <w:sz w:val="20"/>
                <w:szCs w:val="20"/>
              </w:rPr>
              <w:t xml:space="preserve">Epinephrine injection 1 mg (as hydrochloride or hydrogen tartrate) in 1- mL ampoule </w:t>
            </w:r>
          </w:p>
          <w:p w14:paraId="37DADEDD" w14:textId="77777777" w:rsidR="009443FF" w:rsidRPr="00486970" w:rsidRDefault="009443FF" w:rsidP="00D942BA">
            <w:pPr>
              <w:rPr>
                <w:rFonts w:cstheme="minorHAnsi"/>
                <w:sz w:val="20"/>
                <w:szCs w:val="20"/>
              </w:rPr>
            </w:pPr>
          </w:p>
          <w:p w14:paraId="62A4931C" w14:textId="77777777" w:rsidR="009443FF" w:rsidRPr="00486970" w:rsidRDefault="009443FF" w:rsidP="00D942BA">
            <w:pPr>
              <w:numPr>
                <w:ilvl w:val="0"/>
                <w:numId w:val="15"/>
              </w:numPr>
              <w:contextualSpacing/>
              <w:rPr>
                <w:rFonts w:cstheme="minorHAnsi"/>
                <w:sz w:val="20"/>
                <w:szCs w:val="20"/>
              </w:rPr>
            </w:pPr>
            <w:r w:rsidRPr="00486970">
              <w:rPr>
                <w:rFonts w:cstheme="minorHAnsi"/>
                <w:sz w:val="20"/>
                <w:szCs w:val="20"/>
              </w:rPr>
              <w:t>Dexamethasone  injection  4 mg/ mL in 1- mL ampoule (as disodium phosphate salt)</w:t>
            </w:r>
          </w:p>
          <w:p w14:paraId="5EAC764E" w14:textId="77777777" w:rsidR="009443FF" w:rsidRPr="00486970" w:rsidRDefault="009443FF" w:rsidP="00D942BA">
            <w:pPr>
              <w:rPr>
                <w:rFonts w:cstheme="minorHAnsi"/>
                <w:sz w:val="20"/>
                <w:szCs w:val="20"/>
              </w:rPr>
            </w:pPr>
          </w:p>
        </w:tc>
        <w:tc>
          <w:tcPr>
            <w:tcW w:w="1540" w:type="dxa"/>
            <w:noWrap/>
          </w:tcPr>
          <w:p w14:paraId="19438613" w14:textId="77777777" w:rsidR="009443FF" w:rsidRPr="00486970" w:rsidRDefault="009443FF" w:rsidP="00D942BA">
            <w:pPr>
              <w:rPr>
                <w:rFonts w:cstheme="minorHAnsi"/>
                <w:sz w:val="20"/>
                <w:szCs w:val="20"/>
              </w:rPr>
            </w:pPr>
            <w:r w:rsidRPr="00486970">
              <w:rPr>
                <w:rFonts w:cstheme="minorHAnsi"/>
                <w:sz w:val="20"/>
                <w:szCs w:val="20"/>
              </w:rPr>
              <w:t xml:space="preserve">Antiallergics and medicine used in anaphylaxis </w:t>
            </w:r>
          </w:p>
        </w:tc>
        <w:tc>
          <w:tcPr>
            <w:tcW w:w="4820" w:type="dxa"/>
            <w:noWrap/>
          </w:tcPr>
          <w:p w14:paraId="4E7B446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Epinephrine (adrenaline) is the first line treatment for a severe allergic reaction. During anaphylactic shock, it must be administered through an intramuscular injection.  </w:t>
            </w:r>
          </w:p>
          <w:p w14:paraId="69FC9B94" w14:textId="77777777" w:rsidR="009443FF" w:rsidRPr="00486970" w:rsidRDefault="009443FF" w:rsidP="00D942BA">
            <w:pPr>
              <w:rPr>
                <w:rFonts w:cstheme="minorHAnsi"/>
                <w:sz w:val="20"/>
                <w:szCs w:val="20"/>
              </w:rPr>
            </w:pPr>
            <w:r w:rsidRPr="00486970">
              <w:rPr>
                <w:rFonts w:cstheme="minorHAnsi"/>
                <w:sz w:val="20"/>
                <w:szCs w:val="20"/>
              </w:rPr>
              <w:t>Dexamethasone is a corticosteroid that prevents almost all symptoms of inflammation associated with allergy. It can also be used during emergency anaphylactic shock.</w:t>
            </w:r>
          </w:p>
          <w:p w14:paraId="1AE96D63"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61" w:history="1">
              <w:r w:rsidRPr="00486970">
                <w:rPr>
                  <w:rFonts w:cstheme="minorHAnsi"/>
                  <w:color w:val="0000FF" w:themeColor="hyperlink"/>
                  <w:sz w:val="20"/>
                  <w:szCs w:val="20"/>
                  <w:u w:val="single"/>
                </w:rPr>
                <w:t>WHO Antiallergics and Medicine Use in Anaphylaxis</w:t>
              </w:r>
            </w:hyperlink>
            <w:r w:rsidRPr="00486970">
              <w:rPr>
                <w:rFonts w:cstheme="minorHAnsi"/>
                <w:b/>
                <w:sz w:val="20"/>
                <w:szCs w:val="20"/>
              </w:rPr>
              <w:t xml:space="preserve"> </w:t>
            </w:r>
          </w:p>
          <w:p w14:paraId="081622AB"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3</w:t>
            </w:r>
          </w:p>
        </w:tc>
      </w:tr>
      <w:tr w:rsidR="009443FF" w:rsidRPr="00486970" w14:paraId="1BCC4E3A" w14:textId="77777777" w:rsidTr="00D942BA">
        <w:trPr>
          <w:trHeight w:val="300"/>
        </w:trPr>
        <w:tc>
          <w:tcPr>
            <w:tcW w:w="4923" w:type="dxa"/>
            <w:noWrap/>
          </w:tcPr>
          <w:p w14:paraId="38C54245" w14:textId="77777777" w:rsidR="009443FF" w:rsidRPr="00486970" w:rsidRDefault="009443FF" w:rsidP="00D942BA">
            <w:pPr>
              <w:numPr>
                <w:ilvl w:val="0"/>
                <w:numId w:val="45"/>
              </w:numPr>
              <w:contextualSpacing/>
              <w:rPr>
                <w:rFonts w:cstheme="minorHAnsi"/>
                <w:sz w:val="20"/>
                <w:szCs w:val="20"/>
              </w:rPr>
            </w:pPr>
            <w:r w:rsidRPr="00486970">
              <w:rPr>
                <w:rFonts w:cstheme="minorHAnsi"/>
                <w:sz w:val="20"/>
                <w:szCs w:val="20"/>
              </w:rPr>
              <w:t>Fluconazole (50 mg cap/tab) and</w:t>
            </w:r>
          </w:p>
          <w:p w14:paraId="028C206B" w14:textId="77777777" w:rsidR="009443FF" w:rsidRPr="00486970" w:rsidRDefault="009443FF" w:rsidP="00D942BA">
            <w:pPr>
              <w:numPr>
                <w:ilvl w:val="0"/>
                <w:numId w:val="45"/>
              </w:numPr>
              <w:contextualSpacing/>
              <w:rPr>
                <w:rFonts w:cstheme="minorHAnsi"/>
                <w:sz w:val="20"/>
                <w:szCs w:val="20"/>
              </w:rPr>
            </w:pPr>
            <w:r w:rsidRPr="00486970">
              <w:rPr>
                <w:rFonts w:cstheme="minorHAnsi"/>
                <w:sz w:val="20"/>
                <w:szCs w:val="20"/>
              </w:rPr>
              <w:t>Nystatin (tablet 500 000 IU)</w:t>
            </w:r>
          </w:p>
        </w:tc>
        <w:tc>
          <w:tcPr>
            <w:tcW w:w="1540" w:type="dxa"/>
            <w:noWrap/>
          </w:tcPr>
          <w:p w14:paraId="54C46A0F" w14:textId="77777777" w:rsidR="009443FF" w:rsidRPr="00486970" w:rsidRDefault="009443FF" w:rsidP="00D942BA">
            <w:pPr>
              <w:rPr>
                <w:rFonts w:cstheme="minorHAnsi"/>
                <w:bCs/>
                <w:sz w:val="20"/>
                <w:szCs w:val="20"/>
              </w:rPr>
            </w:pPr>
            <w:r w:rsidRPr="00486970">
              <w:rPr>
                <w:rFonts w:cstheme="minorHAnsi"/>
                <w:bCs/>
                <w:sz w:val="20"/>
                <w:szCs w:val="20"/>
              </w:rPr>
              <w:t>Anti-fungal drugs</w:t>
            </w:r>
          </w:p>
          <w:p w14:paraId="0E259C58" w14:textId="77777777" w:rsidR="009443FF" w:rsidRPr="00486970" w:rsidRDefault="009443FF" w:rsidP="00D942BA">
            <w:pPr>
              <w:rPr>
                <w:rFonts w:cstheme="minorHAnsi"/>
                <w:color w:val="C00000"/>
                <w:sz w:val="20"/>
                <w:szCs w:val="20"/>
              </w:rPr>
            </w:pPr>
          </w:p>
        </w:tc>
        <w:tc>
          <w:tcPr>
            <w:tcW w:w="4820" w:type="dxa"/>
            <w:noWrap/>
          </w:tcPr>
          <w:p w14:paraId="53EB8CBF" w14:textId="77777777" w:rsidR="009443FF" w:rsidRPr="00486970" w:rsidRDefault="009443FF" w:rsidP="00D942BA">
            <w:pPr>
              <w:rPr>
                <w:rFonts w:cstheme="minorHAnsi"/>
                <w:b/>
                <w:sz w:val="20"/>
                <w:szCs w:val="20"/>
              </w:rPr>
            </w:pPr>
            <w:r w:rsidRPr="00486970">
              <w:rPr>
                <w:rFonts w:cstheme="minorHAnsi"/>
                <w:b/>
                <w:sz w:val="20"/>
                <w:szCs w:val="20"/>
              </w:rPr>
              <w:t>Rationale:</w:t>
            </w:r>
          </w:p>
          <w:p w14:paraId="0E835EBF" w14:textId="77777777" w:rsidR="009443FF" w:rsidRPr="00486970" w:rsidRDefault="009443FF" w:rsidP="00D942BA">
            <w:pPr>
              <w:rPr>
                <w:rFonts w:cstheme="minorHAnsi"/>
                <w:bCs/>
                <w:sz w:val="20"/>
                <w:szCs w:val="20"/>
              </w:rPr>
            </w:pPr>
            <w:r w:rsidRPr="00486970">
              <w:rPr>
                <w:rFonts w:cstheme="minorHAnsi"/>
                <w:bCs/>
                <w:sz w:val="20"/>
                <w:szCs w:val="20"/>
              </w:rPr>
              <w:t xml:space="preserve">Nystatin is an antifungal polyene antibiotic that is effective against infections caused by a wide range of </w:t>
            </w:r>
            <w:r w:rsidRPr="00486970">
              <w:rPr>
                <w:rFonts w:cstheme="minorHAnsi"/>
                <w:bCs/>
                <w:sz w:val="20"/>
                <w:szCs w:val="20"/>
              </w:rPr>
              <w:lastRenderedPageBreak/>
              <w:t>yeasts and yeasts-like fungi. It is used for the treatment of oral, oesophageal and intestinal candidosis.</w:t>
            </w:r>
          </w:p>
          <w:p w14:paraId="60D67351" w14:textId="77777777" w:rsidR="009443FF" w:rsidRPr="00486970" w:rsidRDefault="009443FF" w:rsidP="00D942BA">
            <w:pPr>
              <w:rPr>
                <w:rFonts w:cstheme="minorHAnsi"/>
                <w:sz w:val="20"/>
                <w:szCs w:val="20"/>
              </w:rPr>
            </w:pPr>
          </w:p>
          <w:p w14:paraId="1E12D188" w14:textId="77777777" w:rsidR="009443FF" w:rsidRPr="00486970" w:rsidRDefault="009443FF" w:rsidP="00D942BA">
            <w:pPr>
              <w:rPr>
                <w:rFonts w:cstheme="minorHAnsi"/>
                <w:sz w:val="20"/>
                <w:szCs w:val="20"/>
              </w:rPr>
            </w:pPr>
            <w:r w:rsidRPr="00486970">
              <w:rPr>
                <w:rFonts w:cstheme="minorHAnsi"/>
                <w:sz w:val="20"/>
                <w:szCs w:val="20"/>
              </w:rPr>
              <w:t>Fluconazole is an orally active imidazole antifungal agent with activity against dermatophytes, yeasts, and other pathogenic fungi.</w:t>
            </w:r>
          </w:p>
          <w:p w14:paraId="52FCFF7C" w14:textId="77777777" w:rsidR="009443FF" w:rsidRPr="00486970" w:rsidRDefault="009443FF" w:rsidP="00D942BA">
            <w:pPr>
              <w:rPr>
                <w:rFonts w:cstheme="minorHAnsi"/>
                <w:sz w:val="20"/>
                <w:szCs w:val="20"/>
              </w:rPr>
            </w:pPr>
            <w:r w:rsidRPr="00486970">
              <w:rPr>
                <w:rFonts w:cstheme="minorHAnsi"/>
                <w:sz w:val="20"/>
                <w:szCs w:val="20"/>
              </w:rPr>
              <w:t>It is widely used in the treatment of serious gastrointestinal and systemic mycoses as well as in the management of superficial infections. Fluconazole is also used to prevent fungal infections in immunocompromised patients.</w:t>
            </w:r>
          </w:p>
          <w:p w14:paraId="4EE210E9" w14:textId="77777777" w:rsidR="009443FF" w:rsidRPr="00486970" w:rsidRDefault="009443FF" w:rsidP="00D942BA">
            <w:pPr>
              <w:rPr>
                <w:rFonts w:cstheme="minorHAnsi"/>
                <w:bCs/>
                <w:sz w:val="20"/>
                <w:szCs w:val="20"/>
              </w:rPr>
            </w:pPr>
            <w:r w:rsidRPr="00486970">
              <w:rPr>
                <w:rFonts w:cstheme="minorHAnsi"/>
                <w:b/>
                <w:sz w:val="20"/>
                <w:szCs w:val="20"/>
              </w:rPr>
              <w:t>Treatment References</w:t>
            </w:r>
            <w:r w:rsidRPr="00486970">
              <w:rPr>
                <w:rFonts w:cstheme="minorHAnsi"/>
                <w:bCs/>
                <w:sz w:val="20"/>
                <w:szCs w:val="20"/>
              </w:rPr>
              <w:t xml:space="preserve">: </w:t>
            </w:r>
            <w:hyperlink r:id="rId62" w:history="1">
              <w:r w:rsidRPr="00486970">
                <w:rPr>
                  <w:rFonts w:cstheme="minorHAnsi"/>
                  <w:bCs/>
                  <w:color w:val="0000FF" w:themeColor="hyperlink"/>
                  <w:sz w:val="20"/>
                  <w:szCs w:val="20"/>
                  <w:u w:val="single"/>
                </w:rPr>
                <w:t>WHO Model Formulary 2008</w:t>
              </w:r>
            </w:hyperlink>
          </w:p>
          <w:p w14:paraId="51AFA4D1" w14:textId="77777777" w:rsidR="009443FF" w:rsidRPr="00486970" w:rsidRDefault="000B31FA" w:rsidP="00D942BA">
            <w:pPr>
              <w:rPr>
                <w:rFonts w:cstheme="minorHAnsi"/>
                <w:bCs/>
                <w:sz w:val="20"/>
                <w:szCs w:val="20"/>
              </w:rPr>
            </w:pPr>
            <w:hyperlink r:id="rId63" w:history="1">
              <w:r w:rsidR="009443FF" w:rsidRPr="00486970">
                <w:rPr>
                  <w:rFonts w:cstheme="minorHAnsi"/>
                  <w:bCs/>
                  <w:color w:val="0000FF" w:themeColor="hyperlink"/>
                  <w:sz w:val="20"/>
                  <w:szCs w:val="20"/>
                  <w:u w:val="single"/>
                </w:rPr>
                <w:t>WHO Model Prescribing Information</w:t>
              </w:r>
            </w:hyperlink>
          </w:p>
          <w:p w14:paraId="5A52CE86" w14:textId="77777777" w:rsidR="009443FF" w:rsidRPr="00486970" w:rsidRDefault="000B31FA" w:rsidP="00D942BA">
            <w:pPr>
              <w:rPr>
                <w:rFonts w:cstheme="minorHAnsi"/>
                <w:bCs/>
                <w:sz w:val="20"/>
                <w:szCs w:val="20"/>
              </w:rPr>
            </w:pPr>
            <w:hyperlink r:id="rId64" w:history="1">
              <w:r w:rsidR="009443FF" w:rsidRPr="00486970">
                <w:rPr>
                  <w:rFonts w:cstheme="minorHAnsi"/>
                  <w:bCs/>
                  <w:color w:val="0000FF" w:themeColor="hyperlink"/>
                  <w:sz w:val="20"/>
                  <w:szCs w:val="20"/>
                  <w:u w:val="single"/>
                </w:rPr>
                <w:t>Drugs used in sexually transmitted diseases</w:t>
              </w:r>
            </w:hyperlink>
          </w:p>
          <w:p w14:paraId="35C9DA66"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6.3</w:t>
            </w:r>
          </w:p>
        </w:tc>
      </w:tr>
      <w:tr w:rsidR="009443FF" w:rsidRPr="00486970" w14:paraId="3A3F013D" w14:textId="77777777" w:rsidTr="00D942BA">
        <w:trPr>
          <w:trHeight w:val="826"/>
        </w:trPr>
        <w:tc>
          <w:tcPr>
            <w:tcW w:w="4923" w:type="dxa"/>
            <w:noWrap/>
          </w:tcPr>
          <w:p w14:paraId="07E1D261" w14:textId="77777777" w:rsidR="009443FF" w:rsidRPr="00486970" w:rsidRDefault="009443FF" w:rsidP="00D942BA">
            <w:pPr>
              <w:rPr>
                <w:rFonts w:cstheme="minorHAnsi"/>
                <w:sz w:val="20"/>
                <w:szCs w:val="20"/>
              </w:rPr>
            </w:pPr>
            <w:r w:rsidRPr="00486970">
              <w:rPr>
                <w:rFonts w:cstheme="minorHAnsi"/>
                <w:sz w:val="20"/>
                <w:szCs w:val="20"/>
              </w:rPr>
              <w:t>Levothyroxine (tablet 50 micrograms)</w:t>
            </w:r>
          </w:p>
        </w:tc>
        <w:tc>
          <w:tcPr>
            <w:tcW w:w="1540" w:type="dxa"/>
            <w:noWrap/>
          </w:tcPr>
          <w:p w14:paraId="7D507567" w14:textId="77777777" w:rsidR="009443FF" w:rsidRPr="00486970" w:rsidRDefault="009443FF" w:rsidP="00D942BA">
            <w:pPr>
              <w:rPr>
                <w:rFonts w:cstheme="minorHAnsi"/>
                <w:sz w:val="20"/>
                <w:szCs w:val="20"/>
              </w:rPr>
            </w:pPr>
            <w:r w:rsidRPr="00486970">
              <w:rPr>
                <w:rFonts w:cstheme="minorHAnsi"/>
                <w:sz w:val="20"/>
                <w:szCs w:val="20"/>
              </w:rPr>
              <w:t>Thyroid hormones</w:t>
            </w:r>
          </w:p>
        </w:tc>
        <w:tc>
          <w:tcPr>
            <w:tcW w:w="4820" w:type="dxa"/>
            <w:noWrap/>
          </w:tcPr>
          <w:p w14:paraId="12B4EA08" w14:textId="77777777" w:rsidR="009443FF" w:rsidRPr="00486970" w:rsidRDefault="009443FF" w:rsidP="00D942BA">
            <w:pPr>
              <w:rPr>
                <w:rFonts w:cstheme="minorHAnsi"/>
                <w:b/>
                <w:sz w:val="20"/>
                <w:szCs w:val="20"/>
              </w:rPr>
            </w:pPr>
            <w:r w:rsidRPr="00486970">
              <w:rPr>
                <w:rFonts w:cstheme="minorHAnsi"/>
                <w:b/>
                <w:sz w:val="20"/>
                <w:szCs w:val="20"/>
              </w:rPr>
              <w:t>Rationale:</w:t>
            </w:r>
          </w:p>
          <w:p w14:paraId="4182E0E4" w14:textId="77777777" w:rsidR="009443FF" w:rsidRPr="00486970" w:rsidRDefault="009443FF" w:rsidP="00D942BA">
            <w:pPr>
              <w:rPr>
                <w:rFonts w:cstheme="minorHAnsi"/>
                <w:bCs/>
                <w:sz w:val="20"/>
                <w:szCs w:val="20"/>
              </w:rPr>
            </w:pPr>
            <w:r w:rsidRPr="00486970">
              <w:rPr>
                <w:rFonts w:cstheme="minorHAnsi"/>
                <w:bCs/>
                <w:sz w:val="20"/>
                <w:szCs w:val="20"/>
              </w:rPr>
              <w:t>Levothyroxine is used for the management of hypothyroidism, diffuse non-toxic goitre, Hashimoto thyroiditis and thyroid cancer.</w:t>
            </w:r>
          </w:p>
          <w:p w14:paraId="54FA5634" w14:textId="77777777" w:rsidR="009443FF" w:rsidRPr="00486970" w:rsidRDefault="009443FF" w:rsidP="00D942BA">
            <w:pPr>
              <w:rPr>
                <w:rFonts w:cstheme="minorHAnsi"/>
                <w:bCs/>
                <w:sz w:val="20"/>
                <w:szCs w:val="20"/>
              </w:rPr>
            </w:pPr>
            <w:r w:rsidRPr="00486970">
              <w:rPr>
                <w:rFonts w:cstheme="minorHAnsi"/>
                <w:b/>
                <w:sz w:val="20"/>
                <w:szCs w:val="20"/>
              </w:rPr>
              <w:t>Treatment References</w:t>
            </w:r>
            <w:r w:rsidRPr="00486970">
              <w:rPr>
                <w:rFonts w:cstheme="minorHAnsi"/>
                <w:bCs/>
                <w:sz w:val="20"/>
                <w:szCs w:val="20"/>
              </w:rPr>
              <w:t xml:space="preserve">: </w:t>
            </w:r>
            <w:hyperlink r:id="rId65" w:history="1">
              <w:r w:rsidRPr="00486970">
                <w:rPr>
                  <w:rFonts w:cstheme="minorHAnsi"/>
                  <w:bCs/>
                  <w:color w:val="0000FF" w:themeColor="hyperlink"/>
                  <w:sz w:val="20"/>
                  <w:szCs w:val="20"/>
                  <w:u w:val="single"/>
                </w:rPr>
                <w:t>WHO Model Formulary 2008</w:t>
              </w:r>
            </w:hyperlink>
          </w:p>
          <w:p w14:paraId="22C9FEC1" w14:textId="77777777" w:rsidR="009443FF" w:rsidRPr="00486970" w:rsidRDefault="009443FF" w:rsidP="00D942BA">
            <w:pPr>
              <w:rPr>
                <w:rFonts w:cstheme="minorHAnsi"/>
                <w:bCs/>
                <w:sz w:val="20"/>
                <w:szCs w:val="20"/>
              </w:rPr>
            </w:pPr>
            <w:r w:rsidRPr="00486970">
              <w:rPr>
                <w:rFonts w:cstheme="minorHAnsi"/>
                <w:b/>
                <w:sz w:val="20"/>
                <w:szCs w:val="20"/>
              </w:rPr>
              <w:t>More information in WHO EML 2017 Section Reference:</w:t>
            </w:r>
            <w:r w:rsidRPr="00486970">
              <w:rPr>
                <w:rFonts w:cstheme="minorHAnsi"/>
                <w:sz w:val="20"/>
                <w:szCs w:val="20"/>
              </w:rPr>
              <w:t xml:space="preserve"> 18.8</w:t>
            </w:r>
          </w:p>
        </w:tc>
      </w:tr>
    </w:tbl>
    <w:p w14:paraId="3C87CDDF" w14:textId="77777777" w:rsidR="00C94B20" w:rsidRDefault="00C94B20" w:rsidP="009443FF">
      <w:pPr>
        <w:jc w:val="center"/>
        <w:rPr>
          <w:rFonts w:eastAsia="Times New Roman" w:cstheme="minorHAnsi"/>
          <w:color w:val="1C75BC"/>
          <w:sz w:val="36"/>
          <w:szCs w:val="36"/>
          <w:lang w:eastAsia="en-GB"/>
        </w:rPr>
      </w:pPr>
    </w:p>
    <w:p w14:paraId="5905712B" w14:textId="090FC1BB" w:rsidR="009443FF" w:rsidRPr="00486970" w:rsidRDefault="009443FF" w:rsidP="009443FF">
      <w:pPr>
        <w:jc w:val="center"/>
        <w:rPr>
          <w:rFonts w:eastAsia="Times New Roman" w:cstheme="minorHAnsi"/>
          <w:color w:val="1C75BC"/>
          <w:sz w:val="36"/>
          <w:szCs w:val="36"/>
          <w:lang w:eastAsia="en-GB"/>
        </w:rPr>
      </w:pPr>
      <w:r w:rsidRPr="00486970">
        <w:rPr>
          <w:rFonts w:eastAsia="Times New Roman" w:cstheme="minorHAnsi"/>
          <w:color w:val="1C75BC"/>
          <w:sz w:val="36"/>
          <w:szCs w:val="36"/>
          <w:lang w:eastAsia="en-GB"/>
        </w:rPr>
        <w:t xml:space="preserve">Annex 1:  </w:t>
      </w:r>
      <w:bookmarkStart w:id="6" w:name="_Hlk526159568"/>
      <w:r w:rsidRPr="00486970">
        <w:rPr>
          <w:rFonts w:eastAsia="Times New Roman" w:cstheme="minorHAnsi"/>
          <w:color w:val="1C75BC"/>
          <w:sz w:val="36"/>
          <w:szCs w:val="36"/>
          <w:lang w:eastAsia="en-GB"/>
        </w:rPr>
        <w:t>Basket of core set of relevant essential medicines for primary health care</w:t>
      </w:r>
      <w:bookmarkEnd w:id="6"/>
      <w:r w:rsidRPr="00486970">
        <w:rPr>
          <w:rFonts w:eastAsia="Times New Roman" w:cstheme="minorHAnsi"/>
          <w:color w:val="1C75BC"/>
          <w:sz w:val="36"/>
          <w:szCs w:val="36"/>
          <w:lang w:eastAsia="en-GB"/>
        </w:rPr>
        <w:t xml:space="preserve"> and related disease category </w:t>
      </w:r>
    </w:p>
    <w:p w14:paraId="40D35D7B" w14:textId="77777777" w:rsidR="009443FF" w:rsidRPr="00486970" w:rsidRDefault="009443FF" w:rsidP="009443FF">
      <w:pPr>
        <w:rPr>
          <w:rFonts w:cstheme="minorHAnsi"/>
          <w:b/>
        </w:rPr>
      </w:pPr>
    </w:p>
    <w:p w14:paraId="07B60FE1" w14:textId="77777777" w:rsidR="009443FF" w:rsidRPr="00486970" w:rsidRDefault="009443FF" w:rsidP="009443FF">
      <w:pPr>
        <w:rPr>
          <w:rFonts w:cstheme="minorHAnsi"/>
          <w:b/>
        </w:rPr>
      </w:pPr>
      <w:r w:rsidRPr="00486970">
        <w:rPr>
          <w:rFonts w:cstheme="minorHAnsi"/>
          <w:b/>
        </w:rPr>
        <w:t>Table 1. Basket of core set of relevant essential medicines for primary health care</w:t>
      </w:r>
    </w:p>
    <w:p w14:paraId="1D07E728" w14:textId="77777777" w:rsidR="009443FF" w:rsidRPr="00486970" w:rsidRDefault="009443FF" w:rsidP="009443FF">
      <w:pPr>
        <w:shd w:val="clear" w:color="auto" w:fill="FFFFFF" w:themeFill="background1"/>
        <w:spacing w:after="0"/>
        <w:jc w:val="both"/>
        <w:rPr>
          <w:rFonts w:eastAsia="Times New Roman" w:cstheme="minorHAnsi"/>
          <w:b/>
          <w:bCs/>
          <w:color w:val="4A4A4A"/>
          <w:lang w:eastAsia="en-GB"/>
        </w:rPr>
      </w:pPr>
      <w:r w:rsidRPr="00486970">
        <w:rPr>
          <w:rFonts w:eastAsia="Times New Roman" w:cstheme="minorHAnsi"/>
          <w:b/>
          <w:bCs/>
          <w:color w:val="4A4A4A"/>
          <w:lang w:eastAsia="en-GB"/>
        </w:rPr>
        <w:t>*</w:t>
      </w:r>
      <w:r w:rsidRPr="00486970">
        <w:rPr>
          <w:rFonts w:eastAsia="Times New Roman" w:cstheme="minorHAnsi"/>
          <w:color w:val="4A4A4A"/>
          <w:lang w:eastAsia="en-GB"/>
        </w:rPr>
        <w:t xml:space="preserve"> These additional medicines were suggested for monitoring during the consultations with WHO regional advisers and WHO Member States, however they do not represent major burden of disease in countries and cannot be weighted according to the same procedure as the mandatory list. </w:t>
      </w:r>
    </w:p>
    <w:p w14:paraId="533BA7F2" w14:textId="77777777" w:rsidR="009443FF" w:rsidRPr="00486970" w:rsidRDefault="009443FF" w:rsidP="009443FF">
      <w:pPr>
        <w:rPr>
          <w:rFonts w:cstheme="minorHAnsi"/>
        </w:rPr>
      </w:pPr>
    </w:p>
    <w:p w14:paraId="32A6D485" w14:textId="77777777" w:rsidR="009443FF" w:rsidRPr="00486970" w:rsidRDefault="009443FF" w:rsidP="009443FF">
      <w:pPr>
        <w:pBdr>
          <w:top w:val="nil"/>
          <w:left w:val="nil"/>
          <w:bottom w:val="nil"/>
          <w:right w:val="nil"/>
          <w:between w:val="nil"/>
        </w:pBdr>
        <w:spacing w:after="60" w:line="240" w:lineRule="auto"/>
        <w:jc w:val="both"/>
        <w:rPr>
          <w:rFonts w:eastAsia="Cambria Math" w:cstheme="minorHAnsi"/>
          <w:b/>
          <w:color w:val="000000"/>
        </w:rPr>
      </w:pPr>
      <w:r w:rsidRPr="00486970">
        <w:rPr>
          <w:rFonts w:eastAsia="Cambria Math" w:cstheme="minorHAnsi"/>
          <w:b/>
          <w:color w:val="000000"/>
        </w:rPr>
        <w:t>Table 2. Diseases treated with the medicines in the core list</w:t>
      </w:r>
    </w:p>
    <w:p w14:paraId="4533B17B" w14:textId="77777777" w:rsidR="009443FF" w:rsidRPr="00486970" w:rsidRDefault="009443FF" w:rsidP="009443FF">
      <w:pPr>
        <w:pBdr>
          <w:top w:val="nil"/>
          <w:left w:val="nil"/>
          <w:bottom w:val="nil"/>
          <w:right w:val="nil"/>
          <w:between w:val="nil"/>
        </w:pBdr>
        <w:spacing w:after="60" w:line="240" w:lineRule="auto"/>
        <w:jc w:val="both"/>
        <w:rPr>
          <w:rFonts w:eastAsia="Cambria Math" w:cstheme="minorHAnsi"/>
          <w:b/>
          <w:color w:val="000000"/>
        </w:rPr>
      </w:pPr>
    </w:p>
    <w:tbl>
      <w:tblPr>
        <w:tblStyle w:val="TableGrid1"/>
        <w:tblW w:w="10080" w:type="dxa"/>
        <w:tblInd w:w="93" w:type="dxa"/>
        <w:tblBorders>
          <w:insideH w:val="dashSmallGap" w:sz="4" w:space="0" w:color="auto"/>
          <w:insideV w:val="dashSmallGap" w:sz="4" w:space="0" w:color="auto"/>
        </w:tblBorders>
        <w:tblLook w:val="04A0" w:firstRow="1" w:lastRow="0" w:firstColumn="1" w:lastColumn="0" w:noHBand="0" w:noVBand="1"/>
      </w:tblPr>
      <w:tblGrid>
        <w:gridCol w:w="5402"/>
        <w:gridCol w:w="4678"/>
      </w:tblGrid>
      <w:tr w:rsidR="009443FF" w:rsidRPr="00486970" w14:paraId="3687F046" w14:textId="77777777" w:rsidTr="004D1906">
        <w:trPr>
          <w:trHeight w:val="305"/>
        </w:trPr>
        <w:tc>
          <w:tcPr>
            <w:tcW w:w="5402" w:type="dxa"/>
            <w:vAlign w:val="center"/>
          </w:tcPr>
          <w:p w14:paraId="6B2C9A3E" w14:textId="77777777" w:rsidR="009443FF" w:rsidRPr="00486970" w:rsidRDefault="009443FF" w:rsidP="009443FF">
            <w:pPr>
              <w:tabs>
                <w:tab w:val="left" w:pos="4693"/>
              </w:tabs>
              <w:jc w:val="center"/>
              <w:rPr>
                <w:rFonts w:cstheme="minorHAnsi"/>
                <w:b/>
                <w:bCs/>
                <w:color w:val="000000"/>
                <w:sz w:val="24"/>
                <w:szCs w:val="24"/>
              </w:rPr>
            </w:pPr>
            <w:r w:rsidRPr="00486970">
              <w:rPr>
                <w:rFonts w:cstheme="minorHAnsi"/>
                <w:b/>
                <w:bCs/>
                <w:color w:val="000000"/>
                <w:sz w:val="24"/>
                <w:szCs w:val="24"/>
              </w:rPr>
              <w:t xml:space="preserve">Medicine name </w:t>
            </w:r>
          </w:p>
        </w:tc>
        <w:tc>
          <w:tcPr>
            <w:tcW w:w="4678" w:type="dxa"/>
            <w:vAlign w:val="center"/>
          </w:tcPr>
          <w:p w14:paraId="29261F35" w14:textId="77777777" w:rsidR="009443FF" w:rsidRPr="00486970" w:rsidRDefault="009443FF" w:rsidP="009443FF">
            <w:pPr>
              <w:tabs>
                <w:tab w:val="left" w:pos="4693"/>
              </w:tabs>
              <w:jc w:val="center"/>
              <w:rPr>
                <w:rFonts w:cstheme="minorHAnsi"/>
                <w:b/>
                <w:bCs/>
                <w:color w:val="000000"/>
                <w:sz w:val="24"/>
                <w:szCs w:val="24"/>
              </w:rPr>
            </w:pPr>
            <w:r w:rsidRPr="00486970">
              <w:rPr>
                <w:rFonts w:cstheme="minorHAnsi"/>
                <w:b/>
                <w:bCs/>
                <w:color w:val="000000"/>
                <w:sz w:val="24"/>
                <w:szCs w:val="24"/>
              </w:rPr>
              <w:t xml:space="preserve">Affiliated disease (code of the diseases according to the ICD-11 classification) </w:t>
            </w:r>
          </w:p>
        </w:tc>
      </w:tr>
      <w:tr w:rsidR="009443FF" w:rsidRPr="00486970" w14:paraId="2404A36F" w14:textId="77777777" w:rsidTr="004D1906">
        <w:trPr>
          <w:trHeight w:val="305"/>
        </w:trPr>
        <w:tc>
          <w:tcPr>
            <w:tcW w:w="5402" w:type="dxa"/>
            <w:vAlign w:val="center"/>
          </w:tcPr>
          <w:p w14:paraId="181973DD"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 xml:space="preserve">Salbutamol </w:t>
            </w:r>
          </w:p>
        </w:tc>
        <w:tc>
          <w:tcPr>
            <w:tcW w:w="4678" w:type="dxa"/>
            <w:vAlign w:val="center"/>
          </w:tcPr>
          <w:p w14:paraId="237EB53C"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Asthma (1190)</w:t>
            </w:r>
          </w:p>
          <w:p w14:paraId="4EFB915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Chronic obstructive pulmonary disease (1180)</w:t>
            </w:r>
          </w:p>
        </w:tc>
      </w:tr>
      <w:tr w:rsidR="009443FF" w:rsidRPr="00486970" w14:paraId="0113E5FC" w14:textId="77777777" w:rsidTr="004D1906">
        <w:trPr>
          <w:trHeight w:val="185"/>
        </w:trPr>
        <w:tc>
          <w:tcPr>
            <w:tcW w:w="5402" w:type="dxa"/>
            <w:vAlign w:val="center"/>
          </w:tcPr>
          <w:p w14:paraId="60FE9C7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Beclometasone or other corticosteroid inhaler</w:t>
            </w:r>
          </w:p>
        </w:tc>
        <w:tc>
          <w:tcPr>
            <w:tcW w:w="4678" w:type="dxa"/>
            <w:vAlign w:val="center"/>
          </w:tcPr>
          <w:p w14:paraId="22C52B1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Asthma (1190)</w:t>
            </w:r>
          </w:p>
        </w:tc>
      </w:tr>
      <w:tr w:rsidR="009443FF" w:rsidRPr="00486970" w14:paraId="743D85C6" w14:textId="77777777" w:rsidTr="004D1906">
        <w:trPr>
          <w:trHeight w:val="74"/>
        </w:trPr>
        <w:tc>
          <w:tcPr>
            <w:tcW w:w="5402" w:type="dxa"/>
            <w:vAlign w:val="center"/>
          </w:tcPr>
          <w:p w14:paraId="736A9DFB"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Gliclazide or other sulfonylurea</w:t>
            </w:r>
          </w:p>
        </w:tc>
        <w:tc>
          <w:tcPr>
            <w:tcW w:w="4678" w:type="dxa"/>
            <w:vMerge w:val="restart"/>
            <w:vAlign w:val="center"/>
          </w:tcPr>
          <w:p w14:paraId="5C3B912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Diabetes mellitus (800)</w:t>
            </w:r>
          </w:p>
        </w:tc>
      </w:tr>
      <w:tr w:rsidR="009443FF" w:rsidRPr="00486970" w14:paraId="5AF32465" w14:textId="77777777" w:rsidTr="004D1906">
        <w:trPr>
          <w:trHeight w:val="221"/>
        </w:trPr>
        <w:tc>
          <w:tcPr>
            <w:tcW w:w="5402" w:type="dxa"/>
            <w:vAlign w:val="center"/>
          </w:tcPr>
          <w:p w14:paraId="7741E4A1"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 xml:space="preserve">Metformin </w:t>
            </w:r>
          </w:p>
        </w:tc>
        <w:tc>
          <w:tcPr>
            <w:tcW w:w="4678" w:type="dxa"/>
            <w:vMerge/>
            <w:vAlign w:val="center"/>
          </w:tcPr>
          <w:p w14:paraId="35ECDD50" w14:textId="77777777" w:rsidR="009443FF" w:rsidRPr="00486970" w:rsidRDefault="009443FF" w:rsidP="009443FF">
            <w:pPr>
              <w:tabs>
                <w:tab w:val="left" w:pos="4693"/>
              </w:tabs>
              <w:rPr>
                <w:rFonts w:cstheme="minorHAnsi"/>
                <w:color w:val="000000"/>
                <w:sz w:val="20"/>
                <w:szCs w:val="20"/>
              </w:rPr>
            </w:pPr>
          </w:p>
        </w:tc>
      </w:tr>
      <w:tr w:rsidR="009443FF" w:rsidRPr="00486970" w14:paraId="73211F46" w14:textId="77777777" w:rsidTr="004D1906">
        <w:tc>
          <w:tcPr>
            <w:tcW w:w="5402" w:type="dxa"/>
            <w:vAlign w:val="center"/>
          </w:tcPr>
          <w:p w14:paraId="3CC82AD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Insulin regular, soluble</w:t>
            </w:r>
          </w:p>
        </w:tc>
        <w:tc>
          <w:tcPr>
            <w:tcW w:w="4678" w:type="dxa"/>
            <w:vMerge/>
            <w:vAlign w:val="center"/>
          </w:tcPr>
          <w:p w14:paraId="661FF5AF" w14:textId="77777777" w:rsidR="009443FF" w:rsidRPr="00486970" w:rsidRDefault="009443FF" w:rsidP="009443FF">
            <w:pPr>
              <w:tabs>
                <w:tab w:val="left" w:pos="4693"/>
              </w:tabs>
              <w:rPr>
                <w:rFonts w:cstheme="minorHAnsi"/>
                <w:color w:val="000000"/>
                <w:sz w:val="20"/>
                <w:szCs w:val="20"/>
              </w:rPr>
            </w:pPr>
          </w:p>
        </w:tc>
      </w:tr>
      <w:tr w:rsidR="009443FF" w:rsidRPr="00486970" w14:paraId="175FBEF2" w14:textId="77777777" w:rsidTr="004D1906">
        <w:trPr>
          <w:trHeight w:val="257"/>
        </w:trPr>
        <w:tc>
          <w:tcPr>
            <w:tcW w:w="5402" w:type="dxa"/>
            <w:vAlign w:val="center"/>
          </w:tcPr>
          <w:p w14:paraId="58B9C56D" w14:textId="77777777" w:rsidR="009443FF" w:rsidRPr="00486970" w:rsidRDefault="009443FF" w:rsidP="009443FF">
            <w:pPr>
              <w:rPr>
                <w:rFonts w:cstheme="minorHAnsi"/>
                <w:sz w:val="20"/>
                <w:szCs w:val="20"/>
              </w:rPr>
            </w:pPr>
            <w:r w:rsidRPr="00486970">
              <w:rPr>
                <w:rFonts w:cstheme="minorHAnsi"/>
                <w:sz w:val="20"/>
                <w:szCs w:val="20"/>
              </w:rPr>
              <w:t xml:space="preserve">Amlodipine </w:t>
            </w:r>
          </w:p>
        </w:tc>
        <w:tc>
          <w:tcPr>
            <w:tcW w:w="4678" w:type="dxa"/>
            <w:vAlign w:val="center"/>
          </w:tcPr>
          <w:p w14:paraId="69D7D052"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tc>
      </w:tr>
      <w:tr w:rsidR="009443FF" w:rsidRPr="00486970" w14:paraId="7C3AC4DB" w14:textId="77777777" w:rsidTr="004D1906">
        <w:trPr>
          <w:trHeight w:val="343"/>
        </w:trPr>
        <w:tc>
          <w:tcPr>
            <w:tcW w:w="5402" w:type="dxa"/>
            <w:vAlign w:val="center"/>
          </w:tcPr>
          <w:p w14:paraId="4F2D05A2" w14:textId="77777777" w:rsidR="009443FF" w:rsidRPr="00486970" w:rsidRDefault="009443FF" w:rsidP="009443FF">
            <w:pPr>
              <w:rPr>
                <w:rFonts w:cstheme="minorHAnsi"/>
                <w:sz w:val="20"/>
                <w:szCs w:val="20"/>
              </w:rPr>
            </w:pPr>
            <w:r w:rsidRPr="00486970">
              <w:rPr>
                <w:rFonts w:cstheme="minorHAnsi"/>
                <w:sz w:val="20"/>
                <w:szCs w:val="20"/>
              </w:rPr>
              <w:t xml:space="preserve">Enalapril or other angiotensin converting enzyme inhibitor </w:t>
            </w:r>
          </w:p>
        </w:tc>
        <w:tc>
          <w:tcPr>
            <w:tcW w:w="4678" w:type="dxa"/>
            <w:vMerge w:val="restart"/>
            <w:vAlign w:val="center"/>
          </w:tcPr>
          <w:p w14:paraId="0D3DE8C7"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p w14:paraId="1B17D45D"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2CFA77F3" w14:textId="77777777" w:rsidTr="004D1906">
        <w:trPr>
          <w:trHeight w:val="74"/>
        </w:trPr>
        <w:tc>
          <w:tcPr>
            <w:tcW w:w="5402" w:type="dxa"/>
            <w:vAlign w:val="center"/>
          </w:tcPr>
          <w:p w14:paraId="759EF3ED" w14:textId="77777777" w:rsidR="009443FF" w:rsidRPr="00486970" w:rsidRDefault="009443FF" w:rsidP="009443FF">
            <w:pPr>
              <w:tabs>
                <w:tab w:val="left" w:pos="4693"/>
              </w:tabs>
              <w:rPr>
                <w:rFonts w:cstheme="minorHAnsi"/>
                <w:sz w:val="20"/>
                <w:szCs w:val="20"/>
              </w:rPr>
            </w:pPr>
            <w:r w:rsidRPr="00486970">
              <w:rPr>
                <w:rFonts w:cstheme="minorHAnsi"/>
                <w:sz w:val="20"/>
                <w:szCs w:val="20"/>
              </w:rPr>
              <w:t>Hydrochlorothiazide or Chlorthalidone</w:t>
            </w:r>
          </w:p>
        </w:tc>
        <w:tc>
          <w:tcPr>
            <w:tcW w:w="4678" w:type="dxa"/>
            <w:vMerge/>
            <w:vAlign w:val="center"/>
          </w:tcPr>
          <w:p w14:paraId="6E00BA5D" w14:textId="77777777" w:rsidR="009443FF" w:rsidRPr="00486970" w:rsidRDefault="009443FF" w:rsidP="009443FF">
            <w:pPr>
              <w:tabs>
                <w:tab w:val="left" w:pos="4693"/>
              </w:tabs>
              <w:rPr>
                <w:rFonts w:cstheme="minorHAnsi"/>
                <w:b/>
                <w:bCs/>
                <w:color w:val="000000"/>
                <w:sz w:val="20"/>
                <w:szCs w:val="20"/>
              </w:rPr>
            </w:pPr>
          </w:p>
        </w:tc>
      </w:tr>
      <w:tr w:rsidR="009443FF" w:rsidRPr="00486970" w14:paraId="19E1F82A" w14:textId="77777777" w:rsidTr="004D1906">
        <w:trPr>
          <w:trHeight w:val="343"/>
        </w:trPr>
        <w:tc>
          <w:tcPr>
            <w:tcW w:w="5402" w:type="dxa"/>
            <w:vAlign w:val="center"/>
          </w:tcPr>
          <w:p w14:paraId="1FD869FD" w14:textId="77777777" w:rsidR="009443FF" w:rsidRPr="00486970" w:rsidRDefault="009443FF" w:rsidP="009443FF">
            <w:pPr>
              <w:tabs>
                <w:tab w:val="left" w:pos="4693"/>
              </w:tabs>
              <w:rPr>
                <w:rFonts w:cstheme="minorHAnsi"/>
                <w:sz w:val="20"/>
                <w:szCs w:val="20"/>
              </w:rPr>
            </w:pPr>
            <w:r w:rsidRPr="00486970">
              <w:rPr>
                <w:rFonts w:cstheme="minorHAnsi"/>
                <w:sz w:val="20"/>
                <w:szCs w:val="20"/>
              </w:rPr>
              <w:t xml:space="preserve">Bisoprolol or alternative betablocker (atenolol or carvedilol or metoprolol only)  </w:t>
            </w:r>
          </w:p>
        </w:tc>
        <w:tc>
          <w:tcPr>
            <w:tcW w:w="4678" w:type="dxa"/>
            <w:vAlign w:val="center"/>
          </w:tcPr>
          <w:p w14:paraId="4C66D80A"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p w14:paraId="207ADC44"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p w14:paraId="2460CE02"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lastRenderedPageBreak/>
              <w:t xml:space="preserve">→ </w:t>
            </w:r>
            <w:r w:rsidRPr="00486970">
              <w:rPr>
                <w:rFonts w:cstheme="minorHAnsi"/>
                <w:color w:val="000000"/>
                <w:sz w:val="20"/>
                <w:szCs w:val="20"/>
              </w:rPr>
              <w:t>Other circulatory diseases (1160)</w:t>
            </w:r>
          </w:p>
          <w:p w14:paraId="30CBEA22"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1D8CE34E" w14:textId="77777777" w:rsidTr="004D1906">
        <w:trPr>
          <w:trHeight w:val="343"/>
        </w:trPr>
        <w:tc>
          <w:tcPr>
            <w:tcW w:w="5402" w:type="dxa"/>
            <w:vAlign w:val="center"/>
          </w:tcPr>
          <w:p w14:paraId="0CFA269F"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t xml:space="preserve">Furosemide  </w:t>
            </w:r>
          </w:p>
        </w:tc>
        <w:tc>
          <w:tcPr>
            <w:tcW w:w="4678" w:type="dxa"/>
            <w:vAlign w:val="center"/>
          </w:tcPr>
          <w:p w14:paraId="73A8608C"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32DF718E" w14:textId="77777777" w:rsidTr="004D1906">
        <w:trPr>
          <w:trHeight w:val="343"/>
        </w:trPr>
        <w:tc>
          <w:tcPr>
            <w:tcW w:w="5402" w:type="dxa"/>
            <w:vAlign w:val="center"/>
          </w:tcPr>
          <w:p w14:paraId="40F8F855"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 xml:space="preserve">Simvastatin or other statin </w:t>
            </w:r>
          </w:p>
        </w:tc>
        <w:tc>
          <w:tcPr>
            <w:tcW w:w="4678" w:type="dxa"/>
            <w:vAlign w:val="center"/>
          </w:tcPr>
          <w:p w14:paraId="2A5BBC48"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p w14:paraId="1C52E31C"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Stroke (1140)</w:t>
            </w:r>
          </w:p>
        </w:tc>
      </w:tr>
      <w:tr w:rsidR="009443FF" w:rsidRPr="00486970" w14:paraId="11E9236B" w14:textId="77777777" w:rsidTr="004D1906">
        <w:tc>
          <w:tcPr>
            <w:tcW w:w="5402" w:type="dxa"/>
            <w:vAlign w:val="center"/>
          </w:tcPr>
          <w:p w14:paraId="411419E5"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t>Acetylsalicylic acid (aspirin)</w:t>
            </w:r>
          </w:p>
        </w:tc>
        <w:tc>
          <w:tcPr>
            <w:tcW w:w="4678" w:type="dxa"/>
            <w:vAlign w:val="center"/>
          </w:tcPr>
          <w:p w14:paraId="3B3240B5"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tc>
      </w:tr>
      <w:tr w:rsidR="009443FF" w:rsidRPr="00486970" w14:paraId="2CC55F8D" w14:textId="77777777" w:rsidTr="004D1906">
        <w:tc>
          <w:tcPr>
            <w:tcW w:w="5402" w:type="dxa"/>
            <w:vAlign w:val="center"/>
          </w:tcPr>
          <w:p w14:paraId="3800742C"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Morphine</w:t>
            </w:r>
          </w:p>
        </w:tc>
        <w:tc>
          <w:tcPr>
            <w:tcW w:w="4678" w:type="dxa"/>
            <w:vAlign w:val="center"/>
          </w:tcPr>
          <w:p w14:paraId="04758D96" w14:textId="77777777" w:rsidR="009443FF" w:rsidRPr="00486970" w:rsidRDefault="009443FF" w:rsidP="009443FF">
            <w:pPr>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Malignant neoplasms (610)</w:t>
            </w:r>
          </w:p>
        </w:tc>
      </w:tr>
      <w:tr w:rsidR="009443FF" w:rsidRPr="00486970" w14:paraId="265EFA5F" w14:textId="77777777" w:rsidTr="004D1906">
        <w:tc>
          <w:tcPr>
            <w:tcW w:w="5402" w:type="dxa"/>
            <w:vAlign w:val="center"/>
          </w:tcPr>
          <w:p w14:paraId="2AEF7692"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Paracetamol</w:t>
            </w:r>
          </w:p>
        </w:tc>
        <w:tc>
          <w:tcPr>
            <w:tcW w:w="4678" w:type="dxa"/>
            <w:vAlign w:val="center"/>
          </w:tcPr>
          <w:p w14:paraId="3FA48A6B" w14:textId="77777777" w:rsidR="009443FF" w:rsidRPr="00486970" w:rsidRDefault="009443FF" w:rsidP="009443FF">
            <w:pPr>
              <w:tabs>
                <w:tab w:val="left" w:pos="4693"/>
              </w:tabs>
              <w:rPr>
                <w:rFonts w:cstheme="minorHAnsi"/>
                <w:color w:val="7F7F7F" w:themeColor="text1" w:themeTint="8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w:t>
            </w:r>
            <w:r w:rsidRPr="00486970">
              <w:rPr>
                <w:rFonts w:cstheme="minorHAnsi"/>
                <w:sz w:val="20"/>
                <w:szCs w:val="20"/>
              </w:rPr>
              <w:t>1/T</w:t>
            </w:r>
          </w:p>
        </w:tc>
      </w:tr>
      <w:tr w:rsidR="009443FF" w:rsidRPr="00486970" w14:paraId="7495472C" w14:textId="77777777" w:rsidTr="004D1906">
        <w:tc>
          <w:tcPr>
            <w:tcW w:w="5402" w:type="dxa"/>
            <w:vAlign w:val="center"/>
          </w:tcPr>
          <w:p w14:paraId="24B7DDA3" w14:textId="77777777" w:rsidR="009443FF" w:rsidRPr="00486970" w:rsidRDefault="009443FF" w:rsidP="009443FF">
            <w:pPr>
              <w:tabs>
                <w:tab w:val="left" w:pos="4693"/>
              </w:tabs>
              <w:rPr>
                <w:rFonts w:cstheme="minorHAnsi"/>
                <w:i/>
                <w:iCs/>
                <w:color w:val="404040" w:themeColor="text1" w:themeTint="BF"/>
                <w:sz w:val="20"/>
                <w:szCs w:val="20"/>
              </w:rPr>
            </w:pPr>
            <w:r w:rsidRPr="00486970">
              <w:rPr>
                <w:rFonts w:cstheme="minorHAnsi"/>
                <w:sz w:val="20"/>
                <w:szCs w:val="20"/>
              </w:rPr>
              <w:t>Ibuprofen</w:t>
            </w:r>
          </w:p>
        </w:tc>
        <w:tc>
          <w:tcPr>
            <w:tcW w:w="4678" w:type="dxa"/>
            <w:vAlign w:val="center"/>
          </w:tcPr>
          <w:p w14:paraId="3CBE88DC" w14:textId="77777777" w:rsidR="009443FF" w:rsidRPr="00486970" w:rsidRDefault="009443FF" w:rsidP="009443FF">
            <w:pPr>
              <w:tabs>
                <w:tab w:val="left" w:pos="4693"/>
              </w:tabs>
              <w:rPr>
                <w:rFonts w:cstheme="minorHAnsi"/>
                <w:b/>
                <w:bCs/>
                <w:color w:val="7F7F7F" w:themeColor="text1" w:themeTint="8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w:t>
            </w:r>
            <w:r w:rsidRPr="00486970">
              <w:rPr>
                <w:rFonts w:cstheme="minorHAnsi"/>
                <w:sz w:val="20"/>
                <w:szCs w:val="20"/>
              </w:rPr>
              <w:t>1/T</w:t>
            </w:r>
          </w:p>
        </w:tc>
      </w:tr>
      <w:tr w:rsidR="009443FF" w:rsidRPr="00486970" w14:paraId="404FA893" w14:textId="77777777" w:rsidTr="004D1906">
        <w:tc>
          <w:tcPr>
            <w:tcW w:w="5402" w:type="dxa"/>
            <w:vAlign w:val="center"/>
          </w:tcPr>
          <w:p w14:paraId="1DD8485D" w14:textId="77777777" w:rsidR="009443FF" w:rsidRPr="00486970" w:rsidRDefault="009443FF" w:rsidP="009443FF">
            <w:pPr>
              <w:tabs>
                <w:tab w:val="left" w:pos="4693"/>
              </w:tabs>
              <w:rPr>
                <w:rFonts w:cstheme="minorHAnsi"/>
                <w:sz w:val="20"/>
                <w:szCs w:val="20"/>
              </w:rPr>
            </w:pPr>
            <w:r w:rsidRPr="00486970">
              <w:rPr>
                <w:rFonts w:cstheme="minorHAnsi"/>
                <w:sz w:val="20"/>
                <w:szCs w:val="20"/>
              </w:rPr>
              <w:t xml:space="preserve">Fluoxetine or other selective serotonin reuptake inhibitor </w:t>
            </w:r>
          </w:p>
        </w:tc>
        <w:tc>
          <w:tcPr>
            <w:tcW w:w="4678" w:type="dxa"/>
            <w:vAlign w:val="center"/>
          </w:tcPr>
          <w:p w14:paraId="0D5CE87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Depressive disorders (830)</w:t>
            </w:r>
          </w:p>
        </w:tc>
      </w:tr>
      <w:tr w:rsidR="009443FF" w:rsidRPr="00486970" w14:paraId="49C64F4E" w14:textId="77777777" w:rsidTr="004D1906">
        <w:tc>
          <w:tcPr>
            <w:tcW w:w="5402" w:type="dxa"/>
            <w:vAlign w:val="center"/>
          </w:tcPr>
          <w:p w14:paraId="4B02ECD6"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t xml:space="preserve">Phenytoin or Carbamazepine </w:t>
            </w:r>
          </w:p>
        </w:tc>
        <w:tc>
          <w:tcPr>
            <w:tcW w:w="4678" w:type="dxa"/>
            <w:vAlign w:val="center"/>
          </w:tcPr>
          <w:p w14:paraId="4A44BAF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Epilepsy (970)</w:t>
            </w:r>
          </w:p>
        </w:tc>
      </w:tr>
      <w:tr w:rsidR="009443FF" w:rsidRPr="00486970" w14:paraId="05B836B8" w14:textId="77777777" w:rsidTr="004D1906">
        <w:tc>
          <w:tcPr>
            <w:tcW w:w="5402" w:type="dxa"/>
            <w:vAlign w:val="center"/>
          </w:tcPr>
          <w:p w14:paraId="57DD438B"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Gentamicin</w:t>
            </w:r>
          </w:p>
        </w:tc>
        <w:tc>
          <w:tcPr>
            <w:tcW w:w="4678" w:type="dxa"/>
            <w:vAlign w:val="center"/>
          </w:tcPr>
          <w:p w14:paraId="5E750E06"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Lower respiratory infections (390)</w:t>
            </w:r>
          </w:p>
          <w:p w14:paraId="4BA7F6E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Infectious and parasitic diseases (20)</w:t>
            </w:r>
          </w:p>
        </w:tc>
      </w:tr>
      <w:tr w:rsidR="009443FF" w:rsidRPr="00486970" w14:paraId="04675EC6" w14:textId="77777777" w:rsidTr="004D1906">
        <w:tc>
          <w:tcPr>
            <w:tcW w:w="5402" w:type="dxa"/>
            <w:vAlign w:val="center"/>
          </w:tcPr>
          <w:p w14:paraId="0717DDCE" w14:textId="77777777" w:rsidR="009443FF" w:rsidRPr="00486970" w:rsidRDefault="009443FF" w:rsidP="009443FF">
            <w:pPr>
              <w:tabs>
                <w:tab w:val="left" w:pos="4693"/>
              </w:tabs>
              <w:rPr>
                <w:rFonts w:cstheme="minorHAnsi"/>
                <w:i/>
                <w:iCs/>
                <w:color w:val="000000"/>
                <w:sz w:val="20"/>
                <w:szCs w:val="20"/>
              </w:rPr>
            </w:pPr>
            <w:r w:rsidRPr="00486970">
              <w:rPr>
                <w:rFonts w:cstheme="minorHAnsi"/>
                <w:color w:val="000000"/>
                <w:sz w:val="20"/>
                <w:szCs w:val="20"/>
              </w:rPr>
              <w:t>Amoxicillin</w:t>
            </w:r>
          </w:p>
        </w:tc>
        <w:tc>
          <w:tcPr>
            <w:tcW w:w="4678" w:type="dxa"/>
            <w:vMerge w:val="restart"/>
            <w:vAlign w:val="center"/>
          </w:tcPr>
          <w:p w14:paraId="39A4DAB7"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Infectious and parasitic diseases (20)</w:t>
            </w:r>
          </w:p>
        </w:tc>
      </w:tr>
      <w:tr w:rsidR="009443FF" w:rsidRPr="00486970" w14:paraId="6121D00F" w14:textId="77777777" w:rsidTr="004D1906">
        <w:trPr>
          <w:trHeight w:val="281"/>
        </w:trPr>
        <w:tc>
          <w:tcPr>
            <w:tcW w:w="5402" w:type="dxa"/>
            <w:vAlign w:val="center"/>
          </w:tcPr>
          <w:p w14:paraId="0CAB7F91"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Ceftriaxone</w:t>
            </w:r>
          </w:p>
        </w:tc>
        <w:tc>
          <w:tcPr>
            <w:tcW w:w="4678" w:type="dxa"/>
            <w:vMerge/>
            <w:vAlign w:val="center"/>
          </w:tcPr>
          <w:p w14:paraId="2A49828B" w14:textId="77777777" w:rsidR="009443FF" w:rsidRPr="00486970" w:rsidRDefault="009443FF" w:rsidP="009443FF">
            <w:pPr>
              <w:tabs>
                <w:tab w:val="left" w:pos="4693"/>
              </w:tabs>
              <w:rPr>
                <w:rFonts w:cstheme="minorHAnsi"/>
                <w:b/>
                <w:bCs/>
                <w:color w:val="000000"/>
                <w:sz w:val="20"/>
                <w:szCs w:val="20"/>
              </w:rPr>
            </w:pPr>
          </w:p>
        </w:tc>
      </w:tr>
      <w:tr w:rsidR="009443FF" w:rsidRPr="00486970" w14:paraId="13A67396" w14:textId="77777777" w:rsidTr="004D1906">
        <w:tc>
          <w:tcPr>
            <w:tcW w:w="5402" w:type="dxa"/>
            <w:vAlign w:val="center"/>
          </w:tcPr>
          <w:p w14:paraId="6937A6D0"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Procaine benzylpenicillin or Benzathine benzylpenicillin</w:t>
            </w:r>
          </w:p>
        </w:tc>
        <w:tc>
          <w:tcPr>
            <w:tcW w:w="4678" w:type="dxa"/>
            <w:vMerge/>
            <w:vAlign w:val="center"/>
          </w:tcPr>
          <w:p w14:paraId="170771D3" w14:textId="77777777" w:rsidR="009443FF" w:rsidRPr="00486970" w:rsidRDefault="009443FF" w:rsidP="009443FF">
            <w:pPr>
              <w:tabs>
                <w:tab w:val="left" w:pos="4693"/>
              </w:tabs>
              <w:rPr>
                <w:rFonts w:cstheme="minorHAnsi"/>
                <w:color w:val="000000"/>
                <w:sz w:val="20"/>
                <w:szCs w:val="20"/>
              </w:rPr>
            </w:pPr>
          </w:p>
        </w:tc>
      </w:tr>
      <w:tr w:rsidR="009443FF" w:rsidRPr="00486970" w14:paraId="2B5366C0" w14:textId="77777777" w:rsidTr="004D1906">
        <w:tc>
          <w:tcPr>
            <w:tcW w:w="5402" w:type="dxa"/>
            <w:vAlign w:val="center"/>
          </w:tcPr>
          <w:p w14:paraId="73AD035A" w14:textId="77777777" w:rsidR="009443FF" w:rsidRPr="00486970" w:rsidRDefault="009443FF" w:rsidP="009443FF">
            <w:pPr>
              <w:rPr>
                <w:rFonts w:cstheme="minorHAnsi"/>
                <w:sz w:val="20"/>
                <w:szCs w:val="20"/>
              </w:rPr>
            </w:pPr>
            <w:r w:rsidRPr="00486970">
              <w:rPr>
                <w:rFonts w:cstheme="minorHAnsi"/>
                <w:sz w:val="20"/>
                <w:szCs w:val="20"/>
              </w:rPr>
              <w:t>Ethinylestradiol + levonorgestrel (or alternative combined oral contraceptive)</w:t>
            </w:r>
          </w:p>
        </w:tc>
        <w:tc>
          <w:tcPr>
            <w:tcW w:w="4678" w:type="dxa"/>
            <w:vMerge w:val="restart"/>
            <w:vAlign w:val="center"/>
          </w:tcPr>
          <w:p w14:paraId="4F6686EF"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Maternal conditions (420)</w:t>
            </w:r>
          </w:p>
        </w:tc>
      </w:tr>
      <w:tr w:rsidR="009443FF" w:rsidRPr="00486970" w14:paraId="443BAD0A" w14:textId="77777777" w:rsidTr="004D1906">
        <w:tc>
          <w:tcPr>
            <w:tcW w:w="5402" w:type="dxa"/>
            <w:vAlign w:val="center"/>
          </w:tcPr>
          <w:p w14:paraId="3999AB1E" w14:textId="77777777" w:rsidR="009443FF" w:rsidRPr="00486970" w:rsidRDefault="009443FF" w:rsidP="009443FF">
            <w:pPr>
              <w:rPr>
                <w:rFonts w:cstheme="minorHAnsi"/>
                <w:sz w:val="20"/>
                <w:szCs w:val="20"/>
              </w:rPr>
            </w:pPr>
            <w:r w:rsidRPr="00486970">
              <w:rPr>
                <w:rFonts w:cstheme="minorHAnsi"/>
                <w:sz w:val="20"/>
                <w:szCs w:val="20"/>
              </w:rPr>
              <w:t xml:space="preserve">Medroxyprogesterone acetate injection </w:t>
            </w:r>
          </w:p>
        </w:tc>
        <w:tc>
          <w:tcPr>
            <w:tcW w:w="4678" w:type="dxa"/>
            <w:vMerge/>
            <w:vAlign w:val="center"/>
          </w:tcPr>
          <w:p w14:paraId="57466FCB" w14:textId="77777777" w:rsidR="009443FF" w:rsidRPr="00486970" w:rsidRDefault="009443FF" w:rsidP="009443FF">
            <w:pPr>
              <w:tabs>
                <w:tab w:val="left" w:pos="4693"/>
              </w:tabs>
              <w:rPr>
                <w:rFonts w:cstheme="minorHAnsi"/>
                <w:color w:val="000000"/>
                <w:sz w:val="20"/>
                <w:szCs w:val="20"/>
              </w:rPr>
            </w:pPr>
          </w:p>
        </w:tc>
      </w:tr>
      <w:tr w:rsidR="009443FF" w:rsidRPr="00486970" w14:paraId="0A8FEDE3" w14:textId="77777777" w:rsidTr="004D1906">
        <w:tc>
          <w:tcPr>
            <w:tcW w:w="5402" w:type="dxa"/>
            <w:vAlign w:val="center"/>
          </w:tcPr>
          <w:p w14:paraId="406A40DC" w14:textId="77777777" w:rsidR="009443FF" w:rsidRPr="00486970" w:rsidRDefault="009443FF" w:rsidP="009443FF">
            <w:pPr>
              <w:rPr>
                <w:rFonts w:cstheme="minorHAnsi"/>
                <w:sz w:val="20"/>
                <w:szCs w:val="20"/>
              </w:rPr>
            </w:pPr>
            <w:r w:rsidRPr="00486970">
              <w:rPr>
                <w:rFonts w:cstheme="minorHAnsi"/>
                <w:sz w:val="20"/>
                <w:szCs w:val="20"/>
              </w:rPr>
              <w:t>Progesterone-releasing implant (etonogestrel or levonorgestrel)</w:t>
            </w:r>
          </w:p>
        </w:tc>
        <w:tc>
          <w:tcPr>
            <w:tcW w:w="4678" w:type="dxa"/>
            <w:vMerge/>
            <w:vAlign w:val="center"/>
          </w:tcPr>
          <w:p w14:paraId="474704CC" w14:textId="77777777" w:rsidR="009443FF" w:rsidRPr="00486970" w:rsidRDefault="009443FF" w:rsidP="009443FF">
            <w:pPr>
              <w:tabs>
                <w:tab w:val="left" w:pos="4693"/>
              </w:tabs>
              <w:rPr>
                <w:rFonts w:cstheme="minorHAnsi"/>
                <w:color w:val="000000"/>
                <w:sz w:val="20"/>
                <w:szCs w:val="20"/>
              </w:rPr>
            </w:pPr>
          </w:p>
        </w:tc>
      </w:tr>
      <w:tr w:rsidR="009443FF" w:rsidRPr="00486970" w14:paraId="50ADB90F" w14:textId="77777777" w:rsidTr="004D1906">
        <w:tc>
          <w:tcPr>
            <w:tcW w:w="5402" w:type="dxa"/>
            <w:vAlign w:val="center"/>
          </w:tcPr>
          <w:p w14:paraId="4EA5E6E5" w14:textId="77777777" w:rsidR="009443FF" w:rsidRPr="00486970" w:rsidRDefault="009443FF" w:rsidP="009443FF">
            <w:pPr>
              <w:rPr>
                <w:rFonts w:cstheme="minorHAnsi"/>
                <w:sz w:val="20"/>
                <w:szCs w:val="20"/>
              </w:rPr>
            </w:pPr>
            <w:r w:rsidRPr="00486970">
              <w:rPr>
                <w:rFonts w:cstheme="minorHAnsi"/>
                <w:sz w:val="20"/>
                <w:szCs w:val="20"/>
              </w:rPr>
              <w:t>Levonorgestrel</w:t>
            </w:r>
          </w:p>
        </w:tc>
        <w:tc>
          <w:tcPr>
            <w:tcW w:w="4678" w:type="dxa"/>
            <w:vMerge/>
            <w:vAlign w:val="center"/>
          </w:tcPr>
          <w:p w14:paraId="4D97B954" w14:textId="77777777" w:rsidR="009443FF" w:rsidRPr="00486970" w:rsidRDefault="009443FF" w:rsidP="009443FF">
            <w:pPr>
              <w:tabs>
                <w:tab w:val="left" w:pos="4693"/>
              </w:tabs>
              <w:rPr>
                <w:rFonts w:cstheme="minorHAnsi"/>
                <w:color w:val="000000"/>
                <w:sz w:val="20"/>
                <w:szCs w:val="20"/>
              </w:rPr>
            </w:pPr>
          </w:p>
        </w:tc>
      </w:tr>
      <w:tr w:rsidR="009443FF" w:rsidRPr="00486970" w14:paraId="0427F3B6" w14:textId="77777777" w:rsidTr="004D1906">
        <w:tc>
          <w:tcPr>
            <w:tcW w:w="5402" w:type="dxa"/>
            <w:vAlign w:val="center"/>
          </w:tcPr>
          <w:p w14:paraId="33A163B8"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Oral rehydration</w:t>
            </w:r>
          </w:p>
        </w:tc>
        <w:tc>
          <w:tcPr>
            <w:tcW w:w="4678" w:type="dxa"/>
            <w:vMerge w:val="restart"/>
            <w:vAlign w:val="center"/>
          </w:tcPr>
          <w:p w14:paraId="517B5991"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Diarrhoeal diseases (110)</w:t>
            </w:r>
          </w:p>
        </w:tc>
      </w:tr>
      <w:tr w:rsidR="009443FF" w:rsidRPr="00486970" w14:paraId="01BA86C2" w14:textId="77777777" w:rsidTr="004D1906">
        <w:tc>
          <w:tcPr>
            <w:tcW w:w="5402" w:type="dxa"/>
            <w:vAlign w:val="center"/>
          </w:tcPr>
          <w:p w14:paraId="0BBD2D0A"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Zinc sulphate</w:t>
            </w:r>
          </w:p>
        </w:tc>
        <w:tc>
          <w:tcPr>
            <w:tcW w:w="4678" w:type="dxa"/>
            <w:vMerge/>
            <w:vAlign w:val="center"/>
          </w:tcPr>
          <w:p w14:paraId="73759AA4" w14:textId="77777777" w:rsidR="009443FF" w:rsidRPr="00486970" w:rsidRDefault="009443FF" w:rsidP="009443FF">
            <w:pPr>
              <w:tabs>
                <w:tab w:val="left" w:pos="4693"/>
              </w:tabs>
              <w:rPr>
                <w:rFonts w:cstheme="minorHAnsi"/>
                <w:color w:val="000000"/>
                <w:sz w:val="20"/>
                <w:szCs w:val="20"/>
              </w:rPr>
            </w:pPr>
          </w:p>
        </w:tc>
      </w:tr>
      <w:tr w:rsidR="009443FF" w:rsidRPr="00486970" w14:paraId="660E4238" w14:textId="77777777" w:rsidTr="004D1906">
        <w:tc>
          <w:tcPr>
            <w:tcW w:w="5402" w:type="dxa"/>
            <w:vAlign w:val="center"/>
          </w:tcPr>
          <w:p w14:paraId="6BD079A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Oxytocin</w:t>
            </w:r>
          </w:p>
        </w:tc>
        <w:tc>
          <w:tcPr>
            <w:tcW w:w="4678" w:type="dxa"/>
            <w:vAlign w:val="center"/>
          </w:tcPr>
          <w:p w14:paraId="37D79F7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Maternal conditions (420)</w:t>
            </w:r>
          </w:p>
        </w:tc>
      </w:tr>
      <w:tr w:rsidR="009443FF" w:rsidRPr="00486970" w14:paraId="7C82D93C" w14:textId="77777777" w:rsidTr="004D1906">
        <w:tc>
          <w:tcPr>
            <w:tcW w:w="5402" w:type="dxa"/>
            <w:vAlign w:val="center"/>
          </w:tcPr>
          <w:p w14:paraId="4C0F46F1"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Magnesium sulphate</w:t>
            </w:r>
          </w:p>
        </w:tc>
        <w:tc>
          <w:tcPr>
            <w:tcW w:w="4678" w:type="dxa"/>
            <w:vAlign w:val="center"/>
          </w:tcPr>
          <w:p w14:paraId="01217B46"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Epilepsy (970)</w:t>
            </w:r>
          </w:p>
        </w:tc>
      </w:tr>
      <w:tr w:rsidR="009443FF" w:rsidRPr="00486970" w14:paraId="4C16850A" w14:textId="77777777" w:rsidTr="004D1906">
        <w:tc>
          <w:tcPr>
            <w:tcW w:w="5402" w:type="dxa"/>
            <w:vAlign w:val="center"/>
          </w:tcPr>
          <w:p w14:paraId="42D4C477"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Folic acid</w:t>
            </w:r>
          </w:p>
        </w:tc>
        <w:tc>
          <w:tcPr>
            <w:tcW w:w="4678" w:type="dxa"/>
            <w:vAlign w:val="center"/>
          </w:tcPr>
          <w:p w14:paraId="7781DD5F"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Iron-deficiency anaemia (580)</w:t>
            </w:r>
          </w:p>
        </w:tc>
      </w:tr>
      <w:tr w:rsidR="009443FF" w:rsidRPr="00486970" w14:paraId="53D5282F" w14:textId="77777777" w:rsidTr="004D1906">
        <w:tc>
          <w:tcPr>
            <w:tcW w:w="5402" w:type="dxa"/>
            <w:vAlign w:val="center"/>
          </w:tcPr>
          <w:p w14:paraId="16FAB078" w14:textId="77777777" w:rsidR="009443FF" w:rsidRPr="00486970" w:rsidRDefault="009443FF" w:rsidP="009443FF">
            <w:pPr>
              <w:rPr>
                <w:rFonts w:cstheme="minorHAnsi"/>
                <w:color w:val="000000"/>
                <w:sz w:val="20"/>
                <w:szCs w:val="20"/>
              </w:rPr>
            </w:pPr>
            <w:r w:rsidRPr="00486970">
              <w:rPr>
                <w:rFonts w:cstheme="minorHAnsi"/>
                <w:sz w:val="20"/>
                <w:szCs w:val="20"/>
              </w:rPr>
              <w:t>Artemether+lumefantrine</w:t>
            </w:r>
          </w:p>
        </w:tc>
        <w:tc>
          <w:tcPr>
            <w:tcW w:w="4678" w:type="dxa"/>
            <w:vMerge w:val="restart"/>
            <w:vAlign w:val="center"/>
          </w:tcPr>
          <w:p w14:paraId="2A50AB4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Malaria (220)</w:t>
            </w:r>
          </w:p>
          <w:p w14:paraId="73C7D221" w14:textId="77777777" w:rsidR="009443FF" w:rsidRPr="00486970" w:rsidRDefault="009443FF" w:rsidP="009443FF">
            <w:pPr>
              <w:tabs>
                <w:tab w:val="left" w:pos="4693"/>
              </w:tabs>
              <w:rPr>
                <w:rFonts w:cstheme="minorHAnsi"/>
                <w:color w:val="000000"/>
                <w:sz w:val="20"/>
                <w:szCs w:val="20"/>
              </w:rPr>
            </w:pPr>
          </w:p>
        </w:tc>
      </w:tr>
      <w:tr w:rsidR="009443FF" w:rsidRPr="00486970" w14:paraId="08290A6C" w14:textId="77777777" w:rsidTr="004D1906">
        <w:tc>
          <w:tcPr>
            <w:tcW w:w="5402" w:type="dxa"/>
            <w:vAlign w:val="center"/>
          </w:tcPr>
          <w:p w14:paraId="33737801" w14:textId="77777777" w:rsidR="009443FF" w:rsidRPr="00486970" w:rsidRDefault="009443FF" w:rsidP="009443FF">
            <w:pPr>
              <w:rPr>
                <w:rFonts w:cstheme="minorHAnsi"/>
                <w:color w:val="000000"/>
                <w:sz w:val="20"/>
                <w:szCs w:val="20"/>
              </w:rPr>
            </w:pPr>
            <w:r w:rsidRPr="00486970">
              <w:rPr>
                <w:rFonts w:cstheme="minorHAnsi"/>
                <w:sz w:val="20"/>
                <w:szCs w:val="20"/>
              </w:rPr>
              <w:t>Artesunate+amodiaquine</w:t>
            </w:r>
          </w:p>
        </w:tc>
        <w:tc>
          <w:tcPr>
            <w:tcW w:w="4678" w:type="dxa"/>
            <w:vMerge/>
            <w:vAlign w:val="center"/>
          </w:tcPr>
          <w:p w14:paraId="6FCF8B89" w14:textId="77777777" w:rsidR="009443FF" w:rsidRPr="00486970" w:rsidRDefault="009443FF" w:rsidP="009443FF">
            <w:pPr>
              <w:tabs>
                <w:tab w:val="left" w:pos="4693"/>
              </w:tabs>
              <w:rPr>
                <w:rFonts w:cstheme="minorHAnsi"/>
                <w:color w:val="000000"/>
                <w:sz w:val="20"/>
                <w:szCs w:val="20"/>
              </w:rPr>
            </w:pPr>
          </w:p>
        </w:tc>
      </w:tr>
      <w:tr w:rsidR="009443FF" w:rsidRPr="00486970" w14:paraId="7DA4B9AE" w14:textId="77777777" w:rsidTr="004D1906">
        <w:tc>
          <w:tcPr>
            <w:tcW w:w="5402" w:type="dxa"/>
            <w:vAlign w:val="center"/>
          </w:tcPr>
          <w:p w14:paraId="29818A42" w14:textId="77777777" w:rsidR="009443FF" w:rsidRPr="00486970" w:rsidRDefault="009443FF" w:rsidP="009443FF">
            <w:pPr>
              <w:rPr>
                <w:rFonts w:cstheme="minorHAnsi"/>
                <w:color w:val="000000"/>
                <w:sz w:val="20"/>
                <w:szCs w:val="20"/>
              </w:rPr>
            </w:pPr>
            <w:r w:rsidRPr="00486970">
              <w:rPr>
                <w:rFonts w:cstheme="minorHAnsi"/>
                <w:sz w:val="20"/>
                <w:szCs w:val="20"/>
              </w:rPr>
              <w:t>Artesunate+mefloquine</w:t>
            </w:r>
          </w:p>
        </w:tc>
        <w:tc>
          <w:tcPr>
            <w:tcW w:w="4678" w:type="dxa"/>
            <w:vMerge/>
            <w:vAlign w:val="center"/>
          </w:tcPr>
          <w:p w14:paraId="69A1C237" w14:textId="77777777" w:rsidR="009443FF" w:rsidRPr="00486970" w:rsidRDefault="009443FF" w:rsidP="009443FF">
            <w:pPr>
              <w:tabs>
                <w:tab w:val="left" w:pos="4693"/>
              </w:tabs>
              <w:rPr>
                <w:rFonts w:cstheme="minorHAnsi"/>
                <w:color w:val="000000"/>
                <w:sz w:val="20"/>
                <w:szCs w:val="20"/>
              </w:rPr>
            </w:pPr>
          </w:p>
        </w:tc>
      </w:tr>
      <w:tr w:rsidR="009443FF" w:rsidRPr="00486970" w14:paraId="3F029051" w14:textId="77777777" w:rsidTr="004D1906">
        <w:tc>
          <w:tcPr>
            <w:tcW w:w="5402" w:type="dxa"/>
            <w:vAlign w:val="center"/>
          </w:tcPr>
          <w:p w14:paraId="33743229" w14:textId="77777777" w:rsidR="009443FF" w:rsidRPr="00486970" w:rsidRDefault="009443FF" w:rsidP="009443FF">
            <w:pPr>
              <w:rPr>
                <w:rFonts w:cstheme="minorHAnsi"/>
                <w:sz w:val="20"/>
                <w:szCs w:val="20"/>
              </w:rPr>
            </w:pPr>
            <w:r w:rsidRPr="00486970">
              <w:rPr>
                <w:rFonts w:cstheme="minorHAnsi"/>
                <w:sz w:val="20"/>
                <w:szCs w:val="20"/>
              </w:rPr>
              <w:t>Dihydroartemisinin+piperaquine</w:t>
            </w:r>
          </w:p>
        </w:tc>
        <w:tc>
          <w:tcPr>
            <w:tcW w:w="4678" w:type="dxa"/>
            <w:vMerge/>
            <w:vAlign w:val="center"/>
          </w:tcPr>
          <w:p w14:paraId="0BB522BE" w14:textId="77777777" w:rsidR="009443FF" w:rsidRPr="00486970" w:rsidRDefault="009443FF" w:rsidP="009443FF">
            <w:pPr>
              <w:tabs>
                <w:tab w:val="left" w:pos="4693"/>
              </w:tabs>
              <w:rPr>
                <w:rFonts w:cstheme="minorHAnsi"/>
                <w:color w:val="000000"/>
                <w:sz w:val="20"/>
                <w:szCs w:val="20"/>
              </w:rPr>
            </w:pPr>
          </w:p>
        </w:tc>
      </w:tr>
      <w:tr w:rsidR="009443FF" w:rsidRPr="00486970" w14:paraId="15DAE6AA" w14:textId="77777777" w:rsidTr="004D1906">
        <w:tc>
          <w:tcPr>
            <w:tcW w:w="5402" w:type="dxa"/>
            <w:vAlign w:val="center"/>
          </w:tcPr>
          <w:p w14:paraId="60673D3A"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Artesunate+sulfadoxine-pyrimethamine</w:t>
            </w:r>
          </w:p>
        </w:tc>
        <w:tc>
          <w:tcPr>
            <w:tcW w:w="4678" w:type="dxa"/>
            <w:vMerge/>
            <w:vAlign w:val="center"/>
          </w:tcPr>
          <w:p w14:paraId="73A4D70C" w14:textId="77777777" w:rsidR="009443FF" w:rsidRPr="00486970" w:rsidRDefault="009443FF" w:rsidP="009443FF">
            <w:pPr>
              <w:tabs>
                <w:tab w:val="left" w:pos="4693"/>
              </w:tabs>
              <w:rPr>
                <w:rFonts w:cstheme="minorHAnsi"/>
                <w:color w:val="000000"/>
                <w:sz w:val="20"/>
                <w:szCs w:val="20"/>
              </w:rPr>
            </w:pPr>
          </w:p>
        </w:tc>
      </w:tr>
      <w:tr w:rsidR="009443FF" w:rsidRPr="00486970" w14:paraId="2ABEE8DF" w14:textId="77777777" w:rsidTr="004D1906">
        <w:tc>
          <w:tcPr>
            <w:tcW w:w="5402" w:type="dxa"/>
            <w:vAlign w:val="center"/>
          </w:tcPr>
          <w:p w14:paraId="09CFD29D"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Artesunate</w:t>
            </w:r>
          </w:p>
        </w:tc>
        <w:tc>
          <w:tcPr>
            <w:tcW w:w="4678" w:type="dxa"/>
            <w:vMerge/>
            <w:vAlign w:val="center"/>
          </w:tcPr>
          <w:p w14:paraId="04CF961F" w14:textId="77777777" w:rsidR="009443FF" w:rsidRPr="00486970" w:rsidRDefault="009443FF" w:rsidP="009443FF">
            <w:pPr>
              <w:tabs>
                <w:tab w:val="left" w:pos="4693"/>
              </w:tabs>
              <w:rPr>
                <w:rFonts w:cstheme="minorHAnsi"/>
                <w:color w:val="000000"/>
                <w:sz w:val="20"/>
                <w:szCs w:val="20"/>
              </w:rPr>
            </w:pPr>
          </w:p>
        </w:tc>
      </w:tr>
      <w:tr w:rsidR="009443FF" w:rsidRPr="00486970" w14:paraId="00B6213F" w14:textId="77777777" w:rsidTr="004D1906">
        <w:tc>
          <w:tcPr>
            <w:tcW w:w="5402" w:type="dxa"/>
            <w:vAlign w:val="center"/>
          </w:tcPr>
          <w:p w14:paraId="78F88308" w14:textId="77777777" w:rsidR="009443FF" w:rsidRPr="00486970" w:rsidRDefault="009443FF" w:rsidP="009443FF">
            <w:pPr>
              <w:rPr>
                <w:rFonts w:cstheme="minorHAnsi"/>
                <w:color w:val="000000"/>
                <w:sz w:val="20"/>
                <w:szCs w:val="20"/>
              </w:rPr>
            </w:pPr>
            <w:r w:rsidRPr="00486970">
              <w:rPr>
                <w:rFonts w:cstheme="minorHAnsi"/>
                <w:sz w:val="20"/>
                <w:szCs w:val="20"/>
              </w:rPr>
              <w:t>Efavirenz + Emtricitabine + Tenofovir disoproxil fumarate</w:t>
            </w:r>
          </w:p>
        </w:tc>
        <w:tc>
          <w:tcPr>
            <w:tcW w:w="4678" w:type="dxa"/>
            <w:vMerge w:val="restart"/>
            <w:vAlign w:val="center"/>
          </w:tcPr>
          <w:p w14:paraId="70C7C9CE" w14:textId="77777777" w:rsidR="009443FF" w:rsidRPr="00486970" w:rsidRDefault="009443FF" w:rsidP="009443FF">
            <w:pPr>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HIV/AIDS (100)</w:t>
            </w:r>
          </w:p>
          <w:p w14:paraId="3B95E670" w14:textId="77777777" w:rsidR="009443FF" w:rsidRPr="00486970" w:rsidRDefault="009443FF" w:rsidP="009443FF">
            <w:pPr>
              <w:tabs>
                <w:tab w:val="left" w:pos="4693"/>
              </w:tabs>
              <w:rPr>
                <w:rFonts w:cstheme="minorHAnsi"/>
                <w:color w:val="000000"/>
                <w:sz w:val="20"/>
                <w:szCs w:val="20"/>
              </w:rPr>
            </w:pPr>
          </w:p>
        </w:tc>
      </w:tr>
      <w:tr w:rsidR="009443FF" w:rsidRPr="00486970" w14:paraId="621AC856" w14:textId="77777777" w:rsidTr="004D1906">
        <w:tc>
          <w:tcPr>
            <w:tcW w:w="5402" w:type="dxa"/>
            <w:vAlign w:val="center"/>
          </w:tcPr>
          <w:p w14:paraId="66261718"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 xml:space="preserve">Efavirenz + Lamivudine + Tenofovir disoproxil fumarate </w:t>
            </w:r>
          </w:p>
        </w:tc>
        <w:tc>
          <w:tcPr>
            <w:tcW w:w="4678" w:type="dxa"/>
            <w:vMerge/>
            <w:vAlign w:val="center"/>
          </w:tcPr>
          <w:p w14:paraId="5E50F02D" w14:textId="77777777" w:rsidR="009443FF" w:rsidRPr="00486970" w:rsidRDefault="009443FF" w:rsidP="009443FF">
            <w:pPr>
              <w:tabs>
                <w:tab w:val="left" w:pos="4693"/>
              </w:tabs>
              <w:rPr>
                <w:rFonts w:cstheme="minorHAnsi"/>
                <w:color w:val="000000"/>
                <w:sz w:val="20"/>
                <w:szCs w:val="20"/>
              </w:rPr>
            </w:pPr>
          </w:p>
        </w:tc>
      </w:tr>
      <w:tr w:rsidR="009443FF" w:rsidRPr="00486970" w14:paraId="734144F1" w14:textId="77777777" w:rsidTr="004D1906">
        <w:tc>
          <w:tcPr>
            <w:tcW w:w="5402" w:type="dxa"/>
            <w:vAlign w:val="center"/>
          </w:tcPr>
          <w:p w14:paraId="38846ADA" w14:textId="77777777" w:rsidR="009443FF" w:rsidRPr="00486970" w:rsidRDefault="009443FF" w:rsidP="009443FF">
            <w:pPr>
              <w:tabs>
                <w:tab w:val="right" w:pos="4451"/>
              </w:tabs>
              <w:rPr>
                <w:rFonts w:cstheme="minorHAnsi"/>
                <w:sz w:val="20"/>
                <w:szCs w:val="20"/>
              </w:rPr>
            </w:pPr>
            <w:r w:rsidRPr="00486970">
              <w:rPr>
                <w:rFonts w:cstheme="minorHAnsi"/>
                <w:sz w:val="20"/>
                <w:szCs w:val="20"/>
              </w:rPr>
              <w:t>Chlorhexidine</w:t>
            </w:r>
          </w:p>
        </w:tc>
        <w:tc>
          <w:tcPr>
            <w:tcW w:w="4678" w:type="dxa"/>
            <w:vAlign w:val="center"/>
          </w:tcPr>
          <w:p w14:paraId="4B03FE58"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Neonatal sepsis and infections (520)</w:t>
            </w:r>
          </w:p>
        </w:tc>
      </w:tr>
      <w:tr w:rsidR="009443FF" w:rsidRPr="00486970" w14:paraId="3A33F51D" w14:textId="77777777" w:rsidTr="004D1906">
        <w:tc>
          <w:tcPr>
            <w:tcW w:w="5402" w:type="dxa"/>
            <w:vAlign w:val="center"/>
          </w:tcPr>
          <w:p w14:paraId="29FEBCA0" w14:textId="77777777" w:rsidR="009443FF" w:rsidRPr="00486970" w:rsidRDefault="009443FF" w:rsidP="009443FF">
            <w:pPr>
              <w:tabs>
                <w:tab w:val="right" w:pos="4451"/>
              </w:tabs>
              <w:rPr>
                <w:rFonts w:cstheme="minorHAnsi"/>
                <w:sz w:val="20"/>
                <w:szCs w:val="20"/>
              </w:rPr>
            </w:pPr>
            <w:r w:rsidRPr="00486970">
              <w:rPr>
                <w:rFonts w:cstheme="minorHAnsi"/>
                <w:sz w:val="20"/>
                <w:szCs w:val="20"/>
              </w:rPr>
              <w:t>Ready-to-use therapeutic food (RUTF)</w:t>
            </w:r>
          </w:p>
        </w:tc>
        <w:tc>
          <w:tcPr>
            <w:tcW w:w="4678" w:type="dxa"/>
            <w:vAlign w:val="center"/>
          </w:tcPr>
          <w:p w14:paraId="2C970F55"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Nutritional deficiencies (540)</w:t>
            </w:r>
          </w:p>
        </w:tc>
      </w:tr>
      <w:tr w:rsidR="009443FF" w:rsidRPr="00486970" w14:paraId="38770495" w14:textId="77777777" w:rsidTr="004D1906">
        <w:tc>
          <w:tcPr>
            <w:tcW w:w="5402" w:type="dxa"/>
            <w:vAlign w:val="center"/>
          </w:tcPr>
          <w:p w14:paraId="764F2D14" w14:textId="77777777" w:rsidR="009443FF" w:rsidRPr="00486970" w:rsidRDefault="009443FF" w:rsidP="009443FF">
            <w:pPr>
              <w:tabs>
                <w:tab w:val="right" w:pos="4451"/>
              </w:tabs>
              <w:rPr>
                <w:rFonts w:cstheme="minorHAnsi"/>
                <w:sz w:val="20"/>
                <w:szCs w:val="20"/>
              </w:rPr>
            </w:pPr>
            <w:r w:rsidRPr="00486970">
              <w:rPr>
                <w:rFonts w:cstheme="minorHAnsi"/>
                <w:sz w:val="20"/>
                <w:szCs w:val="20"/>
              </w:rPr>
              <w:t>Isoniazid + pyrazinamide + rifampicin</w:t>
            </w:r>
          </w:p>
        </w:tc>
        <w:tc>
          <w:tcPr>
            <w:tcW w:w="4678" w:type="dxa"/>
            <w:vAlign w:val="center"/>
          </w:tcPr>
          <w:p w14:paraId="5681466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Tuberculosis (30)</w:t>
            </w:r>
          </w:p>
        </w:tc>
      </w:tr>
      <w:tr w:rsidR="009443FF" w:rsidRPr="00486970" w14:paraId="1EB3B126" w14:textId="77777777" w:rsidTr="004D1906">
        <w:tc>
          <w:tcPr>
            <w:tcW w:w="5402" w:type="dxa"/>
            <w:vAlign w:val="center"/>
          </w:tcPr>
          <w:p w14:paraId="48F7AB2F" w14:textId="77777777" w:rsidR="009443FF" w:rsidRPr="00486970" w:rsidRDefault="009443FF" w:rsidP="009443FF">
            <w:pPr>
              <w:tabs>
                <w:tab w:val="right" w:pos="4451"/>
              </w:tabs>
              <w:rPr>
                <w:rFonts w:cstheme="minorHAnsi"/>
                <w:sz w:val="20"/>
                <w:szCs w:val="20"/>
              </w:rPr>
            </w:pPr>
            <w:r w:rsidRPr="00486970">
              <w:rPr>
                <w:rFonts w:cstheme="minorHAnsi"/>
                <w:sz w:val="20"/>
                <w:szCs w:val="20"/>
              </w:rPr>
              <w:t>Erythropoiesis - stimulating agents</w:t>
            </w:r>
          </w:p>
        </w:tc>
        <w:tc>
          <w:tcPr>
            <w:tcW w:w="4678" w:type="dxa"/>
            <w:vAlign w:val="center"/>
          </w:tcPr>
          <w:p w14:paraId="606F08DB"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Other chronic kidney disease (1273)</w:t>
            </w:r>
          </w:p>
        </w:tc>
      </w:tr>
      <w:tr w:rsidR="009443FF" w:rsidRPr="00486970" w14:paraId="7EF1CC8D" w14:textId="77777777" w:rsidTr="004D1906">
        <w:tc>
          <w:tcPr>
            <w:tcW w:w="10080" w:type="dxa"/>
            <w:gridSpan w:val="2"/>
            <w:vAlign w:val="center"/>
          </w:tcPr>
          <w:p w14:paraId="6E9FAE62" w14:textId="77777777" w:rsidR="009443FF" w:rsidRPr="00486970" w:rsidRDefault="009443FF" w:rsidP="009443FF">
            <w:pPr>
              <w:tabs>
                <w:tab w:val="left" w:pos="4693"/>
              </w:tabs>
              <w:jc w:val="center"/>
              <w:rPr>
                <w:rFonts w:cstheme="minorHAnsi"/>
                <w:color w:val="000000"/>
                <w:sz w:val="20"/>
                <w:szCs w:val="20"/>
              </w:rPr>
            </w:pPr>
            <w:r w:rsidRPr="00486970">
              <w:rPr>
                <w:rFonts w:cstheme="minorHAnsi"/>
                <w:bCs/>
                <w:color w:val="C00000"/>
                <w:sz w:val="20"/>
                <w:szCs w:val="20"/>
              </w:rPr>
              <w:t>Suggested for monitoring (optional)</w:t>
            </w:r>
          </w:p>
        </w:tc>
      </w:tr>
      <w:tr w:rsidR="009443FF" w:rsidRPr="00486970" w14:paraId="6253C7F1" w14:textId="77777777" w:rsidTr="004D1906">
        <w:tc>
          <w:tcPr>
            <w:tcW w:w="5402" w:type="dxa"/>
            <w:vAlign w:val="center"/>
          </w:tcPr>
          <w:p w14:paraId="1D412D3E" w14:textId="77777777" w:rsidR="009443FF" w:rsidRPr="00486970" w:rsidRDefault="009443FF" w:rsidP="009443FF">
            <w:pPr>
              <w:rPr>
                <w:rFonts w:cstheme="minorHAnsi"/>
                <w:color w:val="000000"/>
                <w:sz w:val="20"/>
                <w:szCs w:val="20"/>
              </w:rPr>
            </w:pPr>
            <w:r w:rsidRPr="00486970">
              <w:rPr>
                <w:rFonts w:cstheme="minorHAnsi"/>
                <w:sz w:val="20"/>
                <w:szCs w:val="20"/>
              </w:rPr>
              <w:t xml:space="preserve">Epinephrine or Dexamethasone  </w:t>
            </w:r>
          </w:p>
        </w:tc>
        <w:tc>
          <w:tcPr>
            <w:tcW w:w="4678" w:type="dxa"/>
            <w:vMerge w:val="restart"/>
            <w:vAlign w:val="center"/>
          </w:tcPr>
          <w:p w14:paraId="68716C47"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0.5*(</w:t>
            </w:r>
            <w:r w:rsidRPr="00486970">
              <w:rPr>
                <w:rFonts w:cstheme="minorHAnsi"/>
                <w:sz w:val="20"/>
                <w:szCs w:val="20"/>
              </w:rPr>
              <w:t>1/T)</w:t>
            </w:r>
          </w:p>
        </w:tc>
      </w:tr>
      <w:tr w:rsidR="009443FF" w:rsidRPr="00486970" w14:paraId="394C427E" w14:textId="77777777" w:rsidTr="004D1906">
        <w:tc>
          <w:tcPr>
            <w:tcW w:w="5402" w:type="dxa"/>
            <w:vAlign w:val="center"/>
          </w:tcPr>
          <w:p w14:paraId="432A54D3" w14:textId="77777777" w:rsidR="009443FF" w:rsidRPr="00486970" w:rsidRDefault="009443FF" w:rsidP="009443FF">
            <w:pPr>
              <w:rPr>
                <w:rFonts w:cstheme="minorHAnsi"/>
                <w:color w:val="000000"/>
                <w:sz w:val="20"/>
                <w:szCs w:val="20"/>
              </w:rPr>
            </w:pPr>
            <w:r w:rsidRPr="00486970">
              <w:rPr>
                <w:rFonts w:cstheme="minorHAnsi"/>
                <w:sz w:val="20"/>
                <w:szCs w:val="20"/>
              </w:rPr>
              <w:t xml:space="preserve">Fluconazole </w:t>
            </w:r>
          </w:p>
        </w:tc>
        <w:tc>
          <w:tcPr>
            <w:tcW w:w="4678" w:type="dxa"/>
            <w:vMerge/>
            <w:vAlign w:val="center"/>
          </w:tcPr>
          <w:p w14:paraId="4A04E82F" w14:textId="77777777" w:rsidR="009443FF" w:rsidRPr="00486970" w:rsidRDefault="009443FF" w:rsidP="009443FF">
            <w:pPr>
              <w:tabs>
                <w:tab w:val="left" w:pos="4693"/>
              </w:tabs>
              <w:rPr>
                <w:rFonts w:cstheme="minorHAnsi"/>
                <w:b/>
                <w:bCs/>
                <w:color w:val="000000"/>
                <w:sz w:val="20"/>
                <w:szCs w:val="20"/>
              </w:rPr>
            </w:pPr>
          </w:p>
        </w:tc>
      </w:tr>
      <w:tr w:rsidR="009443FF" w:rsidRPr="00486970" w14:paraId="2A792692" w14:textId="77777777" w:rsidTr="004D1906">
        <w:tc>
          <w:tcPr>
            <w:tcW w:w="5402" w:type="dxa"/>
            <w:vAlign w:val="center"/>
          </w:tcPr>
          <w:p w14:paraId="3D9FB96F"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Nystatin</w:t>
            </w:r>
          </w:p>
        </w:tc>
        <w:tc>
          <w:tcPr>
            <w:tcW w:w="4678" w:type="dxa"/>
            <w:vMerge/>
            <w:vAlign w:val="center"/>
          </w:tcPr>
          <w:p w14:paraId="3399B31D" w14:textId="77777777" w:rsidR="009443FF" w:rsidRPr="00486970" w:rsidRDefault="009443FF" w:rsidP="009443FF">
            <w:pPr>
              <w:tabs>
                <w:tab w:val="left" w:pos="4693"/>
              </w:tabs>
              <w:rPr>
                <w:rFonts w:cstheme="minorHAnsi"/>
                <w:b/>
                <w:bCs/>
                <w:color w:val="000000"/>
                <w:sz w:val="20"/>
                <w:szCs w:val="20"/>
              </w:rPr>
            </w:pPr>
          </w:p>
        </w:tc>
      </w:tr>
      <w:tr w:rsidR="009443FF" w:rsidRPr="00486970" w14:paraId="6DABB794" w14:textId="77777777" w:rsidTr="004D1906">
        <w:tc>
          <w:tcPr>
            <w:tcW w:w="5402" w:type="dxa"/>
            <w:vAlign w:val="center"/>
          </w:tcPr>
          <w:p w14:paraId="04C96A03"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Levothyroxine</w:t>
            </w:r>
          </w:p>
        </w:tc>
        <w:tc>
          <w:tcPr>
            <w:tcW w:w="4678" w:type="dxa"/>
            <w:vMerge/>
            <w:vAlign w:val="center"/>
          </w:tcPr>
          <w:p w14:paraId="3DF4A6B1" w14:textId="77777777" w:rsidR="009443FF" w:rsidRPr="00486970" w:rsidRDefault="009443FF" w:rsidP="009443FF">
            <w:pPr>
              <w:tabs>
                <w:tab w:val="left" w:pos="4693"/>
              </w:tabs>
              <w:rPr>
                <w:rFonts w:cstheme="minorHAnsi"/>
                <w:b/>
                <w:bCs/>
                <w:color w:val="000000"/>
                <w:sz w:val="20"/>
                <w:szCs w:val="20"/>
              </w:rPr>
            </w:pPr>
          </w:p>
        </w:tc>
      </w:tr>
    </w:tbl>
    <w:p w14:paraId="6FAE9C74" w14:textId="77777777" w:rsidR="009443FF" w:rsidRPr="00486970" w:rsidRDefault="009443FF" w:rsidP="009443FF">
      <w:pPr>
        <w:pBdr>
          <w:top w:val="nil"/>
          <w:left w:val="nil"/>
          <w:bottom w:val="nil"/>
          <w:right w:val="nil"/>
          <w:between w:val="nil"/>
        </w:pBdr>
        <w:spacing w:after="160" w:line="259" w:lineRule="auto"/>
        <w:jc w:val="both"/>
        <w:rPr>
          <w:rFonts w:eastAsia="Cambria Math" w:cstheme="minorHAnsi"/>
          <w:color w:val="000000"/>
        </w:rPr>
      </w:pPr>
    </w:p>
    <w:p w14:paraId="7EA759D1" w14:textId="77777777" w:rsidR="009443FF" w:rsidRPr="00486970" w:rsidRDefault="009443FF" w:rsidP="009443FF">
      <w:pPr>
        <w:rPr>
          <w:rFonts w:cstheme="minorHAnsi"/>
        </w:rPr>
      </w:pPr>
    </w:p>
    <w:p w14:paraId="752DA6E6" w14:textId="77777777" w:rsidR="009443FF" w:rsidRPr="00486970" w:rsidRDefault="009443FF" w:rsidP="009443FF">
      <w:pPr>
        <w:rPr>
          <w:rFonts w:cstheme="minorHAnsi"/>
        </w:rPr>
        <w:sectPr w:rsidR="009443FF" w:rsidRPr="00486970" w:rsidSect="00D942BA">
          <w:headerReference w:type="default" r:id="rId66"/>
          <w:pgSz w:w="11906" w:h="16838"/>
          <w:pgMar w:top="1170" w:right="1440" w:bottom="1440" w:left="1440" w:header="720" w:footer="720" w:gutter="0"/>
          <w:cols w:space="720"/>
          <w:docGrid w:linePitch="360"/>
        </w:sectPr>
      </w:pPr>
    </w:p>
    <w:p w14:paraId="7368CF0C" w14:textId="77777777" w:rsidR="009443FF" w:rsidRPr="00486970" w:rsidRDefault="009443FF" w:rsidP="009443FF">
      <w:pPr>
        <w:pBdr>
          <w:bottom w:val="single" w:sz="12" w:space="4" w:color="DDDDDD"/>
        </w:pBdr>
        <w:shd w:val="clear" w:color="auto" w:fill="FFFFFF" w:themeFill="background1"/>
        <w:spacing w:after="0"/>
        <w:jc w:val="center"/>
        <w:outlineLvl w:val="2"/>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2. Calculation of weights</w:t>
      </w:r>
    </w:p>
    <w:p w14:paraId="16DBE531"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Weights are region-specific, and the sum of the weights assigned to medicines in the basket is always equal to “1” in a given region. Since some of the medicines are weighted not according to the DALYs but according to the formula in points iii. and iv. above, the weights have to be normalized so that their sum is equal to “1”.</w:t>
      </w:r>
    </w:p>
    <w:p w14:paraId="0CF43696"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 xml:space="preserve">WHO regional data on disease burden is computed and published for 5-year intervals (e.g. 2000, 2005, 2010 and 2015 for now). As a result, </w:t>
      </w:r>
      <w:r w:rsidRPr="00486970">
        <w:rPr>
          <w:rFonts w:cstheme="minorHAnsi"/>
        </w:rPr>
        <w:t>for data points falling between the reference years for which DALY estimates are available the closest reference year is used to calculate medicines’ weights</w:t>
      </w:r>
      <w:r w:rsidRPr="00486970">
        <w:rPr>
          <w:rFonts w:eastAsia="Cambria Math" w:cstheme="minorHAnsi"/>
          <w:color w:val="000000"/>
        </w:rPr>
        <w:t xml:space="preserve"> (either previous or following) (</w:t>
      </w:r>
      <w:r w:rsidRPr="00486970">
        <w:rPr>
          <w:rFonts w:eastAsia="Cambria Math" w:cstheme="minorHAnsi"/>
          <w:i/>
          <w:iCs/>
          <w:color w:val="000000"/>
        </w:rPr>
        <w:t>Figure 1</w:t>
      </w:r>
      <w:r w:rsidRPr="00486970">
        <w:rPr>
          <w:rFonts w:eastAsia="Cambria Math" w:cstheme="minorHAnsi"/>
          <w:color w:val="000000"/>
        </w:rPr>
        <w:t xml:space="preserve">). </w:t>
      </w:r>
    </w:p>
    <w:p w14:paraId="0FDECB4C" w14:textId="77777777" w:rsidR="009443FF" w:rsidRPr="00486970" w:rsidRDefault="009443FF" w:rsidP="009443FF">
      <w:pPr>
        <w:pBdr>
          <w:top w:val="nil"/>
          <w:left w:val="nil"/>
          <w:bottom w:val="nil"/>
          <w:right w:val="nil"/>
          <w:between w:val="nil"/>
        </w:pBdr>
        <w:spacing w:after="120" w:line="240" w:lineRule="auto"/>
        <w:jc w:val="center"/>
        <w:rPr>
          <w:rFonts w:eastAsia="Cambria Math" w:cstheme="minorHAnsi"/>
          <w:noProof/>
          <w:color w:val="000000"/>
          <w:lang w:val="en-US"/>
        </w:rPr>
      </w:pPr>
      <w:r w:rsidRPr="00486970">
        <w:rPr>
          <w:rFonts w:eastAsia="Cambria Math" w:cstheme="minorHAnsi"/>
          <w:color w:val="000000"/>
        </w:rPr>
        <w:t>Figure 2.1. Selection of data year for computing medicine weights</w:t>
      </w:r>
    </w:p>
    <w:p w14:paraId="6DE71193" w14:textId="712A3F2C" w:rsidR="009443FF" w:rsidRPr="00486970" w:rsidRDefault="00AB21FA" w:rsidP="00AB21FA">
      <w:pPr>
        <w:pBdr>
          <w:top w:val="nil"/>
          <w:left w:val="nil"/>
          <w:bottom w:val="nil"/>
          <w:right w:val="nil"/>
          <w:between w:val="nil"/>
        </w:pBdr>
        <w:spacing w:after="120" w:line="240" w:lineRule="auto"/>
        <w:jc w:val="center"/>
        <w:rPr>
          <w:rFonts w:eastAsia="Cambria Math" w:cstheme="minorHAnsi"/>
          <w:b/>
          <w:bCs/>
          <w:color w:val="000000"/>
        </w:rPr>
      </w:pPr>
      <w:r>
        <w:rPr>
          <w:noProof/>
        </w:rPr>
        <w:drawing>
          <wp:inline distT="0" distB="0" distL="0" distR="0" wp14:anchorId="7CC66142" wp14:editId="618E1EEE">
            <wp:extent cx="5400675" cy="1819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400675" cy="1819275"/>
                    </a:xfrm>
                    <a:prstGeom prst="rect">
                      <a:avLst/>
                    </a:prstGeom>
                  </pic:spPr>
                </pic:pic>
              </a:graphicData>
            </a:graphic>
          </wp:inline>
        </w:drawing>
      </w:r>
    </w:p>
    <w:p w14:paraId="549A259E"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Two versions of weights are computed: one capturing 32 medicines (excluding optional medicines) and the other capturing 36 medicines (including optional medicines</w:t>
      </w:r>
      <w:r w:rsidRPr="00486970">
        <w:rPr>
          <w:rFonts w:eastAsia="Cambria Math" w:cstheme="minorHAnsi"/>
          <w:bCs/>
          <w:color w:val="000000"/>
        </w:rPr>
        <w:t>)</w:t>
      </w:r>
      <w:r w:rsidRPr="00486970">
        <w:rPr>
          <w:rFonts w:eastAsia="Cambria Math" w:cstheme="minorHAnsi"/>
          <w:color w:val="000000"/>
        </w:rPr>
        <w:t>. For countries where the distribution of specific medicines is calculated only in specialized facilities (for example injectable medicines are provided only in hospitals), WHO suggests computing two versions of weights (1 – for pharmacies and other non-tertiary health care facilities based on a shorter list of medicines that exclude the mentioned medicines and 2 – for hospitals that includes the full list of medicines).</w:t>
      </w:r>
    </w:p>
    <w:p w14:paraId="35643D5A"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4D97EC68"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48E9A6B"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14B0B3C"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216D6CDA"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6129DED"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6FEFAEC5" w14:textId="61E99605" w:rsidR="00AB21FA" w:rsidRPr="00486970" w:rsidRDefault="00AB21FA"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r>
        <w:rPr>
          <w:noProof/>
        </w:rPr>
        <w:drawing>
          <wp:inline distT="0" distB="0" distL="0" distR="0" wp14:anchorId="592D18B4" wp14:editId="69DD59D0">
            <wp:extent cx="8863330" cy="5208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8863330" cy="5208905"/>
                    </a:xfrm>
                    <a:prstGeom prst="rect">
                      <a:avLst/>
                    </a:prstGeom>
                  </pic:spPr>
                </pic:pic>
              </a:graphicData>
            </a:graphic>
          </wp:inline>
        </w:drawing>
      </w:r>
    </w:p>
    <w:p w14:paraId="7F0E4827" w14:textId="75D8F63F" w:rsidR="009443FF" w:rsidRPr="00486970" w:rsidRDefault="009443FF" w:rsidP="00D942BA">
      <w:pPr>
        <w:tabs>
          <w:tab w:val="left" w:pos="1125"/>
        </w:tabs>
        <w:rPr>
          <w:rFonts w:cstheme="minorHAnsi"/>
        </w:rPr>
      </w:pPr>
    </w:p>
    <w:p w14:paraId="6911E15B" w14:textId="1C392C54" w:rsidR="00AB21FA" w:rsidRDefault="00AB21FA" w:rsidP="009443FF">
      <w:pPr>
        <w:pBdr>
          <w:bottom w:val="single" w:sz="12" w:space="5" w:color="DDDDDD"/>
        </w:pBdr>
        <w:shd w:val="clear" w:color="auto" w:fill="FFFFFF" w:themeFill="background1"/>
        <w:spacing w:after="0"/>
        <w:jc w:val="center"/>
        <w:outlineLvl w:val="2"/>
        <w:rPr>
          <w:rFonts w:cstheme="minorHAnsi"/>
          <w:noProof/>
          <w:lang w:val="en-US"/>
        </w:rPr>
      </w:pPr>
      <w:r>
        <w:rPr>
          <w:noProof/>
        </w:rPr>
        <w:lastRenderedPageBreak/>
        <w:drawing>
          <wp:inline distT="0" distB="0" distL="0" distR="0" wp14:anchorId="73581318" wp14:editId="192FD2D4">
            <wp:extent cx="8863330" cy="4846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8863330" cy="4846320"/>
                    </a:xfrm>
                    <a:prstGeom prst="rect">
                      <a:avLst/>
                    </a:prstGeom>
                  </pic:spPr>
                </pic:pic>
              </a:graphicData>
            </a:graphic>
          </wp:inline>
        </w:drawing>
      </w:r>
    </w:p>
    <w:p w14:paraId="614D7135" w14:textId="77777777" w:rsidR="00AB21FA" w:rsidRDefault="00AB21FA" w:rsidP="009443FF">
      <w:pPr>
        <w:pBdr>
          <w:bottom w:val="single" w:sz="12" w:space="5" w:color="DDDDDD"/>
        </w:pBdr>
        <w:shd w:val="clear" w:color="auto" w:fill="FFFFFF" w:themeFill="background1"/>
        <w:spacing w:after="0"/>
        <w:jc w:val="center"/>
        <w:outlineLvl w:val="2"/>
        <w:rPr>
          <w:rFonts w:cstheme="minorHAnsi"/>
          <w:noProof/>
          <w:lang w:val="en-US"/>
        </w:rPr>
      </w:pPr>
    </w:p>
    <w:p w14:paraId="61F2FB93" w14:textId="2CA7B499" w:rsidR="009443FF" w:rsidRPr="00486970" w:rsidRDefault="009443FF" w:rsidP="009443FF">
      <w:pPr>
        <w:pBdr>
          <w:bottom w:val="single" w:sz="12" w:space="5" w:color="DDDDDD"/>
        </w:pBdr>
        <w:shd w:val="clear" w:color="auto" w:fill="FFFFFF" w:themeFill="background1"/>
        <w:spacing w:after="0"/>
        <w:jc w:val="center"/>
        <w:outlineLvl w:val="2"/>
        <w:rPr>
          <w:rFonts w:cstheme="minorHAnsi"/>
        </w:rPr>
        <w:sectPr w:rsidR="009443FF" w:rsidRPr="00486970" w:rsidSect="004D1906">
          <w:pgSz w:w="16838" w:h="11906" w:orient="landscape"/>
          <w:pgMar w:top="1440" w:right="1440" w:bottom="1440" w:left="1440" w:header="720" w:footer="720" w:gutter="0"/>
          <w:cols w:space="720"/>
          <w:docGrid w:linePitch="360"/>
        </w:sectPr>
      </w:pPr>
      <w:r w:rsidRPr="00486970">
        <w:rPr>
          <w:rFonts w:cstheme="minorHAnsi"/>
          <w:sz w:val="16"/>
          <w:szCs w:val="16"/>
        </w:rPr>
        <w:t>.</w:t>
      </w:r>
    </w:p>
    <w:p w14:paraId="41AA1689" w14:textId="77777777" w:rsidR="009443FF" w:rsidRPr="00486970" w:rsidRDefault="009443FF" w:rsidP="009443FF">
      <w:pPr>
        <w:spacing w:after="0" w:line="240" w:lineRule="auto"/>
        <w:jc w:val="center"/>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3: Basket of core set of relevant essential medicines for primary health care: number of units and duration per treatment</w:t>
      </w:r>
    </w:p>
    <w:tbl>
      <w:tblPr>
        <w:tblW w:w="10005" w:type="dxa"/>
        <w:tblInd w:w="93" w:type="dxa"/>
        <w:tblLook w:val="04A0" w:firstRow="1" w:lastRow="0" w:firstColumn="1" w:lastColumn="0" w:noHBand="0" w:noVBand="1"/>
      </w:tblPr>
      <w:tblGrid>
        <w:gridCol w:w="3417"/>
        <w:gridCol w:w="3402"/>
        <w:gridCol w:w="1418"/>
        <w:gridCol w:w="1768"/>
      </w:tblGrid>
      <w:tr w:rsidR="009443FF" w:rsidRPr="00486970" w14:paraId="156C7A8C" w14:textId="77777777" w:rsidTr="004D1906">
        <w:trPr>
          <w:trHeight w:val="315"/>
        </w:trPr>
        <w:tc>
          <w:tcPr>
            <w:tcW w:w="3417" w:type="dxa"/>
            <w:tcBorders>
              <w:top w:val="single" w:sz="8" w:space="0" w:color="808080"/>
              <w:left w:val="single" w:sz="8" w:space="0" w:color="808080"/>
              <w:bottom w:val="single" w:sz="8" w:space="0" w:color="808080"/>
              <w:right w:val="single" w:sz="4" w:space="0" w:color="808080"/>
            </w:tcBorders>
            <w:shd w:val="clear" w:color="auto" w:fill="auto"/>
            <w:noWrap/>
            <w:vAlign w:val="bottom"/>
            <w:hideMark/>
          </w:tcPr>
          <w:p w14:paraId="352F6155"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Medicine</w:t>
            </w:r>
          </w:p>
        </w:tc>
        <w:tc>
          <w:tcPr>
            <w:tcW w:w="3402" w:type="dxa"/>
            <w:tcBorders>
              <w:top w:val="single" w:sz="8" w:space="0" w:color="808080"/>
              <w:left w:val="nil"/>
              <w:bottom w:val="single" w:sz="8" w:space="0" w:color="808080"/>
              <w:right w:val="single" w:sz="4" w:space="0" w:color="808080"/>
            </w:tcBorders>
            <w:shd w:val="clear" w:color="auto" w:fill="auto"/>
            <w:noWrap/>
            <w:vAlign w:val="bottom"/>
            <w:hideMark/>
          </w:tcPr>
          <w:p w14:paraId="75B5D25E"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Dose</w:t>
            </w:r>
          </w:p>
        </w:tc>
        <w:tc>
          <w:tcPr>
            <w:tcW w:w="1418" w:type="dxa"/>
            <w:tcBorders>
              <w:top w:val="single" w:sz="8" w:space="0" w:color="808080"/>
              <w:left w:val="nil"/>
              <w:bottom w:val="single" w:sz="8" w:space="0" w:color="808080"/>
              <w:right w:val="single" w:sz="4" w:space="0" w:color="808080"/>
            </w:tcBorders>
            <w:shd w:val="clear" w:color="auto" w:fill="auto"/>
            <w:noWrap/>
            <w:vAlign w:val="bottom"/>
            <w:hideMark/>
          </w:tcPr>
          <w:p w14:paraId="5B544DD8"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Duration</w:t>
            </w:r>
          </w:p>
        </w:tc>
        <w:tc>
          <w:tcPr>
            <w:tcW w:w="1768" w:type="dxa"/>
            <w:tcBorders>
              <w:top w:val="single" w:sz="8" w:space="0" w:color="808080"/>
              <w:left w:val="nil"/>
              <w:bottom w:val="single" w:sz="8" w:space="0" w:color="808080"/>
              <w:right w:val="single" w:sz="8" w:space="0" w:color="808080"/>
            </w:tcBorders>
            <w:shd w:val="clear" w:color="auto" w:fill="auto"/>
            <w:noWrap/>
            <w:vAlign w:val="bottom"/>
            <w:hideMark/>
          </w:tcPr>
          <w:p w14:paraId="4C3B2E4F"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Units</w:t>
            </w:r>
          </w:p>
        </w:tc>
      </w:tr>
      <w:tr w:rsidR="009443FF" w:rsidRPr="00486970" w14:paraId="0C7802C9" w14:textId="77777777" w:rsidTr="004D1906">
        <w:trPr>
          <w:trHeight w:val="173"/>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DA60B4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Salbutamol </w:t>
            </w:r>
          </w:p>
        </w:tc>
        <w:tc>
          <w:tcPr>
            <w:tcW w:w="3402" w:type="dxa"/>
            <w:tcBorders>
              <w:top w:val="nil"/>
              <w:left w:val="nil"/>
              <w:bottom w:val="single" w:sz="4" w:space="0" w:color="808080"/>
              <w:right w:val="single" w:sz="4" w:space="0" w:color="808080"/>
            </w:tcBorders>
            <w:shd w:val="clear" w:color="auto" w:fill="auto"/>
            <w:noWrap/>
            <w:vAlign w:val="bottom"/>
            <w:hideMark/>
          </w:tcPr>
          <w:p w14:paraId="660B620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mcg/dose inhaler</w:t>
            </w:r>
          </w:p>
        </w:tc>
        <w:tc>
          <w:tcPr>
            <w:tcW w:w="1418" w:type="dxa"/>
            <w:tcBorders>
              <w:top w:val="nil"/>
              <w:left w:val="nil"/>
              <w:bottom w:val="single" w:sz="4" w:space="0" w:color="808080"/>
              <w:right w:val="single" w:sz="4" w:space="0" w:color="808080"/>
            </w:tcBorders>
            <w:shd w:val="clear" w:color="auto" w:fill="auto"/>
            <w:noWrap/>
            <w:vAlign w:val="bottom"/>
            <w:hideMark/>
          </w:tcPr>
          <w:p w14:paraId="5DBCB26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B162AE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643295F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30F94F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Beclometasone </w:t>
            </w:r>
          </w:p>
        </w:tc>
        <w:tc>
          <w:tcPr>
            <w:tcW w:w="3402" w:type="dxa"/>
            <w:tcBorders>
              <w:top w:val="nil"/>
              <w:left w:val="nil"/>
              <w:bottom w:val="single" w:sz="4" w:space="0" w:color="808080"/>
              <w:right w:val="single" w:sz="4" w:space="0" w:color="808080"/>
            </w:tcBorders>
            <w:shd w:val="clear" w:color="auto" w:fill="auto"/>
            <w:noWrap/>
            <w:vAlign w:val="bottom"/>
            <w:hideMark/>
          </w:tcPr>
          <w:p w14:paraId="37D2873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mcg/dose inhaler</w:t>
            </w:r>
          </w:p>
        </w:tc>
        <w:tc>
          <w:tcPr>
            <w:tcW w:w="1418" w:type="dxa"/>
            <w:tcBorders>
              <w:top w:val="nil"/>
              <w:left w:val="nil"/>
              <w:bottom w:val="single" w:sz="4" w:space="0" w:color="808080"/>
              <w:right w:val="single" w:sz="4" w:space="0" w:color="808080"/>
            </w:tcBorders>
            <w:shd w:val="clear" w:color="auto" w:fill="auto"/>
            <w:noWrap/>
            <w:vAlign w:val="bottom"/>
            <w:hideMark/>
          </w:tcPr>
          <w:p w14:paraId="22995D5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09D78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6D8C1CB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3B0234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Gliclazide </w:t>
            </w:r>
          </w:p>
        </w:tc>
        <w:tc>
          <w:tcPr>
            <w:tcW w:w="3402" w:type="dxa"/>
            <w:tcBorders>
              <w:top w:val="nil"/>
              <w:left w:val="nil"/>
              <w:bottom w:val="single" w:sz="4" w:space="0" w:color="808080"/>
              <w:right w:val="single" w:sz="4" w:space="0" w:color="808080"/>
            </w:tcBorders>
            <w:shd w:val="clear" w:color="auto" w:fill="auto"/>
            <w:noWrap/>
            <w:vAlign w:val="bottom"/>
            <w:hideMark/>
          </w:tcPr>
          <w:p w14:paraId="1746795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80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5A9E5E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61E6C7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7CAFB2EA"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335EA5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Metformin </w:t>
            </w:r>
          </w:p>
        </w:tc>
        <w:tc>
          <w:tcPr>
            <w:tcW w:w="3402" w:type="dxa"/>
            <w:tcBorders>
              <w:top w:val="nil"/>
              <w:left w:val="nil"/>
              <w:bottom w:val="single" w:sz="4" w:space="0" w:color="808080"/>
              <w:right w:val="single" w:sz="4" w:space="0" w:color="808080"/>
            </w:tcBorders>
            <w:shd w:val="clear" w:color="auto" w:fill="auto"/>
            <w:noWrap/>
            <w:vAlign w:val="bottom"/>
            <w:hideMark/>
          </w:tcPr>
          <w:p w14:paraId="366B503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500 mg cap/tab </w:t>
            </w:r>
            <w:r w:rsidRPr="00486970">
              <w:rPr>
                <w:rFonts w:cstheme="minorHAnsi"/>
                <w:b/>
                <w:bCs/>
                <w:sz w:val="20"/>
                <w:szCs w:val="20"/>
                <w:u w:val="single"/>
              </w:rPr>
              <w:t>OR</w:t>
            </w:r>
            <w:r w:rsidRPr="00486970">
              <w:rPr>
                <w:rFonts w:cstheme="minorHAnsi"/>
                <w:sz w:val="20"/>
                <w:szCs w:val="20"/>
              </w:rPr>
              <w:t xml:space="preserve"> 850 mg cap/tab  OR 1 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4DF019B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F16E72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22D6DE1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B6FA7B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Insulin regular, soluble </w:t>
            </w:r>
          </w:p>
        </w:tc>
        <w:tc>
          <w:tcPr>
            <w:tcW w:w="3402" w:type="dxa"/>
            <w:tcBorders>
              <w:top w:val="nil"/>
              <w:left w:val="nil"/>
              <w:bottom w:val="single" w:sz="4" w:space="0" w:color="808080"/>
              <w:right w:val="single" w:sz="4" w:space="0" w:color="808080"/>
            </w:tcBorders>
            <w:shd w:val="clear" w:color="auto" w:fill="auto"/>
            <w:noWrap/>
            <w:vAlign w:val="bottom"/>
            <w:hideMark/>
          </w:tcPr>
          <w:p w14:paraId="058279F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IU/ml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798EBCA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3E7E8B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5447F235"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812E1B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Amlodipine </w:t>
            </w:r>
          </w:p>
        </w:tc>
        <w:tc>
          <w:tcPr>
            <w:tcW w:w="3402" w:type="dxa"/>
            <w:tcBorders>
              <w:top w:val="nil"/>
              <w:left w:val="nil"/>
              <w:bottom w:val="single" w:sz="4" w:space="0" w:color="808080"/>
              <w:right w:val="single" w:sz="4" w:space="0" w:color="808080"/>
            </w:tcBorders>
            <w:shd w:val="clear" w:color="auto" w:fill="auto"/>
            <w:noWrap/>
            <w:vAlign w:val="bottom"/>
            <w:hideMark/>
          </w:tcPr>
          <w:p w14:paraId="7769D64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24EA03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D641A0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9034EA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723CFC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Enalapril </w:t>
            </w:r>
          </w:p>
        </w:tc>
        <w:tc>
          <w:tcPr>
            <w:tcW w:w="3402" w:type="dxa"/>
            <w:tcBorders>
              <w:top w:val="nil"/>
              <w:left w:val="nil"/>
              <w:bottom w:val="single" w:sz="4" w:space="0" w:color="808080"/>
              <w:right w:val="single" w:sz="4" w:space="0" w:color="808080"/>
            </w:tcBorders>
            <w:shd w:val="clear" w:color="auto" w:fill="auto"/>
            <w:noWrap/>
            <w:vAlign w:val="bottom"/>
            <w:hideMark/>
          </w:tcPr>
          <w:p w14:paraId="63E67D5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1C63B5C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38420D4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7C0AC48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EED46E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Hydrochlorothiazide </w:t>
            </w:r>
          </w:p>
        </w:tc>
        <w:tc>
          <w:tcPr>
            <w:tcW w:w="3402" w:type="dxa"/>
            <w:tcBorders>
              <w:top w:val="nil"/>
              <w:left w:val="nil"/>
              <w:bottom w:val="single" w:sz="4" w:space="0" w:color="808080"/>
              <w:right w:val="single" w:sz="4" w:space="0" w:color="808080"/>
            </w:tcBorders>
            <w:shd w:val="clear" w:color="auto" w:fill="auto"/>
            <w:noWrap/>
            <w:vAlign w:val="bottom"/>
            <w:hideMark/>
          </w:tcPr>
          <w:p w14:paraId="1FC66E9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1A8CE91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AD6586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A1B1B5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422701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Chlorthalidone </w:t>
            </w:r>
          </w:p>
        </w:tc>
        <w:tc>
          <w:tcPr>
            <w:tcW w:w="3402" w:type="dxa"/>
            <w:tcBorders>
              <w:top w:val="nil"/>
              <w:left w:val="nil"/>
              <w:bottom w:val="single" w:sz="4" w:space="0" w:color="808080"/>
              <w:right w:val="single" w:sz="4" w:space="0" w:color="808080"/>
            </w:tcBorders>
            <w:shd w:val="clear" w:color="auto" w:fill="auto"/>
            <w:noWrap/>
            <w:vAlign w:val="bottom"/>
            <w:hideMark/>
          </w:tcPr>
          <w:p w14:paraId="7832344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90CB4E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3783E5F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w:t>
            </w:r>
          </w:p>
        </w:tc>
      </w:tr>
      <w:tr w:rsidR="009443FF" w:rsidRPr="00486970" w14:paraId="5446239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CF498D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Bisoprolol </w:t>
            </w:r>
          </w:p>
        </w:tc>
        <w:tc>
          <w:tcPr>
            <w:tcW w:w="3402" w:type="dxa"/>
            <w:tcBorders>
              <w:top w:val="nil"/>
              <w:left w:val="nil"/>
              <w:bottom w:val="single" w:sz="4" w:space="0" w:color="808080"/>
              <w:right w:val="single" w:sz="4" w:space="0" w:color="808080"/>
            </w:tcBorders>
            <w:shd w:val="clear" w:color="auto" w:fill="auto"/>
            <w:noWrap/>
            <w:vAlign w:val="bottom"/>
            <w:hideMark/>
          </w:tcPr>
          <w:p w14:paraId="2E977D5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4AF5BC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5660A27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64FFBC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1CF7E8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Simvastatin </w:t>
            </w:r>
          </w:p>
        </w:tc>
        <w:tc>
          <w:tcPr>
            <w:tcW w:w="3402" w:type="dxa"/>
            <w:tcBorders>
              <w:top w:val="nil"/>
              <w:left w:val="nil"/>
              <w:bottom w:val="single" w:sz="4" w:space="0" w:color="808080"/>
              <w:right w:val="single" w:sz="4" w:space="0" w:color="808080"/>
            </w:tcBorders>
            <w:shd w:val="clear" w:color="auto" w:fill="auto"/>
            <w:noWrap/>
            <w:vAlign w:val="bottom"/>
            <w:hideMark/>
          </w:tcPr>
          <w:p w14:paraId="3036608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122FB0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6062F4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6E8B83E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579C97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Acetylsalicylic acid (aspirin)</w:t>
            </w:r>
          </w:p>
        </w:tc>
        <w:tc>
          <w:tcPr>
            <w:tcW w:w="3402" w:type="dxa"/>
            <w:tcBorders>
              <w:top w:val="nil"/>
              <w:left w:val="nil"/>
              <w:bottom w:val="single" w:sz="4" w:space="0" w:color="808080"/>
              <w:right w:val="single" w:sz="4" w:space="0" w:color="808080"/>
            </w:tcBorders>
            <w:shd w:val="clear" w:color="auto" w:fill="auto"/>
            <w:noWrap/>
            <w:vAlign w:val="bottom"/>
            <w:hideMark/>
          </w:tcPr>
          <w:p w14:paraId="3C33D15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2AF21BD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523EEC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1C7E765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94F552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Morphine </w:t>
            </w:r>
          </w:p>
        </w:tc>
        <w:tc>
          <w:tcPr>
            <w:tcW w:w="3402" w:type="dxa"/>
            <w:tcBorders>
              <w:top w:val="nil"/>
              <w:left w:val="nil"/>
              <w:bottom w:val="single" w:sz="4" w:space="0" w:color="808080"/>
              <w:right w:val="single" w:sz="4" w:space="0" w:color="808080"/>
            </w:tcBorders>
            <w:shd w:val="clear" w:color="auto" w:fill="auto"/>
            <w:noWrap/>
            <w:vAlign w:val="bottom"/>
            <w:hideMark/>
          </w:tcPr>
          <w:p w14:paraId="7382DAA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7E0A89D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556C2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180</w:t>
            </w:r>
          </w:p>
        </w:tc>
      </w:tr>
      <w:tr w:rsidR="009443FF" w:rsidRPr="00486970" w14:paraId="28FD76A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A8E002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Paracetamol </w:t>
            </w:r>
          </w:p>
        </w:tc>
        <w:tc>
          <w:tcPr>
            <w:tcW w:w="3402" w:type="dxa"/>
            <w:tcBorders>
              <w:top w:val="nil"/>
              <w:left w:val="nil"/>
              <w:bottom w:val="single" w:sz="4" w:space="0" w:color="808080"/>
              <w:right w:val="single" w:sz="4" w:space="0" w:color="808080"/>
            </w:tcBorders>
            <w:shd w:val="clear" w:color="auto" w:fill="auto"/>
            <w:noWrap/>
            <w:vAlign w:val="bottom"/>
            <w:hideMark/>
          </w:tcPr>
          <w:p w14:paraId="74A7D1B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500 mg tab/cap</w:t>
            </w:r>
          </w:p>
        </w:tc>
        <w:tc>
          <w:tcPr>
            <w:tcW w:w="1418" w:type="dxa"/>
            <w:tcBorders>
              <w:top w:val="nil"/>
              <w:left w:val="nil"/>
              <w:bottom w:val="single" w:sz="4" w:space="0" w:color="808080"/>
              <w:right w:val="single" w:sz="4" w:space="0" w:color="808080"/>
            </w:tcBorders>
            <w:shd w:val="clear" w:color="auto" w:fill="auto"/>
            <w:noWrap/>
            <w:vAlign w:val="bottom"/>
            <w:hideMark/>
          </w:tcPr>
          <w:p w14:paraId="65266B7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DF5C7C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180</w:t>
            </w:r>
          </w:p>
        </w:tc>
      </w:tr>
      <w:tr w:rsidR="009443FF" w:rsidRPr="00486970" w14:paraId="68007EEF"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EBCE2D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Fluoxetine </w:t>
            </w:r>
          </w:p>
        </w:tc>
        <w:tc>
          <w:tcPr>
            <w:tcW w:w="3402" w:type="dxa"/>
            <w:tcBorders>
              <w:top w:val="nil"/>
              <w:left w:val="nil"/>
              <w:bottom w:val="single" w:sz="4" w:space="0" w:color="808080"/>
              <w:right w:val="single" w:sz="4" w:space="0" w:color="808080"/>
            </w:tcBorders>
            <w:shd w:val="clear" w:color="auto" w:fill="auto"/>
            <w:noWrap/>
            <w:vAlign w:val="bottom"/>
            <w:hideMark/>
          </w:tcPr>
          <w:p w14:paraId="4F564E1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CFE538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3D6F1A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19DC1224"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61281A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Phenytoin </w:t>
            </w:r>
          </w:p>
        </w:tc>
        <w:tc>
          <w:tcPr>
            <w:tcW w:w="3402" w:type="dxa"/>
            <w:tcBorders>
              <w:top w:val="nil"/>
              <w:left w:val="nil"/>
              <w:bottom w:val="single" w:sz="4" w:space="0" w:color="808080"/>
              <w:right w:val="single" w:sz="4" w:space="0" w:color="808080"/>
            </w:tcBorders>
            <w:shd w:val="clear" w:color="auto" w:fill="auto"/>
            <w:noWrap/>
            <w:vAlign w:val="bottom"/>
            <w:hideMark/>
          </w:tcPr>
          <w:p w14:paraId="3F057E1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0C269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4D5A3CD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0FC84487"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AB0BE5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Carbamazepine </w:t>
            </w:r>
          </w:p>
        </w:tc>
        <w:tc>
          <w:tcPr>
            <w:tcW w:w="3402" w:type="dxa"/>
            <w:tcBorders>
              <w:top w:val="nil"/>
              <w:left w:val="nil"/>
              <w:bottom w:val="single" w:sz="4" w:space="0" w:color="808080"/>
              <w:right w:val="single" w:sz="4" w:space="0" w:color="808080"/>
            </w:tcBorders>
            <w:shd w:val="clear" w:color="auto" w:fill="auto"/>
            <w:noWrap/>
            <w:vAlign w:val="bottom"/>
            <w:hideMark/>
          </w:tcPr>
          <w:p w14:paraId="5983634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208479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1541939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150</w:t>
            </w:r>
          </w:p>
        </w:tc>
      </w:tr>
      <w:tr w:rsidR="009443FF" w:rsidRPr="00486970" w14:paraId="63055863"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0F9B0C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Gentamicin </w:t>
            </w:r>
          </w:p>
        </w:tc>
        <w:tc>
          <w:tcPr>
            <w:tcW w:w="3402" w:type="dxa"/>
            <w:tcBorders>
              <w:top w:val="nil"/>
              <w:left w:val="nil"/>
              <w:bottom w:val="single" w:sz="4" w:space="0" w:color="808080"/>
              <w:right w:val="single" w:sz="4" w:space="0" w:color="808080"/>
            </w:tcBorders>
            <w:shd w:val="clear" w:color="auto" w:fill="auto"/>
            <w:noWrap/>
            <w:vAlign w:val="bottom"/>
            <w:hideMark/>
          </w:tcPr>
          <w:p w14:paraId="55FEC16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mg/mL in 2mL vial</w:t>
            </w:r>
          </w:p>
        </w:tc>
        <w:tc>
          <w:tcPr>
            <w:tcW w:w="1418" w:type="dxa"/>
            <w:tcBorders>
              <w:top w:val="nil"/>
              <w:left w:val="nil"/>
              <w:bottom w:val="single" w:sz="4" w:space="0" w:color="808080"/>
              <w:right w:val="single" w:sz="4" w:space="0" w:color="808080"/>
            </w:tcBorders>
            <w:shd w:val="clear" w:color="auto" w:fill="auto"/>
            <w:noWrap/>
            <w:vAlign w:val="bottom"/>
            <w:hideMark/>
          </w:tcPr>
          <w:p w14:paraId="294EEF8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5447D6B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w:t>
            </w:r>
          </w:p>
        </w:tc>
      </w:tr>
      <w:tr w:rsidR="009443FF" w:rsidRPr="00486970" w14:paraId="4A2029B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F1CBE5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Amoxicillin for adults </w:t>
            </w:r>
          </w:p>
        </w:tc>
        <w:tc>
          <w:tcPr>
            <w:tcW w:w="3402" w:type="dxa"/>
            <w:tcBorders>
              <w:top w:val="nil"/>
              <w:left w:val="nil"/>
              <w:bottom w:val="single" w:sz="4" w:space="0" w:color="808080"/>
              <w:right w:val="single" w:sz="4" w:space="0" w:color="808080"/>
            </w:tcBorders>
            <w:shd w:val="clear" w:color="auto" w:fill="auto"/>
            <w:noWrap/>
            <w:vAlign w:val="bottom"/>
            <w:hideMark/>
          </w:tcPr>
          <w:p w14:paraId="6CBF949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CB3E4B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7</w:t>
            </w:r>
          </w:p>
        </w:tc>
        <w:tc>
          <w:tcPr>
            <w:tcW w:w="1768" w:type="dxa"/>
            <w:tcBorders>
              <w:top w:val="nil"/>
              <w:left w:val="nil"/>
              <w:bottom w:val="single" w:sz="4" w:space="0" w:color="808080"/>
              <w:right w:val="single" w:sz="8" w:space="0" w:color="808080"/>
            </w:tcBorders>
            <w:shd w:val="clear" w:color="auto" w:fill="auto"/>
            <w:noWrap/>
            <w:vAlign w:val="bottom"/>
            <w:hideMark/>
          </w:tcPr>
          <w:p w14:paraId="6C59BF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21</w:t>
            </w:r>
          </w:p>
        </w:tc>
      </w:tr>
      <w:tr w:rsidR="009443FF" w:rsidRPr="00486970" w14:paraId="3DF32E68"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EEC157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Ceftriaxone </w:t>
            </w:r>
          </w:p>
        </w:tc>
        <w:tc>
          <w:tcPr>
            <w:tcW w:w="3402" w:type="dxa"/>
            <w:tcBorders>
              <w:top w:val="nil"/>
              <w:left w:val="nil"/>
              <w:bottom w:val="single" w:sz="4" w:space="0" w:color="808080"/>
              <w:right w:val="single" w:sz="4" w:space="0" w:color="808080"/>
            </w:tcBorders>
            <w:shd w:val="clear" w:color="auto" w:fill="auto"/>
            <w:noWrap/>
            <w:vAlign w:val="bottom"/>
            <w:hideMark/>
          </w:tcPr>
          <w:p w14:paraId="52011A0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1g/vial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0F4F57A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1E3745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48A6504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482EE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Procaine benzylpenicillin </w:t>
            </w:r>
          </w:p>
        </w:tc>
        <w:tc>
          <w:tcPr>
            <w:tcW w:w="3402" w:type="dxa"/>
            <w:tcBorders>
              <w:top w:val="nil"/>
              <w:left w:val="nil"/>
              <w:bottom w:val="single" w:sz="4" w:space="0" w:color="808080"/>
              <w:right w:val="single" w:sz="4" w:space="0" w:color="808080"/>
            </w:tcBorders>
            <w:shd w:val="clear" w:color="auto" w:fill="auto"/>
            <w:noWrap/>
            <w:vAlign w:val="bottom"/>
            <w:hideMark/>
          </w:tcPr>
          <w:p w14:paraId="2D3C86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1G = 1MU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05FCC42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10</w:t>
            </w:r>
          </w:p>
        </w:tc>
        <w:tc>
          <w:tcPr>
            <w:tcW w:w="1768" w:type="dxa"/>
            <w:tcBorders>
              <w:top w:val="nil"/>
              <w:left w:val="nil"/>
              <w:bottom w:val="single" w:sz="4" w:space="0" w:color="808080"/>
              <w:right w:val="single" w:sz="8" w:space="0" w:color="808080"/>
            </w:tcBorders>
            <w:shd w:val="clear" w:color="auto" w:fill="auto"/>
            <w:noWrap/>
            <w:vAlign w:val="bottom"/>
            <w:hideMark/>
          </w:tcPr>
          <w:p w14:paraId="4CFE08D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10</w:t>
            </w:r>
          </w:p>
        </w:tc>
      </w:tr>
      <w:tr w:rsidR="009443FF" w:rsidRPr="00486970" w14:paraId="233B264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F61F59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Benzathine benzylpenicillin </w:t>
            </w:r>
          </w:p>
        </w:tc>
        <w:tc>
          <w:tcPr>
            <w:tcW w:w="3402" w:type="dxa"/>
            <w:tcBorders>
              <w:top w:val="nil"/>
              <w:left w:val="nil"/>
              <w:bottom w:val="single" w:sz="4" w:space="0" w:color="808080"/>
              <w:right w:val="single" w:sz="4" w:space="0" w:color="808080"/>
            </w:tcBorders>
            <w:shd w:val="clear" w:color="auto" w:fill="auto"/>
            <w:noWrap/>
            <w:vAlign w:val="bottom"/>
            <w:hideMark/>
          </w:tcPr>
          <w:p w14:paraId="5C17F7E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900mg=1.2 MIU </w:t>
            </w:r>
            <w:r w:rsidRPr="00486970">
              <w:rPr>
                <w:rFonts w:cstheme="minorHAnsi"/>
                <w:b/>
                <w:bCs/>
                <w:sz w:val="20"/>
                <w:szCs w:val="20"/>
                <w:u w:val="single"/>
              </w:rPr>
              <w:t>OR</w:t>
            </w:r>
            <w:r w:rsidRPr="00486970">
              <w:rPr>
                <w:rFonts w:cstheme="minorHAnsi"/>
                <w:sz w:val="20"/>
                <w:szCs w:val="20"/>
              </w:rPr>
              <w:t xml:space="preserve"> 1.44g = 2.4MIU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1E8F16E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26EE4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 or 2</w:t>
            </w:r>
          </w:p>
        </w:tc>
      </w:tr>
      <w:tr w:rsidR="009443FF" w:rsidRPr="00486970" w14:paraId="0EF9BAE9"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F37C2F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Ethinylestradiol + 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093F436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30 mcg cap/tab + 150 mcg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B0A108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c>
          <w:tcPr>
            <w:tcW w:w="1768" w:type="dxa"/>
            <w:tcBorders>
              <w:top w:val="nil"/>
              <w:left w:val="nil"/>
              <w:bottom w:val="single" w:sz="4" w:space="0" w:color="808080"/>
              <w:right w:val="single" w:sz="8" w:space="0" w:color="808080"/>
            </w:tcBorders>
            <w:shd w:val="clear" w:color="auto" w:fill="auto"/>
            <w:noWrap/>
            <w:vAlign w:val="bottom"/>
            <w:hideMark/>
          </w:tcPr>
          <w:p w14:paraId="2C27D3E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21</w:t>
            </w:r>
          </w:p>
        </w:tc>
      </w:tr>
      <w:tr w:rsidR="009443FF" w:rsidRPr="00486970" w14:paraId="36E88FA1"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D843CA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7516F15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30 mcg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C354BF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c>
          <w:tcPr>
            <w:tcW w:w="1768" w:type="dxa"/>
            <w:tcBorders>
              <w:top w:val="nil"/>
              <w:left w:val="nil"/>
              <w:bottom w:val="single" w:sz="4" w:space="0" w:color="808080"/>
              <w:right w:val="single" w:sz="8" w:space="0" w:color="808080"/>
            </w:tcBorders>
            <w:shd w:val="clear" w:color="auto" w:fill="auto"/>
            <w:noWrap/>
            <w:vAlign w:val="bottom"/>
            <w:hideMark/>
          </w:tcPr>
          <w:p w14:paraId="73AFB61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r>
      <w:tr w:rsidR="009443FF" w:rsidRPr="00486970" w14:paraId="15782DE5"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2DAEB3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Medroxyprogesterone acetate injection </w:t>
            </w:r>
          </w:p>
        </w:tc>
        <w:tc>
          <w:tcPr>
            <w:tcW w:w="3402" w:type="dxa"/>
            <w:tcBorders>
              <w:top w:val="nil"/>
              <w:left w:val="nil"/>
              <w:bottom w:val="single" w:sz="4" w:space="0" w:color="808080"/>
              <w:right w:val="single" w:sz="4" w:space="0" w:color="808080"/>
            </w:tcBorders>
            <w:shd w:val="clear" w:color="auto" w:fill="auto"/>
            <w:noWrap/>
            <w:vAlign w:val="bottom"/>
            <w:hideMark/>
          </w:tcPr>
          <w:p w14:paraId="737F04C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IM 150 mg/mL </w:t>
            </w:r>
            <w:r w:rsidRPr="00486970">
              <w:rPr>
                <w:rFonts w:cstheme="minorHAnsi"/>
                <w:b/>
                <w:bCs/>
                <w:sz w:val="20"/>
                <w:szCs w:val="20"/>
                <w:u w:val="single"/>
              </w:rPr>
              <w:t>OR</w:t>
            </w:r>
            <w:r w:rsidRPr="00486970">
              <w:rPr>
                <w:rFonts w:cstheme="minorHAnsi"/>
                <w:sz w:val="20"/>
                <w:szCs w:val="20"/>
              </w:rPr>
              <w:t xml:space="preserve"> SC 104 mg/0.65mL</w:t>
            </w:r>
          </w:p>
        </w:tc>
        <w:tc>
          <w:tcPr>
            <w:tcW w:w="1418" w:type="dxa"/>
            <w:tcBorders>
              <w:top w:val="nil"/>
              <w:left w:val="nil"/>
              <w:bottom w:val="single" w:sz="4" w:space="0" w:color="808080"/>
              <w:right w:val="single" w:sz="4" w:space="0" w:color="808080"/>
            </w:tcBorders>
            <w:shd w:val="clear" w:color="auto" w:fill="auto"/>
            <w:noWrap/>
            <w:vAlign w:val="bottom"/>
            <w:hideMark/>
          </w:tcPr>
          <w:p w14:paraId="6AE852E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84</w:t>
            </w:r>
          </w:p>
        </w:tc>
        <w:tc>
          <w:tcPr>
            <w:tcW w:w="1768" w:type="dxa"/>
            <w:tcBorders>
              <w:top w:val="nil"/>
              <w:left w:val="nil"/>
              <w:bottom w:val="single" w:sz="4" w:space="0" w:color="808080"/>
              <w:right w:val="single" w:sz="8" w:space="0" w:color="808080"/>
            </w:tcBorders>
            <w:shd w:val="clear" w:color="auto" w:fill="auto"/>
            <w:noWrap/>
            <w:vAlign w:val="bottom"/>
            <w:hideMark/>
          </w:tcPr>
          <w:p w14:paraId="6DC0B8A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239B93D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E85543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Progesterone-releasing implant: Etonogestrel OR 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1BFD0B1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Etonogestrel 68 mg OR Levonorgestrel 150 mg</w:t>
            </w:r>
          </w:p>
        </w:tc>
        <w:tc>
          <w:tcPr>
            <w:tcW w:w="1418" w:type="dxa"/>
            <w:tcBorders>
              <w:top w:val="nil"/>
              <w:left w:val="nil"/>
              <w:bottom w:val="single" w:sz="4" w:space="0" w:color="808080"/>
              <w:right w:val="single" w:sz="4" w:space="0" w:color="808080"/>
            </w:tcBorders>
            <w:shd w:val="clear" w:color="auto" w:fill="auto"/>
            <w:noWrap/>
            <w:vAlign w:val="bottom"/>
            <w:hideMark/>
          </w:tcPr>
          <w:p w14:paraId="559F38E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 or 5 years</w:t>
            </w:r>
          </w:p>
        </w:tc>
        <w:tc>
          <w:tcPr>
            <w:tcW w:w="1768" w:type="dxa"/>
            <w:tcBorders>
              <w:top w:val="nil"/>
              <w:left w:val="nil"/>
              <w:bottom w:val="single" w:sz="4" w:space="0" w:color="808080"/>
              <w:right w:val="single" w:sz="8" w:space="0" w:color="808080"/>
            </w:tcBorders>
            <w:shd w:val="clear" w:color="auto" w:fill="auto"/>
            <w:noWrap/>
            <w:vAlign w:val="bottom"/>
            <w:hideMark/>
          </w:tcPr>
          <w:p w14:paraId="58572E6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184AB50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282521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Levonorgestrel </w:t>
            </w:r>
          </w:p>
        </w:tc>
        <w:tc>
          <w:tcPr>
            <w:tcW w:w="3402" w:type="dxa"/>
            <w:tcBorders>
              <w:top w:val="nil"/>
              <w:left w:val="nil"/>
              <w:bottom w:val="single" w:sz="4" w:space="0" w:color="808080"/>
              <w:right w:val="single" w:sz="4" w:space="0" w:color="808080"/>
            </w:tcBorders>
            <w:shd w:val="clear" w:color="auto" w:fill="auto"/>
            <w:noWrap/>
            <w:vAlign w:val="bottom"/>
            <w:hideMark/>
          </w:tcPr>
          <w:p w14:paraId="7C948A7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750 mcg </w:t>
            </w:r>
            <w:r w:rsidRPr="00486970">
              <w:rPr>
                <w:rFonts w:cstheme="minorHAnsi"/>
                <w:b/>
                <w:bCs/>
                <w:sz w:val="20"/>
                <w:szCs w:val="20"/>
                <w:u w:val="single"/>
              </w:rPr>
              <w:t>OR</w:t>
            </w:r>
            <w:r w:rsidRPr="00486970">
              <w:rPr>
                <w:rFonts w:cstheme="minorHAnsi"/>
                <w:sz w:val="20"/>
                <w:szCs w:val="20"/>
              </w:rPr>
              <w:t xml:space="preserve"> 1.5 mg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6991851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EACDA9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xml:space="preserve">2 or 1 </w:t>
            </w:r>
          </w:p>
        </w:tc>
      </w:tr>
      <w:tr w:rsidR="009443FF" w:rsidRPr="00486970" w14:paraId="28A39069"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50F0BF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Oral rehydration salts</w:t>
            </w:r>
          </w:p>
        </w:tc>
        <w:tc>
          <w:tcPr>
            <w:tcW w:w="3402" w:type="dxa"/>
            <w:tcBorders>
              <w:top w:val="nil"/>
              <w:left w:val="nil"/>
              <w:bottom w:val="single" w:sz="4" w:space="0" w:color="808080"/>
              <w:right w:val="single" w:sz="4" w:space="0" w:color="808080"/>
            </w:tcBorders>
            <w:shd w:val="clear" w:color="auto" w:fill="auto"/>
            <w:noWrap/>
            <w:vAlign w:val="bottom"/>
            <w:hideMark/>
          </w:tcPr>
          <w:p w14:paraId="2D4B787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 litre</w:t>
            </w:r>
          </w:p>
        </w:tc>
        <w:tc>
          <w:tcPr>
            <w:tcW w:w="1418" w:type="dxa"/>
            <w:tcBorders>
              <w:top w:val="nil"/>
              <w:left w:val="nil"/>
              <w:bottom w:val="single" w:sz="4" w:space="0" w:color="808080"/>
              <w:right w:val="single" w:sz="4" w:space="0" w:color="808080"/>
            </w:tcBorders>
            <w:shd w:val="clear" w:color="auto" w:fill="auto"/>
            <w:noWrap/>
            <w:vAlign w:val="bottom"/>
            <w:hideMark/>
          </w:tcPr>
          <w:p w14:paraId="435A719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FC44BF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r>
      <w:tr w:rsidR="009443FF" w:rsidRPr="00486970" w14:paraId="02C584E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5E7D6D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Zinc sulphate </w:t>
            </w:r>
          </w:p>
        </w:tc>
        <w:tc>
          <w:tcPr>
            <w:tcW w:w="3402" w:type="dxa"/>
            <w:tcBorders>
              <w:top w:val="nil"/>
              <w:left w:val="nil"/>
              <w:bottom w:val="single" w:sz="4" w:space="0" w:color="808080"/>
              <w:right w:val="single" w:sz="4" w:space="0" w:color="808080"/>
            </w:tcBorders>
            <w:shd w:val="clear" w:color="auto" w:fill="auto"/>
            <w:noWrap/>
            <w:vAlign w:val="bottom"/>
            <w:hideMark/>
          </w:tcPr>
          <w:p w14:paraId="4A2A205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20mg dispersible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4D279DD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14</w:t>
            </w:r>
          </w:p>
        </w:tc>
        <w:tc>
          <w:tcPr>
            <w:tcW w:w="1768" w:type="dxa"/>
            <w:tcBorders>
              <w:top w:val="nil"/>
              <w:left w:val="nil"/>
              <w:bottom w:val="single" w:sz="4" w:space="0" w:color="808080"/>
              <w:right w:val="single" w:sz="8" w:space="0" w:color="808080"/>
            </w:tcBorders>
            <w:shd w:val="clear" w:color="auto" w:fill="auto"/>
            <w:noWrap/>
            <w:vAlign w:val="bottom"/>
            <w:hideMark/>
          </w:tcPr>
          <w:p w14:paraId="03DE509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14</w:t>
            </w:r>
          </w:p>
        </w:tc>
      </w:tr>
      <w:tr w:rsidR="009443FF" w:rsidRPr="00486970" w14:paraId="4EBFC4FE" w14:textId="77777777" w:rsidTr="004D1906">
        <w:trPr>
          <w:trHeight w:val="71"/>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E88243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Oxytocin </w:t>
            </w:r>
          </w:p>
        </w:tc>
        <w:tc>
          <w:tcPr>
            <w:tcW w:w="3402" w:type="dxa"/>
            <w:tcBorders>
              <w:top w:val="nil"/>
              <w:left w:val="nil"/>
              <w:bottom w:val="single" w:sz="4" w:space="0" w:color="808080"/>
              <w:right w:val="single" w:sz="4" w:space="0" w:color="808080"/>
            </w:tcBorders>
            <w:shd w:val="clear" w:color="auto" w:fill="auto"/>
            <w:noWrap/>
            <w:vAlign w:val="bottom"/>
            <w:hideMark/>
          </w:tcPr>
          <w:p w14:paraId="77E19EA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5iu or 10iu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2590739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31B02D1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057977F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DF5301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Magnesium sulphate </w:t>
            </w:r>
          </w:p>
        </w:tc>
        <w:tc>
          <w:tcPr>
            <w:tcW w:w="3402" w:type="dxa"/>
            <w:tcBorders>
              <w:top w:val="nil"/>
              <w:left w:val="nil"/>
              <w:bottom w:val="single" w:sz="4" w:space="0" w:color="808080"/>
              <w:right w:val="single" w:sz="4" w:space="0" w:color="808080"/>
            </w:tcBorders>
            <w:shd w:val="clear" w:color="auto" w:fill="auto"/>
            <w:noWrap/>
            <w:vAlign w:val="bottom"/>
            <w:hideMark/>
          </w:tcPr>
          <w:p w14:paraId="3242F12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10ml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4D2AE06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0EFAAD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w:t>
            </w:r>
          </w:p>
        </w:tc>
      </w:tr>
      <w:tr w:rsidR="009443FF" w:rsidRPr="00486970" w14:paraId="5A1F812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FFADB6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Folic acid</w:t>
            </w:r>
          </w:p>
        </w:tc>
        <w:tc>
          <w:tcPr>
            <w:tcW w:w="3402" w:type="dxa"/>
            <w:tcBorders>
              <w:top w:val="nil"/>
              <w:left w:val="nil"/>
              <w:bottom w:val="single" w:sz="4" w:space="0" w:color="808080"/>
              <w:right w:val="single" w:sz="4" w:space="0" w:color="808080"/>
            </w:tcBorders>
            <w:shd w:val="clear" w:color="auto" w:fill="auto"/>
            <w:noWrap/>
            <w:vAlign w:val="bottom"/>
            <w:hideMark/>
          </w:tcPr>
          <w:p w14:paraId="75BFB9A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400 mcg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5741C47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111B29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CD066F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5A998C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Artemether+lumefantrine  </w:t>
            </w:r>
          </w:p>
        </w:tc>
        <w:tc>
          <w:tcPr>
            <w:tcW w:w="3402" w:type="dxa"/>
            <w:tcBorders>
              <w:top w:val="nil"/>
              <w:left w:val="nil"/>
              <w:bottom w:val="single" w:sz="4" w:space="0" w:color="808080"/>
              <w:right w:val="single" w:sz="4" w:space="0" w:color="808080"/>
            </w:tcBorders>
            <w:shd w:val="clear" w:color="auto" w:fill="auto"/>
            <w:noWrap/>
            <w:vAlign w:val="bottom"/>
            <w:hideMark/>
          </w:tcPr>
          <w:p w14:paraId="56577A5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20/120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74FE1AB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53541C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24</w:t>
            </w:r>
          </w:p>
        </w:tc>
      </w:tr>
      <w:tr w:rsidR="009443FF" w:rsidRPr="00486970" w14:paraId="595F3C4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20AC30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Artesunate+amodiaquine  </w:t>
            </w:r>
          </w:p>
        </w:tc>
        <w:tc>
          <w:tcPr>
            <w:tcW w:w="3402" w:type="dxa"/>
            <w:tcBorders>
              <w:top w:val="nil"/>
              <w:left w:val="nil"/>
              <w:bottom w:val="single" w:sz="4" w:space="0" w:color="808080"/>
              <w:right w:val="single" w:sz="4" w:space="0" w:color="808080"/>
            </w:tcBorders>
            <w:shd w:val="clear" w:color="auto" w:fill="auto"/>
            <w:noWrap/>
            <w:vAlign w:val="bottom"/>
            <w:hideMark/>
          </w:tcPr>
          <w:p w14:paraId="31E8F7A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+ 270 mg</w:t>
            </w:r>
          </w:p>
        </w:tc>
        <w:tc>
          <w:tcPr>
            <w:tcW w:w="1418" w:type="dxa"/>
            <w:tcBorders>
              <w:top w:val="nil"/>
              <w:left w:val="nil"/>
              <w:bottom w:val="single" w:sz="4" w:space="0" w:color="808080"/>
              <w:right w:val="single" w:sz="4" w:space="0" w:color="808080"/>
            </w:tcBorders>
            <w:shd w:val="clear" w:color="auto" w:fill="auto"/>
            <w:noWrap/>
            <w:vAlign w:val="bottom"/>
            <w:hideMark/>
          </w:tcPr>
          <w:p w14:paraId="517285A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317E67C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w:t>
            </w:r>
          </w:p>
        </w:tc>
      </w:tr>
      <w:tr w:rsidR="009443FF" w:rsidRPr="00486970" w14:paraId="7098EDC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97DEC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Artesunate+mefloquine </w:t>
            </w:r>
          </w:p>
        </w:tc>
        <w:tc>
          <w:tcPr>
            <w:tcW w:w="3402" w:type="dxa"/>
            <w:tcBorders>
              <w:top w:val="nil"/>
              <w:left w:val="nil"/>
              <w:bottom w:val="single" w:sz="4" w:space="0" w:color="808080"/>
              <w:right w:val="single" w:sz="4" w:space="0" w:color="808080"/>
            </w:tcBorders>
            <w:shd w:val="clear" w:color="auto" w:fill="auto"/>
            <w:noWrap/>
            <w:vAlign w:val="bottom"/>
            <w:hideMark/>
          </w:tcPr>
          <w:p w14:paraId="1E4A95F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+ 220 mg</w:t>
            </w:r>
          </w:p>
        </w:tc>
        <w:tc>
          <w:tcPr>
            <w:tcW w:w="1418" w:type="dxa"/>
            <w:tcBorders>
              <w:top w:val="nil"/>
              <w:left w:val="nil"/>
              <w:bottom w:val="single" w:sz="4" w:space="0" w:color="808080"/>
              <w:right w:val="single" w:sz="4" w:space="0" w:color="808080"/>
            </w:tcBorders>
            <w:shd w:val="clear" w:color="auto" w:fill="auto"/>
            <w:noWrap/>
            <w:vAlign w:val="bottom"/>
            <w:hideMark/>
          </w:tcPr>
          <w:p w14:paraId="2E671EF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451C7A9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w:t>
            </w:r>
          </w:p>
        </w:tc>
      </w:tr>
      <w:tr w:rsidR="009443FF" w:rsidRPr="00486970" w14:paraId="7C4F7AD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E667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Dihydroartemisinin+piperaquine </w:t>
            </w:r>
          </w:p>
        </w:tc>
        <w:tc>
          <w:tcPr>
            <w:tcW w:w="3402" w:type="dxa"/>
            <w:tcBorders>
              <w:top w:val="nil"/>
              <w:left w:val="nil"/>
              <w:bottom w:val="single" w:sz="4" w:space="0" w:color="808080"/>
              <w:right w:val="single" w:sz="4" w:space="0" w:color="808080"/>
            </w:tcBorders>
            <w:shd w:val="clear" w:color="auto" w:fill="auto"/>
            <w:noWrap/>
            <w:vAlign w:val="bottom"/>
            <w:hideMark/>
          </w:tcPr>
          <w:p w14:paraId="63197CC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 + 320 mg</w:t>
            </w:r>
          </w:p>
        </w:tc>
        <w:tc>
          <w:tcPr>
            <w:tcW w:w="1418" w:type="dxa"/>
            <w:tcBorders>
              <w:top w:val="nil"/>
              <w:left w:val="nil"/>
              <w:bottom w:val="single" w:sz="4" w:space="0" w:color="808080"/>
              <w:right w:val="single" w:sz="4" w:space="0" w:color="808080"/>
            </w:tcBorders>
            <w:shd w:val="clear" w:color="auto" w:fill="auto"/>
            <w:noWrap/>
            <w:vAlign w:val="bottom"/>
            <w:hideMark/>
          </w:tcPr>
          <w:p w14:paraId="63D5F9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22CBB7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w:t>
            </w:r>
          </w:p>
        </w:tc>
      </w:tr>
      <w:tr w:rsidR="009443FF" w:rsidRPr="00486970" w14:paraId="31089F7C"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028798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Artesunate+sulfadoxine-pyrimethamine </w:t>
            </w:r>
          </w:p>
        </w:tc>
        <w:tc>
          <w:tcPr>
            <w:tcW w:w="3402" w:type="dxa"/>
            <w:tcBorders>
              <w:top w:val="nil"/>
              <w:left w:val="nil"/>
              <w:bottom w:val="single" w:sz="4" w:space="0" w:color="808080"/>
              <w:right w:val="single" w:sz="4" w:space="0" w:color="808080"/>
            </w:tcBorders>
            <w:shd w:val="clear" w:color="auto" w:fill="auto"/>
            <w:noWrap/>
            <w:vAlign w:val="bottom"/>
            <w:hideMark/>
          </w:tcPr>
          <w:p w14:paraId="7BCAE76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 mg + 1500mg + 75mg</w:t>
            </w:r>
          </w:p>
        </w:tc>
        <w:tc>
          <w:tcPr>
            <w:tcW w:w="1418" w:type="dxa"/>
            <w:tcBorders>
              <w:top w:val="nil"/>
              <w:left w:val="nil"/>
              <w:bottom w:val="single" w:sz="4" w:space="0" w:color="808080"/>
              <w:right w:val="single" w:sz="4" w:space="0" w:color="808080"/>
            </w:tcBorders>
            <w:shd w:val="clear" w:color="auto" w:fill="auto"/>
            <w:noWrap/>
            <w:vAlign w:val="bottom"/>
            <w:hideMark/>
          </w:tcPr>
          <w:p w14:paraId="321CB04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11A2E3C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 + 1</w:t>
            </w:r>
          </w:p>
        </w:tc>
      </w:tr>
      <w:tr w:rsidR="009443FF" w:rsidRPr="00486970" w14:paraId="15E140DE"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2DB244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 </w:t>
            </w:r>
          </w:p>
        </w:tc>
        <w:tc>
          <w:tcPr>
            <w:tcW w:w="3402" w:type="dxa"/>
            <w:tcBorders>
              <w:top w:val="nil"/>
              <w:left w:val="nil"/>
              <w:bottom w:val="single" w:sz="4" w:space="0" w:color="808080"/>
              <w:right w:val="single" w:sz="4" w:space="0" w:color="808080"/>
            </w:tcBorders>
            <w:shd w:val="clear" w:color="auto" w:fill="auto"/>
            <w:noWrap/>
            <w:vAlign w:val="bottom"/>
            <w:hideMark/>
          </w:tcPr>
          <w:p w14:paraId="1C0A7AA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60 mg injection </w:t>
            </w:r>
            <w:r w:rsidRPr="00486970">
              <w:rPr>
                <w:rFonts w:cstheme="minorHAnsi"/>
                <w:b/>
                <w:bCs/>
                <w:sz w:val="20"/>
                <w:szCs w:val="20"/>
                <w:u w:val="single"/>
              </w:rPr>
              <w:t>OR</w:t>
            </w:r>
            <w:r w:rsidRPr="00486970">
              <w:rPr>
                <w:rFonts w:cstheme="minorHAnsi"/>
                <w:sz w:val="20"/>
                <w:szCs w:val="20"/>
              </w:rPr>
              <w:t xml:space="preserve"> 100 mg rectal dose form</w:t>
            </w:r>
          </w:p>
        </w:tc>
        <w:tc>
          <w:tcPr>
            <w:tcW w:w="1418" w:type="dxa"/>
            <w:tcBorders>
              <w:top w:val="nil"/>
              <w:left w:val="nil"/>
              <w:bottom w:val="single" w:sz="4" w:space="0" w:color="808080"/>
              <w:right w:val="single" w:sz="4" w:space="0" w:color="808080"/>
            </w:tcBorders>
            <w:shd w:val="clear" w:color="auto" w:fill="auto"/>
            <w:noWrap/>
            <w:vAlign w:val="bottom"/>
            <w:hideMark/>
          </w:tcPr>
          <w:p w14:paraId="5911070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D46882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4B22F15C"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bottom"/>
            <w:hideMark/>
          </w:tcPr>
          <w:p w14:paraId="7D82474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Efavirenz + Emtricitabine + Tenofovir disoproxil fumarate</w:t>
            </w:r>
          </w:p>
        </w:tc>
        <w:tc>
          <w:tcPr>
            <w:tcW w:w="3402" w:type="dxa"/>
            <w:tcBorders>
              <w:top w:val="nil"/>
              <w:left w:val="nil"/>
              <w:bottom w:val="single" w:sz="4" w:space="0" w:color="808080"/>
              <w:right w:val="single" w:sz="4" w:space="0" w:color="808080"/>
            </w:tcBorders>
            <w:shd w:val="clear" w:color="auto" w:fill="auto"/>
            <w:noWrap/>
            <w:vAlign w:val="bottom"/>
            <w:hideMark/>
          </w:tcPr>
          <w:p w14:paraId="09F49B2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 400 mg OR 600 mg +  200 mg + 300 mg</w:t>
            </w:r>
          </w:p>
        </w:tc>
        <w:tc>
          <w:tcPr>
            <w:tcW w:w="1418" w:type="dxa"/>
            <w:tcBorders>
              <w:top w:val="nil"/>
              <w:left w:val="nil"/>
              <w:bottom w:val="single" w:sz="4" w:space="0" w:color="808080"/>
              <w:right w:val="single" w:sz="4" w:space="0" w:color="808080"/>
            </w:tcBorders>
            <w:shd w:val="clear" w:color="auto" w:fill="auto"/>
            <w:noWrap/>
            <w:vAlign w:val="bottom"/>
            <w:hideMark/>
          </w:tcPr>
          <w:p w14:paraId="07F1CBE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62289D2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4D62B5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bottom"/>
            <w:hideMark/>
          </w:tcPr>
          <w:p w14:paraId="169235B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lastRenderedPageBreak/>
              <w:t>Efavirenz  + Lamivudine + Tenofovir disoproxil fumarate</w:t>
            </w:r>
          </w:p>
        </w:tc>
        <w:tc>
          <w:tcPr>
            <w:tcW w:w="3402" w:type="dxa"/>
            <w:tcBorders>
              <w:top w:val="nil"/>
              <w:left w:val="nil"/>
              <w:bottom w:val="single" w:sz="4" w:space="0" w:color="808080"/>
              <w:right w:val="single" w:sz="4" w:space="0" w:color="808080"/>
            </w:tcBorders>
            <w:shd w:val="clear" w:color="auto" w:fill="auto"/>
            <w:noWrap/>
            <w:vAlign w:val="bottom"/>
            <w:hideMark/>
          </w:tcPr>
          <w:p w14:paraId="0224229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400 mg or 600 mg + 300 mg + 300 mg</w:t>
            </w:r>
          </w:p>
        </w:tc>
        <w:tc>
          <w:tcPr>
            <w:tcW w:w="1418" w:type="dxa"/>
            <w:tcBorders>
              <w:top w:val="nil"/>
              <w:left w:val="nil"/>
              <w:bottom w:val="single" w:sz="4" w:space="0" w:color="808080"/>
              <w:right w:val="single" w:sz="4" w:space="0" w:color="808080"/>
            </w:tcBorders>
            <w:shd w:val="clear" w:color="auto" w:fill="auto"/>
            <w:noWrap/>
            <w:vAlign w:val="bottom"/>
            <w:hideMark/>
          </w:tcPr>
          <w:p w14:paraId="3F4F1A8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58B863B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C98386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749638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Ibuprofen for adults </w:t>
            </w:r>
          </w:p>
        </w:tc>
        <w:tc>
          <w:tcPr>
            <w:tcW w:w="3402" w:type="dxa"/>
            <w:tcBorders>
              <w:top w:val="nil"/>
              <w:left w:val="nil"/>
              <w:bottom w:val="single" w:sz="4" w:space="0" w:color="808080"/>
              <w:right w:val="single" w:sz="4" w:space="0" w:color="808080"/>
            </w:tcBorders>
            <w:shd w:val="clear" w:color="auto" w:fill="auto"/>
            <w:noWrap/>
            <w:vAlign w:val="bottom"/>
            <w:hideMark/>
          </w:tcPr>
          <w:p w14:paraId="757AF67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94F4D8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425E741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2B43D5FF"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6B7802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Furosemide </w:t>
            </w:r>
          </w:p>
        </w:tc>
        <w:tc>
          <w:tcPr>
            <w:tcW w:w="3402" w:type="dxa"/>
            <w:tcBorders>
              <w:top w:val="nil"/>
              <w:left w:val="nil"/>
              <w:bottom w:val="single" w:sz="4" w:space="0" w:color="808080"/>
              <w:right w:val="single" w:sz="4" w:space="0" w:color="808080"/>
            </w:tcBorders>
            <w:shd w:val="clear" w:color="auto" w:fill="auto"/>
            <w:noWrap/>
            <w:vAlign w:val="bottom"/>
            <w:hideMark/>
          </w:tcPr>
          <w:p w14:paraId="38BD659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4EF158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319439D"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78B972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4756A2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Epinephrine</w:t>
            </w:r>
          </w:p>
        </w:tc>
        <w:tc>
          <w:tcPr>
            <w:tcW w:w="3402" w:type="dxa"/>
            <w:tcBorders>
              <w:top w:val="nil"/>
              <w:left w:val="nil"/>
              <w:bottom w:val="single" w:sz="4" w:space="0" w:color="808080"/>
              <w:right w:val="single" w:sz="4" w:space="0" w:color="808080"/>
            </w:tcBorders>
            <w:shd w:val="clear" w:color="auto" w:fill="auto"/>
            <w:noWrap/>
            <w:vAlign w:val="bottom"/>
            <w:hideMark/>
          </w:tcPr>
          <w:p w14:paraId="077573A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 mg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3FE32E6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9770F1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0.5</w:t>
            </w:r>
          </w:p>
        </w:tc>
      </w:tr>
      <w:tr w:rsidR="009443FF" w:rsidRPr="00486970" w14:paraId="642B92BD"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131FE1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Dexamethasone</w:t>
            </w:r>
          </w:p>
        </w:tc>
        <w:tc>
          <w:tcPr>
            <w:tcW w:w="3402" w:type="dxa"/>
            <w:tcBorders>
              <w:top w:val="nil"/>
              <w:left w:val="nil"/>
              <w:bottom w:val="single" w:sz="4" w:space="0" w:color="808080"/>
              <w:right w:val="single" w:sz="4" w:space="0" w:color="808080"/>
            </w:tcBorders>
            <w:shd w:val="clear" w:color="auto" w:fill="auto"/>
            <w:noWrap/>
            <w:vAlign w:val="bottom"/>
            <w:hideMark/>
          </w:tcPr>
          <w:p w14:paraId="75EEAE0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injection  4 mg/ mL in 1- mL ampoule (as disodium phosphate salt)</w:t>
            </w:r>
          </w:p>
        </w:tc>
        <w:tc>
          <w:tcPr>
            <w:tcW w:w="1418" w:type="dxa"/>
            <w:tcBorders>
              <w:top w:val="nil"/>
              <w:left w:val="nil"/>
              <w:bottom w:val="single" w:sz="4" w:space="0" w:color="808080"/>
              <w:right w:val="single" w:sz="4" w:space="0" w:color="808080"/>
            </w:tcBorders>
            <w:shd w:val="clear" w:color="auto" w:fill="auto"/>
            <w:noWrap/>
            <w:vAlign w:val="bottom"/>
            <w:hideMark/>
          </w:tcPr>
          <w:p w14:paraId="6096EFF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1980258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7643C7D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6A9446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Fluconazole </w:t>
            </w:r>
          </w:p>
        </w:tc>
        <w:tc>
          <w:tcPr>
            <w:tcW w:w="3402" w:type="dxa"/>
            <w:tcBorders>
              <w:top w:val="nil"/>
              <w:left w:val="nil"/>
              <w:bottom w:val="single" w:sz="4" w:space="0" w:color="808080"/>
              <w:right w:val="single" w:sz="4" w:space="0" w:color="808080"/>
            </w:tcBorders>
            <w:shd w:val="clear" w:color="auto" w:fill="auto"/>
            <w:noWrap/>
            <w:vAlign w:val="bottom"/>
            <w:hideMark/>
          </w:tcPr>
          <w:p w14:paraId="56B3461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mg cap/tab (depending on indication)</w:t>
            </w:r>
          </w:p>
        </w:tc>
        <w:tc>
          <w:tcPr>
            <w:tcW w:w="1418" w:type="dxa"/>
            <w:tcBorders>
              <w:top w:val="nil"/>
              <w:left w:val="nil"/>
              <w:bottom w:val="single" w:sz="4" w:space="0" w:color="808080"/>
              <w:right w:val="single" w:sz="4" w:space="0" w:color="808080"/>
            </w:tcBorders>
            <w:shd w:val="clear" w:color="auto" w:fill="auto"/>
            <w:noWrap/>
            <w:vAlign w:val="bottom"/>
            <w:hideMark/>
          </w:tcPr>
          <w:p w14:paraId="3695C70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w:t>
            </w:r>
          </w:p>
        </w:tc>
        <w:tc>
          <w:tcPr>
            <w:tcW w:w="1768" w:type="dxa"/>
            <w:tcBorders>
              <w:top w:val="nil"/>
              <w:left w:val="nil"/>
              <w:bottom w:val="single" w:sz="4" w:space="0" w:color="808080"/>
              <w:right w:val="single" w:sz="8" w:space="0" w:color="808080"/>
            </w:tcBorders>
            <w:shd w:val="clear" w:color="auto" w:fill="auto"/>
            <w:noWrap/>
            <w:vAlign w:val="bottom"/>
            <w:hideMark/>
          </w:tcPr>
          <w:p w14:paraId="2B0191D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w:t>
            </w:r>
          </w:p>
        </w:tc>
      </w:tr>
      <w:tr w:rsidR="009443FF" w:rsidRPr="00486970" w14:paraId="5C524158"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156061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Nystatin </w:t>
            </w:r>
          </w:p>
        </w:tc>
        <w:tc>
          <w:tcPr>
            <w:tcW w:w="3402" w:type="dxa"/>
            <w:tcBorders>
              <w:top w:val="nil"/>
              <w:left w:val="nil"/>
              <w:bottom w:val="single" w:sz="4" w:space="0" w:color="808080"/>
              <w:right w:val="single" w:sz="4" w:space="0" w:color="808080"/>
            </w:tcBorders>
            <w:shd w:val="clear" w:color="auto" w:fill="auto"/>
            <w:noWrap/>
            <w:vAlign w:val="bottom"/>
            <w:hideMark/>
          </w:tcPr>
          <w:p w14:paraId="7C34F77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tablet 500 000 IU</w:t>
            </w:r>
          </w:p>
        </w:tc>
        <w:tc>
          <w:tcPr>
            <w:tcW w:w="1418" w:type="dxa"/>
            <w:tcBorders>
              <w:top w:val="nil"/>
              <w:left w:val="nil"/>
              <w:bottom w:val="single" w:sz="4" w:space="0" w:color="808080"/>
              <w:right w:val="single" w:sz="4" w:space="0" w:color="808080"/>
            </w:tcBorders>
            <w:shd w:val="clear" w:color="auto" w:fill="auto"/>
            <w:noWrap/>
            <w:vAlign w:val="bottom"/>
            <w:hideMark/>
          </w:tcPr>
          <w:p w14:paraId="1706C9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w:t>
            </w:r>
          </w:p>
        </w:tc>
        <w:tc>
          <w:tcPr>
            <w:tcW w:w="1768" w:type="dxa"/>
            <w:tcBorders>
              <w:top w:val="nil"/>
              <w:left w:val="nil"/>
              <w:bottom w:val="single" w:sz="4" w:space="0" w:color="808080"/>
              <w:right w:val="single" w:sz="8" w:space="0" w:color="808080"/>
            </w:tcBorders>
            <w:shd w:val="clear" w:color="auto" w:fill="auto"/>
            <w:noWrap/>
            <w:vAlign w:val="bottom"/>
            <w:hideMark/>
          </w:tcPr>
          <w:p w14:paraId="7A71017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8</w:t>
            </w:r>
          </w:p>
        </w:tc>
      </w:tr>
      <w:tr w:rsidR="009443FF" w:rsidRPr="00486970" w14:paraId="7DAFDAE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AA1A46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Levothyroxine </w:t>
            </w:r>
          </w:p>
        </w:tc>
        <w:tc>
          <w:tcPr>
            <w:tcW w:w="3402" w:type="dxa"/>
            <w:tcBorders>
              <w:top w:val="nil"/>
              <w:left w:val="nil"/>
              <w:bottom w:val="single" w:sz="4" w:space="0" w:color="808080"/>
              <w:right w:val="single" w:sz="4" w:space="0" w:color="808080"/>
            </w:tcBorders>
            <w:shd w:val="clear" w:color="auto" w:fill="auto"/>
            <w:noWrap/>
            <w:vAlign w:val="bottom"/>
            <w:hideMark/>
          </w:tcPr>
          <w:p w14:paraId="062D290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tablet 50 micrograms</w:t>
            </w:r>
          </w:p>
        </w:tc>
        <w:tc>
          <w:tcPr>
            <w:tcW w:w="1418" w:type="dxa"/>
            <w:tcBorders>
              <w:top w:val="nil"/>
              <w:left w:val="nil"/>
              <w:bottom w:val="single" w:sz="4" w:space="0" w:color="808080"/>
              <w:right w:val="single" w:sz="4" w:space="0" w:color="808080"/>
            </w:tcBorders>
            <w:shd w:val="clear" w:color="auto" w:fill="auto"/>
            <w:noWrap/>
            <w:vAlign w:val="bottom"/>
            <w:hideMark/>
          </w:tcPr>
          <w:p w14:paraId="0D8B1BE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CBA2F2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525BC0F1"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5E6D09A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Chlorhexidine</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18177DA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Solution  or gel: 7.1% (digluconate) delivering 4% chlorhexidine</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583CDF9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7</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325A6E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3506AC3C"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2505C14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Ready-to-use therapeutic food (RUTF)</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68D4B7E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paste or spread (1 sachet = 92 g [500 Kcal]) </w:t>
            </w:r>
            <w:r w:rsidRPr="00486970">
              <w:rPr>
                <w:rFonts w:cstheme="minorHAnsi"/>
                <w:b/>
                <w:bCs/>
                <w:sz w:val="20"/>
                <w:szCs w:val="20"/>
                <w:u w:val="single"/>
              </w:rPr>
              <w:t>OR</w:t>
            </w:r>
          </w:p>
          <w:p w14:paraId="43A0F7F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biscuit (28.4g, 500 kcal per 100g)</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11554B5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1037500D"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150 - 220 kcal/kg per day</w:t>
            </w:r>
          </w:p>
        </w:tc>
      </w:tr>
      <w:tr w:rsidR="009443FF" w:rsidRPr="00486970" w14:paraId="0EE953D1"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5C0A45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Isoniazid + pyrazinamide + rifampicin</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11153E7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mg + 150 mg + 75 mg</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7709F7A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546DAF4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 (60, 90 or 120)</w:t>
            </w:r>
          </w:p>
        </w:tc>
      </w:tr>
      <w:tr w:rsidR="009443FF" w:rsidRPr="00486970" w14:paraId="51BDB6C0" w14:textId="77777777" w:rsidTr="004D1906">
        <w:trPr>
          <w:trHeight w:val="67"/>
        </w:trPr>
        <w:tc>
          <w:tcPr>
            <w:tcW w:w="3417" w:type="dxa"/>
            <w:tcBorders>
              <w:top w:val="single" w:sz="4" w:space="0" w:color="808080"/>
              <w:left w:val="single" w:sz="8" w:space="0" w:color="808080"/>
              <w:bottom w:val="single" w:sz="8" w:space="0" w:color="808080"/>
              <w:right w:val="single" w:sz="4" w:space="0" w:color="808080"/>
            </w:tcBorders>
            <w:shd w:val="clear" w:color="auto" w:fill="auto"/>
            <w:noWrap/>
            <w:vAlign w:val="center"/>
          </w:tcPr>
          <w:p w14:paraId="28412E6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Epoetin alfa</w:t>
            </w:r>
          </w:p>
        </w:tc>
        <w:tc>
          <w:tcPr>
            <w:tcW w:w="3402" w:type="dxa"/>
            <w:tcBorders>
              <w:top w:val="single" w:sz="4" w:space="0" w:color="808080"/>
              <w:left w:val="nil"/>
              <w:bottom w:val="single" w:sz="8" w:space="0" w:color="808080"/>
              <w:right w:val="single" w:sz="4" w:space="0" w:color="808080"/>
            </w:tcBorders>
            <w:shd w:val="clear" w:color="auto" w:fill="auto"/>
            <w:noWrap/>
            <w:vAlign w:val="center"/>
          </w:tcPr>
          <w:p w14:paraId="679ED99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2,000 IU/mL</w:t>
            </w:r>
          </w:p>
        </w:tc>
        <w:tc>
          <w:tcPr>
            <w:tcW w:w="1418" w:type="dxa"/>
            <w:tcBorders>
              <w:top w:val="single" w:sz="4" w:space="0" w:color="808080"/>
              <w:left w:val="nil"/>
              <w:bottom w:val="single" w:sz="8" w:space="0" w:color="808080"/>
              <w:right w:val="single" w:sz="4" w:space="0" w:color="808080"/>
            </w:tcBorders>
            <w:shd w:val="clear" w:color="auto" w:fill="auto"/>
            <w:noWrap/>
            <w:vAlign w:val="center"/>
          </w:tcPr>
          <w:p w14:paraId="540E9FC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12</w:t>
            </w:r>
          </w:p>
        </w:tc>
        <w:tc>
          <w:tcPr>
            <w:tcW w:w="1768" w:type="dxa"/>
            <w:tcBorders>
              <w:top w:val="single" w:sz="4" w:space="0" w:color="808080"/>
              <w:left w:val="nil"/>
              <w:bottom w:val="single" w:sz="8" w:space="0" w:color="808080"/>
              <w:right w:val="single" w:sz="8" w:space="0" w:color="808080"/>
            </w:tcBorders>
            <w:shd w:val="clear" w:color="auto" w:fill="auto"/>
            <w:noWrap/>
            <w:vAlign w:val="center"/>
          </w:tcPr>
          <w:p w14:paraId="5015071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50 units/kg</w:t>
            </w:r>
          </w:p>
        </w:tc>
      </w:tr>
    </w:tbl>
    <w:p w14:paraId="7618C2D5" w14:textId="77777777" w:rsidR="009443FF" w:rsidRPr="00486970" w:rsidRDefault="009443FF" w:rsidP="009443FF">
      <w:pPr>
        <w:spacing w:after="0" w:line="240" w:lineRule="auto"/>
        <w:jc w:val="center"/>
        <w:rPr>
          <w:rFonts w:cstheme="minorHAnsi"/>
        </w:rPr>
      </w:pPr>
    </w:p>
    <w:p w14:paraId="2EF7527A" w14:textId="77777777" w:rsidR="009443FF" w:rsidRPr="00486970" w:rsidRDefault="009443FF" w:rsidP="009443FF">
      <w:pPr>
        <w:spacing w:after="0" w:line="240" w:lineRule="auto"/>
        <w:jc w:val="center"/>
        <w:rPr>
          <w:rFonts w:cstheme="minorHAnsi"/>
        </w:rPr>
      </w:pPr>
    </w:p>
    <w:p w14:paraId="6123D7C7" w14:textId="77777777" w:rsidR="009443FF" w:rsidRPr="00486970" w:rsidRDefault="009443FF" w:rsidP="009443FF">
      <w:pPr>
        <w:rPr>
          <w:rFonts w:cstheme="minorHAnsi"/>
        </w:rPr>
      </w:pPr>
      <w:r w:rsidRPr="00486970">
        <w:rPr>
          <w:rFonts w:cstheme="minorHAnsi"/>
        </w:rPr>
        <w:br w:type="page"/>
      </w:r>
    </w:p>
    <w:p w14:paraId="3719D5BE" w14:textId="77777777" w:rsidR="009443FF" w:rsidRPr="00486970" w:rsidRDefault="009443FF" w:rsidP="009443FF">
      <w:pPr>
        <w:spacing w:after="120" w:line="240" w:lineRule="auto"/>
        <w:jc w:val="both"/>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4 – Combination of availability and affordability</w:t>
      </w:r>
    </w:p>
    <w:p w14:paraId="7529BBCD"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As an example, consider a simplified case of access to a basket of three medicines (</w:t>
      </w:r>
      <w:r w:rsidRPr="00486970">
        <w:rPr>
          <w:rFonts w:eastAsia="Cambria Math" w:cstheme="minorHAnsi"/>
          <w:i/>
          <w:iCs/>
          <w:color w:val="000000"/>
        </w:rPr>
        <w:t>Figure 2</w:t>
      </w:r>
      <w:r w:rsidRPr="00486970">
        <w:rPr>
          <w:rFonts w:eastAsia="Cambria Math" w:cstheme="minorHAnsi"/>
          <w:color w:val="000000"/>
        </w:rPr>
        <w:t>). In the matrix:</w:t>
      </w:r>
    </w:p>
    <w:p w14:paraId="5D16A93F"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“1” indicates that a medicine is available or is affordable. </w:t>
      </w:r>
    </w:p>
    <w:p w14:paraId="4967C6CE"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“0” indicates that a medicine is not available or not affordable. In other words, “0” in the matrix indicates that the dimension is deprived. </w:t>
      </w:r>
    </w:p>
    <w:p w14:paraId="2D429C69"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 indicates cases when medicine is not available and consequently affordability of medicine is not measured. In other words, information on prices cannot be collected when a medicine is not found by the interviewer in the facility. </w:t>
      </w:r>
    </w:p>
    <w:p w14:paraId="6F773E3C" w14:textId="77777777" w:rsidR="009443FF" w:rsidRPr="00486970" w:rsidRDefault="009443FF" w:rsidP="009443FF">
      <w:pPr>
        <w:spacing w:after="120" w:line="240" w:lineRule="auto"/>
        <w:jc w:val="center"/>
        <w:rPr>
          <w:rFonts w:eastAsia="Cambria Math" w:cstheme="minorHAnsi"/>
          <w:noProof/>
          <w:color w:val="000000"/>
          <w:lang w:val="en-US"/>
        </w:rPr>
      </w:pPr>
      <w:r w:rsidRPr="00486970">
        <w:rPr>
          <w:rFonts w:eastAsia="Cambria Math" w:cstheme="minorHAnsi"/>
          <w:b/>
          <w:bCs/>
          <w:color w:val="000000"/>
          <w:sz w:val="20"/>
          <w:szCs w:val="20"/>
        </w:rPr>
        <w:t>Figure 4.1.</w:t>
      </w:r>
      <w:r w:rsidRPr="00486970">
        <w:rPr>
          <w:rFonts w:eastAsia="Cambria Math" w:cstheme="minorHAnsi"/>
          <w:color w:val="000000"/>
          <w:sz w:val="20"/>
          <w:szCs w:val="20"/>
        </w:rPr>
        <w:t xml:space="preserve"> Achievement matrix on access to medicine (two dimensions)</w:t>
      </w:r>
    </w:p>
    <w:p w14:paraId="4C9B78AF" w14:textId="77777777" w:rsidR="009443FF" w:rsidRPr="00486970" w:rsidRDefault="009443FF" w:rsidP="009443FF">
      <w:pPr>
        <w:spacing w:after="120" w:line="240" w:lineRule="auto"/>
        <w:jc w:val="center"/>
        <w:rPr>
          <w:rFonts w:eastAsia="Cambria Math" w:cstheme="minorHAnsi"/>
          <w:color w:val="000000"/>
        </w:rPr>
      </w:pPr>
      <w:r w:rsidRPr="00486970">
        <w:rPr>
          <w:rFonts w:eastAsia="Cambria Math" w:cstheme="minorHAnsi"/>
          <w:noProof/>
          <w:color w:val="000000"/>
          <w:lang w:val="en-US"/>
        </w:rPr>
        <w:drawing>
          <wp:inline distT="0" distB="0" distL="0" distR="0" wp14:anchorId="469B4D1E" wp14:editId="4EEA6512">
            <wp:extent cx="2268366" cy="1496108"/>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8167" cy="1509168"/>
                    </a:xfrm>
                    <a:prstGeom prst="rect">
                      <a:avLst/>
                    </a:prstGeom>
                    <a:noFill/>
                    <a:ln>
                      <a:noFill/>
                    </a:ln>
                  </pic:spPr>
                </pic:pic>
              </a:graphicData>
            </a:graphic>
          </wp:inline>
        </w:drawing>
      </w:r>
    </w:p>
    <w:p w14:paraId="0371B934" w14:textId="02A82E95"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In this basket the 1</w:t>
      </w:r>
      <w:r w:rsidRPr="00486970">
        <w:rPr>
          <w:rFonts w:eastAsia="Cambria Math" w:cstheme="minorHAnsi"/>
          <w:color w:val="000000"/>
          <w:vertAlign w:val="superscript"/>
        </w:rPr>
        <w:t>st</w:t>
      </w:r>
      <w:r w:rsidRPr="00486970">
        <w:rPr>
          <w:rFonts w:eastAsia="Cambria Math" w:cstheme="minorHAnsi"/>
          <w:color w:val="000000"/>
        </w:rPr>
        <w:t xml:space="preserve"> medicine is fully accessible (i.e. it is both available and affordable), the 2</w:t>
      </w:r>
      <w:r w:rsidR="00C94B20" w:rsidRPr="00C94B20">
        <w:rPr>
          <w:rFonts w:eastAsia="Cambria Math" w:cstheme="minorHAnsi"/>
          <w:color w:val="000000"/>
          <w:vertAlign w:val="superscript"/>
        </w:rPr>
        <w:t>nd</w:t>
      </w:r>
      <w:r w:rsidR="00C94B20">
        <w:rPr>
          <w:rFonts w:eastAsia="Cambria Math" w:cstheme="minorHAnsi"/>
          <w:color w:val="000000"/>
        </w:rPr>
        <w:t xml:space="preserve"> </w:t>
      </w:r>
      <w:r w:rsidRPr="00486970">
        <w:rPr>
          <w:rFonts w:eastAsia="Cambria Math" w:cstheme="minorHAnsi"/>
          <w:color w:val="000000"/>
        </w:rPr>
        <w:t>medicine is partially accessible (i.e. it is available but not affordable), while the 3</w:t>
      </w:r>
      <w:r w:rsidRPr="00486970">
        <w:rPr>
          <w:rFonts w:eastAsia="Cambria Math" w:cstheme="minorHAnsi"/>
          <w:color w:val="000000"/>
          <w:vertAlign w:val="superscript"/>
        </w:rPr>
        <w:t>rd</w:t>
      </w:r>
      <w:r w:rsidRPr="00486970">
        <w:rPr>
          <w:rFonts w:eastAsia="Cambria Math" w:cstheme="minorHAnsi"/>
          <w:color w:val="000000"/>
        </w:rPr>
        <w:t xml:space="preserve"> medicine is inaccessible (i.e. it is not available and thus it is not possible to collect information on prices).</w:t>
      </w:r>
    </w:p>
    <w:p w14:paraId="3CDABB62"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In this example, the first medicine is accessible and the third medicine is not. However, the second medicine is partially deprived indicating that specific policies applied in the country may be effective for availability of the medicine but not for its affordability. Applying the union identification approach by S. Alkire and G. Robles that treats elements (medicines) in the matrix with partial deprivation as fully deprived, the second medicine is considered not accessible as well (</w:t>
      </w:r>
      <w:r w:rsidRPr="00486970">
        <w:rPr>
          <w:rFonts w:eastAsia="Cambria Math" w:cstheme="minorHAnsi"/>
          <w:i/>
          <w:iCs/>
          <w:color w:val="000000"/>
        </w:rPr>
        <w:t>Figure 3</w:t>
      </w:r>
      <w:r w:rsidRPr="00486970">
        <w:rPr>
          <w:rFonts w:eastAsia="Cambria Math" w:cstheme="minorHAnsi"/>
          <w:color w:val="000000"/>
        </w:rPr>
        <w:t xml:space="preserve">). </w:t>
      </w:r>
    </w:p>
    <w:p w14:paraId="2E5380FC" w14:textId="77777777" w:rsidR="009443FF" w:rsidRPr="00486970" w:rsidRDefault="009443FF" w:rsidP="009443FF">
      <w:pPr>
        <w:spacing w:after="120" w:line="240" w:lineRule="auto"/>
        <w:jc w:val="center"/>
        <w:rPr>
          <w:rFonts w:eastAsia="Cambria Math" w:cstheme="minorHAnsi"/>
          <w:noProof/>
          <w:color w:val="000000"/>
          <w:lang w:val="en-US"/>
        </w:rPr>
      </w:pPr>
      <w:r w:rsidRPr="00486970">
        <w:rPr>
          <w:rFonts w:eastAsia="Cambria Math" w:cstheme="minorHAnsi"/>
          <w:b/>
          <w:bCs/>
          <w:color w:val="000000"/>
          <w:sz w:val="20"/>
          <w:szCs w:val="20"/>
        </w:rPr>
        <w:t>Figure 4.2.</w:t>
      </w:r>
      <w:r w:rsidRPr="00486970">
        <w:rPr>
          <w:rFonts w:eastAsia="Cambria Math" w:cstheme="minorHAnsi"/>
          <w:color w:val="000000"/>
          <w:sz w:val="20"/>
          <w:szCs w:val="20"/>
        </w:rPr>
        <w:t xml:space="preserve"> Achievement matrix of access to medicine (two dimensions &amp; deprivation of dimensions)</w:t>
      </w:r>
    </w:p>
    <w:p w14:paraId="548809FB" w14:textId="77777777" w:rsidR="009443FF" w:rsidRPr="00486970" w:rsidRDefault="009443FF" w:rsidP="009443FF">
      <w:pPr>
        <w:spacing w:after="120" w:line="240" w:lineRule="auto"/>
        <w:ind w:firstLine="397"/>
        <w:jc w:val="center"/>
        <w:rPr>
          <w:rFonts w:eastAsia="Cambria Math" w:cstheme="minorHAnsi"/>
          <w:color w:val="000000"/>
        </w:rPr>
      </w:pPr>
      <w:r w:rsidRPr="00486970">
        <w:rPr>
          <w:rFonts w:eastAsia="Cambria Math" w:cstheme="minorHAnsi"/>
          <w:noProof/>
          <w:color w:val="000000"/>
          <w:lang w:val="en-US"/>
        </w:rPr>
        <w:drawing>
          <wp:inline distT="0" distB="0" distL="0" distR="0" wp14:anchorId="11342FF8" wp14:editId="1A20FB10">
            <wp:extent cx="2067058" cy="1154741"/>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79522" cy="1161704"/>
                    </a:xfrm>
                    <a:prstGeom prst="rect">
                      <a:avLst/>
                    </a:prstGeom>
                    <a:noFill/>
                    <a:ln>
                      <a:noFill/>
                    </a:ln>
                  </pic:spPr>
                </pic:pic>
              </a:graphicData>
            </a:graphic>
          </wp:inline>
        </w:drawing>
      </w:r>
    </w:p>
    <w:p w14:paraId="01F3B223"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At the end of this step, the variable “access” to medicines is generated, combining the 2 dimensions of availability and affordability. This variable remains binary in nature with 1 – medicine is accessible (both available and affordable) and 0 – medicine is not accessible (not available or available but not affordable).</w:t>
      </w:r>
    </w:p>
    <w:p w14:paraId="7D0594EB" w14:textId="77777777" w:rsidR="009443FF" w:rsidRPr="00486970" w:rsidRDefault="009443FF" w:rsidP="009443FF">
      <w:pPr>
        <w:spacing w:after="0" w:line="240" w:lineRule="auto"/>
        <w:jc w:val="center"/>
        <w:rPr>
          <w:rFonts w:cstheme="minorHAnsi"/>
        </w:rPr>
      </w:pPr>
    </w:p>
    <w:p w14:paraId="744490F6" w14:textId="057A2C60" w:rsidR="009443FF" w:rsidRPr="00486970" w:rsidRDefault="009443FF">
      <w:pPr>
        <w:rPr>
          <w:rFonts w:cstheme="minorHAnsi"/>
        </w:rPr>
      </w:pPr>
    </w:p>
    <w:p w14:paraId="3B050DDB" w14:textId="77777777" w:rsidR="009443FF" w:rsidRPr="00486970" w:rsidRDefault="009443FF">
      <w:pPr>
        <w:rPr>
          <w:rFonts w:cstheme="minorHAnsi"/>
        </w:rPr>
      </w:pPr>
    </w:p>
    <w:sectPr w:rsidR="009443FF" w:rsidRPr="00486970">
      <w:headerReference w:type="default" r:id="rId7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7C463" w14:textId="77777777" w:rsidR="000B31FA" w:rsidRDefault="000B31FA" w:rsidP="00573C0B">
      <w:pPr>
        <w:spacing w:after="0" w:line="240" w:lineRule="auto"/>
      </w:pPr>
      <w:r>
        <w:separator/>
      </w:r>
    </w:p>
  </w:endnote>
  <w:endnote w:type="continuationSeparator" w:id="0">
    <w:p w14:paraId="45D769C7" w14:textId="77777777" w:rsidR="000B31FA" w:rsidRDefault="000B31FA" w:rsidP="00573C0B">
      <w:pPr>
        <w:spacing w:after="0" w:line="240" w:lineRule="auto"/>
      </w:pPr>
      <w:r>
        <w:continuationSeparator/>
      </w:r>
    </w:p>
  </w:endnote>
  <w:endnote w:type="continuationNotice" w:id="1">
    <w:p w14:paraId="075E98E5" w14:textId="77777777" w:rsidR="000B31FA" w:rsidRDefault="000B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272B8" w14:textId="77777777" w:rsidR="000B31FA" w:rsidRDefault="000B31FA" w:rsidP="00573C0B">
      <w:pPr>
        <w:spacing w:after="0" w:line="240" w:lineRule="auto"/>
      </w:pPr>
      <w:r>
        <w:separator/>
      </w:r>
    </w:p>
  </w:footnote>
  <w:footnote w:type="continuationSeparator" w:id="0">
    <w:p w14:paraId="71F1703B" w14:textId="77777777" w:rsidR="000B31FA" w:rsidRDefault="000B31FA" w:rsidP="00573C0B">
      <w:pPr>
        <w:spacing w:after="0" w:line="240" w:lineRule="auto"/>
      </w:pPr>
      <w:r>
        <w:continuationSeparator/>
      </w:r>
    </w:p>
  </w:footnote>
  <w:footnote w:type="continuationNotice" w:id="1">
    <w:p w14:paraId="7265563E" w14:textId="77777777" w:rsidR="000B31FA" w:rsidRDefault="000B31FA">
      <w:pPr>
        <w:spacing w:after="0" w:line="240" w:lineRule="auto"/>
      </w:pPr>
    </w:p>
  </w:footnote>
  <w:footnote w:id="2">
    <w:p w14:paraId="20F171B7" w14:textId="77777777" w:rsidR="005B2719" w:rsidRPr="006C1A6B" w:rsidRDefault="005B2719" w:rsidP="00F70A66">
      <w:pPr>
        <w:pStyle w:val="FootnoteText"/>
        <w:jc w:val="both"/>
        <w:rPr>
          <w:sz w:val="18"/>
          <w:szCs w:val="18"/>
        </w:rPr>
      </w:pPr>
      <w:r w:rsidRPr="006C1A6B">
        <w:rPr>
          <w:rStyle w:val="FootnoteReference"/>
          <w:sz w:val="18"/>
          <w:szCs w:val="18"/>
        </w:rPr>
        <w:footnoteRef/>
      </w:r>
      <w:r w:rsidRPr="006C1A6B">
        <w:rPr>
          <w:sz w:val="18"/>
          <w:szCs w:val="18"/>
        </w:rPr>
        <w:t xml:space="preserve"> </w:t>
      </w:r>
      <w:r w:rsidRPr="006C1A6B">
        <w:rPr>
          <w:color w:val="000000" w:themeColor="text1"/>
          <w:sz w:val="18"/>
          <w:szCs w:val="18"/>
        </w:rPr>
        <w:t xml:space="preserve">DALYs for a disease are calculated as the sum of the </w:t>
      </w:r>
      <w:r w:rsidRPr="006C1A6B">
        <w:rPr>
          <w:i/>
          <w:iCs/>
          <w:color w:val="000000" w:themeColor="text1"/>
          <w:sz w:val="18"/>
          <w:szCs w:val="18"/>
        </w:rPr>
        <w:t>Years of Life Lost (YLL)</w:t>
      </w:r>
      <w:r w:rsidRPr="006C1A6B">
        <w:rPr>
          <w:color w:val="000000" w:themeColor="text1"/>
          <w:sz w:val="18"/>
          <w:szCs w:val="18"/>
        </w:rPr>
        <w:t xml:space="preserve"> due to premature mortality in the population and the </w:t>
      </w:r>
      <w:r w:rsidRPr="006C1A6B">
        <w:rPr>
          <w:i/>
          <w:iCs/>
          <w:color w:val="000000" w:themeColor="text1"/>
          <w:sz w:val="18"/>
          <w:szCs w:val="18"/>
        </w:rPr>
        <w:t>Years Lost due to Disability (YLD)</w:t>
      </w:r>
      <w:r w:rsidRPr="006C1A6B">
        <w:rPr>
          <w:color w:val="000000" w:themeColor="text1"/>
          <w:sz w:val="18"/>
          <w:szCs w:val="18"/>
        </w:rPr>
        <w:t xml:space="preserve"> for people living with the health condition or its consequences (DALYs  YLL + YLD). That is why DALYs allow “calculating” consequences both from acute diseases (mortality) and from chronic diseases (disability and life with disease). </w:t>
      </w:r>
      <w:hyperlink r:id="rId1" w:history="1">
        <w:r w:rsidRPr="006C1A6B">
          <w:rPr>
            <w:rStyle w:val="Hyperlink"/>
            <w:sz w:val="18"/>
            <w:szCs w:val="18"/>
          </w:rPr>
          <w:t>http://www.who.int/healthinfo/global_burden_disease/estimates/en/index1.html</w:t>
        </w:r>
      </w:hyperlink>
      <w:r w:rsidRPr="006C1A6B">
        <w:rPr>
          <w:color w:val="000000" w:themeColor="text1"/>
          <w:sz w:val="18"/>
          <w:szCs w:val="18"/>
        </w:rPr>
        <w:t xml:space="preserve">  </w:t>
      </w:r>
    </w:p>
  </w:footnote>
  <w:footnote w:id="3">
    <w:p w14:paraId="69A4496D" w14:textId="77777777" w:rsidR="005B2719" w:rsidRPr="006C1A6B" w:rsidRDefault="005B2719" w:rsidP="00F70A66">
      <w:pPr>
        <w:pStyle w:val="FootnoteText"/>
        <w:rPr>
          <w:sz w:val="18"/>
          <w:szCs w:val="18"/>
        </w:rPr>
      </w:pPr>
      <w:r w:rsidRPr="006C1A6B">
        <w:rPr>
          <w:rStyle w:val="FootnoteReference"/>
          <w:sz w:val="18"/>
          <w:szCs w:val="18"/>
        </w:rPr>
        <w:footnoteRef/>
      </w:r>
      <w:r w:rsidRPr="006C1A6B">
        <w:rPr>
          <w:sz w:val="18"/>
          <w:szCs w:val="18"/>
        </w:rPr>
        <w:t xml:space="preserve"> </w:t>
      </w:r>
      <w:hyperlink r:id="rId2" w:history="1">
        <w:r w:rsidRPr="006C1A6B">
          <w:rPr>
            <w:rStyle w:val="Hyperlink"/>
            <w:sz w:val="18"/>
            <w:szCs w:val="18"/>
          </w:rPr>
          <w:t>http://www.who.int/medicines/areas/access/OMS_Medicine_prices.pdf</w:t>
        </w:r>
      </w:hyperlink>
      <w:r w:rsidRPr="006C1A6B">
        <w:rPr>
          <w:sz w:val="18"/>
          <w:szCs w:val="18"/>
        </w:rPr>
        <w:t xml:space="preserve"> </w:t>
      </w:r>
    </w:p>
  </w:footnote>
  <w:footnote w:id="4">
    <w:p w14:paraId="5EA1D388" w14:textId="77777777" w:rsidR="005B2719" w:rsidRDefault="005B2719" w:rsidP="00F70A66">
      <w:pPr>
        <w:pStyle w:val="FootnoteText"/>
      </w:pPr>
      <w:r>
        <w:rPr>
          <w:rStyle w:val="FootnoteReference"/>
        </w:rPr>
        <w:footnoteRef/>
      </w:r>
      <w:r>
        <w:t xml:space="preserve"> </w:t>
      </w:r>
      <w:hyperlink r:id="rId3" w:history="1">
        <w:r w:rsidRPr="006A32FC">
          <w:rPr>
            <w:rStyle w:val="Hyperlink"/>
          </w:rPr>
          <w:t>https://www.ophi.org.uk/wp-content/uploads/OPHIRP046a.pdf</w:t>
        </w:r>
      </w:hyperlink>
      <w:r w:rsidRPr="00B1514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C7B06" w14:textId="6606B5C8" w:rsidR="005B2719" w:rsidRDefault="005B2719" w:rsidP="00273CFA">
    <w:pPr>
      <w:pStyle w:val="Header"/>
      <w:jc w:val="right"/>
      <w:rPr>
        <w:color w:val="595959" w:themeColor="text1" w:themeTint="A6"/>
        <w:sz w:val="18"/>
        <w:szCs w:val="18"/>
      </w:rPr>
    </w:pPr>
    <w:r w:rsidRPr="39DF3A99">
      <w:rPr>
        <w:color w:val="595959" w:themeColor="text1" w:themeTint="A6"/>
        <w:sz w:val="18"/>
        <w:szCs w:val="18"/>
      </w:rPr>
      <w:t>Last updated: 2019-01-01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4726072B" w:rsidR="005B2719" w:rsidRPr="00757E8A" w:rsidRDefault="005B2719"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25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593"/>
    <w:multiLevelType w:val="multilevel"/>
    <w:tmpl w:val="B59489C4"/>
    <w:lvl w:ilvl="0">
      <w:start w:val="1"/>
      <w:numFmt w:val="decimal"/>
      <w:lvlText w:val="%1."/>
      <w:lvlJc w:val="left"/>
      <w:pPr>
        <w:ind w:left="720" w:hanging="36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1" w15:restartNumberingAfterBreak="0">
    <w:nsid w:val="022F7A38"/>
    <w:multiLevelType w:val="hybridMultilevel"/>
    <w:tmpl w:val="9738B20E"/>
    <w:lvl w:ilvl="0" w:tplc="06B81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96B23"/>
    <w:multiLevelType w:val="multilevel"/>
    <w:tmpl w:val="E36EA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67F13"/>
    <w:multiLevelType w:val="hybridMultilevel"/>
    <w:tmpl w:val="C0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53B7"/>
    <w:multiLevelType w:val="multilevel"/>
    <w:tmpl w:val="C148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61164"/>
    <w:multiLevelType w:val="multilevel"/>
    <w:tmpl w:val="D5EC3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76B2E"/>
    <w:multiLevelType w:val="multilevel"/>
    <w:tmpl w:val="004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D27EF"/>
    <w:multiLevelType w:val="multilevel"/>
    <w:tmpl w:val="49F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30D55"/>
    <w:multiLevelType w:val="multilevel"/>
    <w:tmpl w:val="4DCAB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975DF"/>
    <w:multiLevelType w:val="multilevel"/>
    <w:tmpl w:val="2B222A42"/>
    <w:lvl w:ilvl="0">
      <w:start w:val="1"/>
      <w:numFmt w:val="decimal"/>
      <w:lvlText w:val="%1.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D16A8"/>
    <w:multiLevelType w:val="multilevel"/>
    <w:tmpl w:val="A1D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031E3"/>
    <w:multiLevelType w:val="multilevel"/>
    <w:tmpl w:val="ACF49E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A95260"/>
    <w:multiLevelType w:val="multilevel"/>
    <w:tmpl w:val="FA483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016A9"/>
    <w:multiLevelType w:val="multilevel"/>
    <w:tmpl w:val="0ECAAB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DD41E4"/>
    <w:multiLevelType w:val="hybridMultilevel"/>
    <w:tmpl w:val="13CA7948"/>
    <w:lvl w:ilvl="0" w:tplc="3E98BAD4">
      <w:start w:val="1"/>
      <w:numFmt w:val="decimal"/>
      <w:lvlText w:val="%1."/>
      <w:lvlJc w:val="left"/>
      <w:pPr>
        <w:ind w:left="643" w:hanging="360"/>
      </w:pPr>
      <w:rPr>
        <w:b w:val="0"/>
        <w:bCs/>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23A65027"/>
    <w:multiLevelType w:val="multilevel"/>
    <w:tmpl w:val="778CD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F592B"/>
    <w:multiLevelType w:val="multilevel"/>
    <w:tmpl w:val="157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CC2A0E"/>
    <w:multiLevelType w:val="multilevel"/>
    <w:tmpl w:val="50A41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A55AF"/>
    <w:multiLevelType w:val="hybridMultilevel"/>
    <w:tmpl w:val="F3B4FCB8"/>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84A6C"/>
    <w:multiLevelType w:val="multilevel"/>
    <w:tmpl w:val="BCC687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26B7C"/>
    <w:multiLevelType w:val="hybridMultilevel"/>
    <w:tmpl w:val="88E438BC"/>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1" w15:restartNumberingAfterBreak="0">
    <w:nsid w:val="2D641249"/>
    <w:multiLevelType w:val="multilevel"/>
    <w:tmpl w:val="698CACFE"/>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22" w15:restartNumberingAfterBreak="0">
    <w:nsid w:val="2D7B0D60"/>
    <w:multiLevelType w:val="multilevel"/>
    <w:tmpl w:val="9DDCA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7F7C5A"/>
    <w:multiLevelType w:val="multilevel"/>
    <w:tmpl w:val="C70EE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CD1B4B"/>
    <w:multiLevelType w:val="multilevel"/>
    <w:tmpl w:val="DE064B16"/>
    <w:lvl w:ilvl="0">
      <w:start w:val="1"/>
      <w:numFmt w:val="decimal"/>
      <w:lvlText w:val="%1."/>
      <w:lvlJc w:val="left"/>
      <w:pPr>
        <w:ind w:left="643" w:hanging="360"/>
      </w:pPr>
    </w:lvl>
    <w:lvl w:ilvl="1">
      <w:start w:val="1"/>
      <w:numFmt w:val="decimal"/>
      <w:lvlText w:val="%2."/>
      <w:lvlJc w:val="left"/>
      <w:pPr>
        <w:ind w:left="786" w:hanging="360"/>
      </w:pPr>
      <w:rPr>
        <w:rFonts w:asciiTheme="minorHAnsi" w:eastAsiaTheme="minorEastAsia" w:hAnsiTheme="minorHAnsi" w:cstheme="minorBidi" w:hint="default"/>
        <w:b w:val="0"/>
        <w:bCs w:val="0"/>
      </w:rPr>
    </w:lvl>
    <w:lvl w:ilvl="2">
      <w:start w:val="1"/>
      <w:numFmt w:val="decimal"/>
      <w:isLgl/>
      <w:lvlText w:val="%1.%2.%3"/>
      <w:lvlJc w:val="left"/>
      <w:pPr>
        <w:ind w:left="1289"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2867" w:hanging="1440"/>
      </w:pPr>
      <w:rPr>
        <w:rFonts w:hint="default"/>
      </w:rPr>
    </w:lvl>
  </w:abstractNum>
  <w:abstractNum w:abstractNumId="25" w15:restartNumberingAfterBreak="0">
    <w:nsid w:val="3F544499"/>
    <w:multiLevelType w:val="multilevel"/>
    <w:tmpl w:val="AED0E9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FB414E4"/>
    <w:multiLevelType w:val="hybridMultilevel"/>
    <w:tmpl w:val="63201FA4"/>
    <w:lvl w:ilvl="0" w:tplc="5D142E0C">
      <w:start w:val="1"/>
      <w:numFmt w:val="decimal"/>
      <w:lvlText w:val="%1."/>
      <w:lvlJc w:val="left"/>
      <w:pPr>
        <w:ind w:left="2062" w:hanging="360"/>
      </w:pPr>
      <w:rPr>
        <w:rFonts w:asciiTheme="minorHAnsi" w:eastAsiaTheme="minorEastAsia" w:hAnsiTheme="minorHAnsi" w:cstheme="minorBidi"/>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 w15:restartNumberingAfterBreak="0">
    <w:nsid w:val="40873223"/>
    <w:multiLevelType w:val="multilevel"/>
    <w:tmpl w:val="6C767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6F6424"/>
    <w:multiLevelType w:val="multilevel"/>
    <w:tmpl w:val="2702E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B1355"/>
    <w:multiLevelType w:val="multilevel"/>
    <w:tmpl w:val="A9C6B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79289B"/>
    <w:multiLevelType w:val="hybridMultilevel"/>
    <w:tmpl w:val="055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D6FD5"/>
    <w:multiLevelType w:val="hybridMultilevel"/>
    <w:tmpl w:val="FD8457E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6913DC"/>
    <w:multiLevelType w:val="multilevel"/>
    <w:tmpl w:val="468CE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422CE2"/>
    <w:multiLevelType w:val="multilevel"/>
    <w:tmpl w:val="103E5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FF328C"/>
    <w:multiLevelType w:val="multilevel"/>
    <w:tmpl w:val="B442F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297AEC"/>
    <w:multiLevelType w:val="multilevel"/>
    <w:tmpl w:val="2656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202A64"/>
    <w:multiLevelType w:val="hybridMultilevel"/>
    <w:tmpl w:val="A952221C"/>
    <w:lvl w:ilvl="0" w:tplc="EBFE2D8C">
      <w:start w:val="1"/>
      <w:numFmt w:val="decimal"/>
      <w:lvlText w:val="%1."/>
      <w:lvlJc w:val="left"/>
      <w:pPr>
        <w:ind w:left="643" w:hanging="360"/>
      </w:pPr>
      <w:rPr>
        <w:rFonts w:asciiTheme="minorHAnsi" w:eastAsiaTheme="minorEastAsia" w:hAnsiTheme="minorHAnsi"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569130C1"/>
    <w:multiLevelType w:val="hybridMultilevel"/>
    <w:tmpl w:val="C808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E7352B"/>
    <w:multiLevelType w:val="multilevel"/>
    <w:tmpl w:val="EBB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62448A"/>
    <w:multiLevelType w:val="multilevel"/>
    <w:tmpl w:val="4204E0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C07DF2"/>
    <w:multiLevelType w:val="multilevel"/>
    <w:tmpl w:val="F588F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112E51"/>
    <w:multiLevelType w:val="multilevel"/>
    <w:tmpl w:val="4C6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D26674"/>
    <w:multiLevelType w:val="hybridMultilevel"/>
    <w:tmpl w:val="F2A8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721006"/>
    <w:multiLevelType w:val="multilevel"/>
    <w:tmpl w:val="C368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3723D6"/>
    <w:multiLevelType w:val="multilevel"/>
    <w:tmpl w:val="FB685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33091B"/>
    <w:multiLevelType w:val="multilevel"/>
    <w:tmpl w:val="20C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A204CF"/>
    <w:multiLevelType w:val="multilevel"/>
    <w:tmpl w:val="514080EE"/>
    <w:lvl w:ilvl="0">
      <w:start w:val="1"/>
      <w:numFmt w:val="decimal"/>
      <w:lvlText w:val="%1."/>
      <w:lvlJc w:val="left"/>
      <w:pPr>
        <w:ind w:left="643" w:hanging="360"/>
      </w:pPr>
    </w:lvl>
    <w:lvl w:ilvl="1">
      <w:start w:val="1"/>
      <w:numFmt w:val="decimal"/>
      <w:isLgl/>
      <w:lvlText w:val="%1.%2"/>
      <w:lvlJc w:val="left"/>
      <w:pPr>
        <w:ind w:left="786" w:hanging="360"/>
      </w:pPr>
      <w:rPr>
        <w:rFonts w:hint="default"/>
        <w:b/>
        <w:bCs/>
      </w:rPr>
    </w:lvl>
    <w:lvl w:ilvl="2">
      <w:start w:val="1"/>
      <w:numFmt w:val="decimal"/>
      <w:isLgl/>
      <w:lvlText w:val="%1.%2.%3"/>
      <w:lvlJc w:val="left"/>
      <w:pPr>
        <w:ind w:left="1289"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2867" w:hanging="1440"/>
      </w:pPr>
      <w:rPr>
        <w:rFonts w:hint="default"/>
      </w:rPr>
    </w:lvl>
  </w:abstractNum>
  <w:abstractNum w:abstractNumId="47" w15:restartNumberingAfterBreak="0">
    <w:nsid w:val="6CBE1279"/>
    <w:multiLevelType w:val="multilevel"/>
    <w:tmpl w:val="C712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F168F0"/>
    <w:multiLevelType w:val="multilevel"/>
    <w:tmpl w:val="111A5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45"/>
  </w:num>
  <w:num w:numId="4">
    <w:abstractNumId w:val="43"/>
  </w:num>
  <w:num w:numId="5">
    <w:abstractNumId w:val="10"/>
  </w:num>
  <w:num w:numId="6">
    <w:abstractNumId w:val="35"/>
  </w:num>
  <w:num w:numId="7">
    <w:abstractNumId w:val="9"/>
  </w:num>
  <w:num w:numId="8">
    <w:abstractNumId w:val="12"/>
  </w:num>
  <w:num w:numId="9">
    <w:abstractNumId w:val="23"/>
  </w:num>
  <w:num w:numId="10">
    <w:abstractNumId w:val="39"/>
  </w:num>
  <w:num w:numId="11">
    <w:abstractNumId w:val="32"/>
  </w:num>
  <w:num w:numId="12">
    <w:abstractNumId w:val="28"/>
  </w:num>
  <w:num w:numId="13">
    <w:abstractNumId w:val="0"/>
  </w:num>
  <w:num w:numId="14">
    <w:abstractNumId w:val="1"/>
  </w:num>
  <w:num w:numId="15">
    <w:abstractNumId w:val="46"/>
  </w:num>
  <w:num w:numId="16">
    <w:abstractNumId w:val="3"/>
  </w:num>
  <w:num w:numId="17">
    <w:abstractNumId w:val="31"/>
  </w:num>
  <w:num w:numId="18">
    <w:abstractNumId w:val="20"/>
  </w:num>
  <w:num w:numId="19">
    <w:abstractNumId w:val="21"/>
  </w:num>
  <w:num w:numId="20">
    <w:abstractNumId w:val="38"/>
  </w:num>
  <w:num w:numId="21">
    <w:abstractNumId w:val="33"/>
  </w:num>
  <w:num w:numId="22">
    <w:abstractNumId w:val="2"/>
  </w:num>
  <w:num w:numId="23">
    <w:abstractNumId w:val="16"/>
  </w:num>
  <w:num w:numId="24">
    <w:abstractNumId w:val="5"/>
  </w:num>
  <w:num w:numId="25">
    <w:abstractNumId w:val="6"/>
  </w:num>
  <w:num w:numId="26">
    <w:abstractNumId w:val="47"/>
  </w:num>
  <w:num w:numId="27">
    <w:abstractNumId w:val="27"/>
  </w:num>
  <w:num w:numId="28">
    <w:abstractNumId w:val="41"/>
  </w:num>
  <w:num w:numId="29">
    <w:abstractNumId w:val="34"/>
  </w:num>
  <w:num w:numId="30">
    <w:abstractNumId w:val="25"/>
  </w:num>
  <w:num w:numId="31">
    <w:abstractNumId w:val="13"/>
  </w:num>
  <w:num w:numId="32">
    <w:abstractNumId w:val="18"/>
  </w:num>
  <w:num w:numId="33">
    <w:abstractNumId w:val="7"/>
  </w:num>
  <w:num w:numId="34">
    <w:abstractNumId w:val="17"/>
  </w:num>
  <w:num w:numId="35">
    <w:abstractNumId w:val="48"/>
  </w:num>
  <w:num w:numId="36">
    <w:abstractNumId w:val="8"/>
  </w:num>
  <w:num w:numId="37">
    <w:abstractNumId w:val="44"/>
  </w:num>
  <w:num w:numId="38">
    <w:abstractNumId w:val="22"/>
  </w:num>
  <w:num w:numId="39">
    <w:abstractNumId w:val="29"/>
  </w:num>
  <w:num w:numId="40">
    <w:abstractNumId w:val="19"/>
  </w:num>
  <w:num w:numId="41">
    <w:abstractNumId w:val="40"/>
  </w:num>
  <w:num w:numId="42">
    <w:abstractNumId w:val="14"/>
  </w:num>
  <w:num w:numId="43">
    <w:abstractNumId w:val="36"/>
  </w:num>
  <w:num w:numId="44">
    <w:abstractNumId w:val="26"/>
  </w:num>
  <w:num w:numId="45">
    <w:abstractNumId w:val="42"/>
  </w:num>
  <w:num w:numId="46">
    <w:abstractNumId w:val="30"/>
  </w:num>
  <w:num w:numId="47">
    <w:abstractNumId w:val="37"/>
  </w:num>
  <w:num w:numId="48">
    <w:abstractNumId w:val="11"/>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8EF"/>
    <w:rsid w:val="000173F9"/>
    <w:rsid w:val="00021E78"/>
    <w:rsid w:val="000412A0"/>
    <w:rsid w:val="00047DDA"/>
    <w:rsid w:val="00052E54"/>
    <w:rsid w:val="0005455A"/>
    <w:rsid w:val="00071F07"/>
    <w:rsid w:val="0007759D"/>
    <w:rsid w:val="000777AB"/>
    <w:rsid w:val="00077F46"/>
    <w:rsid w:val="00090FB1"/>
    <w:rsid w:val="00096186"/>
    <w:rsid w:val="000A72E4"/>
    <w:rsid w:val="000B0E2F"/>
    <w:rsid w:val="000B2430"/>
    <w:rsid w:val="000B31FA"/>
    <w:rsid w:val="000D0B30"/>
    <w:rsid w:val="000E21F1"/>
    <w:rsid w:val="000F703E"/>
    <w:rsid w:val="00120E86"/>
    <w:rsid w:val="00125DE9"/>
    <w:rsid w:val="001332E0"/>
    <w:rsid w:val="00133F96"/>
    <w:rsid w:val="00134DE7"/>
    <w:rsid w:val="00185354"/>
    <w:rsid w:val="001854DC"/>
    <w:rsid w:val="00186795"/>
    <w:rsid w:val="00194D09"/>
    <w:rsid w:val="001A7D5C"/>
    <w:rsid w:val="001B60AA"/>
    <w:rsid w:val="001B63C8"/>
    <w:rsid w:val="001C1972"/>
    <w:rsid w:val="001C421F"/>
    <w:rsid w:val="001D360D"/>
    <w:rsid w:val="00244AC9"/>
    <w:rsid w:val="00261A8D"/>
    <w:rsid w:val="00273CFA"/>
    <w:rsid w:val="00283C1C"/>
    <w:rsid w:val="00291A00"/>
    <w:rsid w:val="00291A11"/>
    <w:rsid w:val="002A315C"/>
    <w:rsid w:val="002A3342"/>
    <w:rsid w:val="002A64BA"/>
    <w:rsid w:val="002B4989"/>
    <w:rsid w:val="002C2510"/>
    <w:rsid w:val="002D714E"/>
    <w:rsid w:val="002E53C3"/>
    <w:rsid w:val="002F1468"/>
    <w:rsid w:val="002F5F0C"/>
    <w:rsid w:val="002F66E3"/>
    <w:rsid w:val="003265EB"/>
    <w:rsid w:val="0034329E"/>
    <w:rsid w:val="00343FAA"/>
    <w:rsid w:val="00347F5E"/>
    <w:rsid w:val="00353C98"/>
    <w:rsid w:val="00371A20"/>
    <w:rsid w:val="003821B4"/>
    <w:rsid w:val="00382CF3"/>
    <w:rsid w:val="00387D52"/>
    <w:rsid w:val="00397ADD"/>
    <w:rsid w:val="003A36B3"/>
    <w:rsid w:val="003A7CEA"/>
    <w:rsid w:val="003B6F65"/>
    <w:rsid w:val="003F0BD3"/>
    <w:rsid w:val="003F278A"/>
    <w:rsid w:val="003F7A02"/>
    <w:rsid w:val="00422EA5"/>
    <w:rsid w:val="00422EFA"/>
    <w:rsid w:val="0042791F"/>
    <w:rsid w:val="004456ED"/>
    <w:rsid w:val="0048045A"/>
    <w:rsid w:val="004841B8"/>
    <w:rsid w:val="00486970"/>
    <w:rsid w:val="004930F2"/>
    <w:rsid w:val="004B0F1C"/>
    <w:rsid w:val="004D1906"/>
    <w:rsid w:val="004F2EE6"/>
    <w:rsid w:val="005012B9"/>
    <w:rsid w:val="00502DBA"/>
    <w:rsid w:val="005040C4"/>
    <w:rsid w:val="00507637"/>
    <w:rsid w:val="00507852"/>
    <w:rsid w:val="00514DBF"/>
    <w:rsid w:val="00550921"/>
    <w:rsid w:val="00563712"/>
    <w:rsid w:val="00564F67"/>
    <w:rsid w:val="00573631"/>
    <w:rsid w:val="00573C0B"/>
    <w:rsid w:val="005768D7"/>
    <w:rsid w:val="00576CFA"/>
    <w:rsid w:val="0058556D"/>
    <w:rsid w:val="00592AF2"/>
    <w:rsid w:val="005947AD"/>
    <w:rsid w:val="00597748"/>
    <w:rsid w:val="005979E8"/>
    <w:rsid w:val="005B2719"/>
    <w:rsid w:val="005D0AF4"/>
    <w:rsid w:val="005E54BD"/>
    <w:rsid w:val="005F6CCA"/>
    <w:rsid w:val="006104AF"/>
    <w:rsid w:val="00611362"/>
    <w:rsid w:val="00621893"/>
    <w:rsid w:val="006351E1"/>
    <w:rsid w:val="006447B1"/>
    <w:rsid w:val="00662775"/>
    <w:rsid w:val="006852FC"/>
    <w:rsid w:val="00694499"/>
    <w:rsid w:val="006B40AB"/>
    <w:rsid w:val="006B5DC5"/>
    <w:rsid w:val="006C4BFD"/>
    <w:rsid w:val="006C7D30"/>
    <w:rsid w:val="006D207C"/>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443FF"/>
    <w:rsid w:val="009A7E3A"/>
    <w:rsid w:val="009B1265"/>
    <w:rsid w:val="009B4A15"/>
    <w:rsid w:val="009B5693"/>
    <w:rsid w:val="009C61A2"/>
    <w:rsid w:val="009C78E4"/>
    <w:rsid w:val="009D687E"/>
    <w:rsid w:val="009F6DE7"/>
    <w:rsid w:val="00A10583"/>
    <w:rsid w:val="00A37FCB"/>
    <w:rsid w:val="00A54863"/>
    <w:rsid w:val="00A61D74"/>
    <w:rsid w:val="00A76005"/>
    <w:rsid w:val="00A8688B"/>
    <w:rsid w:val="00A91163"/>
    <w:rsid w:val="00A9286F"/>
    <w:rsid w:val="00A96255"/>
    <w:rsid w:val="00AB21FA"/>
    <w:rsid w:val="00AB285B"/>
    <w:rsid w:val="00AC1F56"/>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4B96"/>
    <w:rsid w:val="00BB646E"/>
    <w:rsid w:val="00BD0A68"/>
    <w:rsid w:val="00BD1BA1"/>
    <w:rsid w:val="00C019E5"/>
    <w:rsid w:val="00C35BC4"/>
    <w:rsid w:val="00C43F5B"/>
    <w:rsid w:val="00C94B20"/>
    <w:rsid w:val="00CB4371"/>
    <w:rsid w:val="00CC516D"/>
    <w:rsid w:val="00D24330"/>
    <w:rsid w:val="00D40056"/>
    <w:rsid w:val="00D51E7C"/>
    <w:rsid w:val="00D54F29"/>
    <w:rsid w:val="00D7020C"/>
    <w:rsid w:val="00D70AD9"/>
    <w:rsid w:val="00D72152"/>
    <w:rsid w:val="00D942BA"/>
    <w:rsid w:val="00D94BA5"/>
    <w:rsid w:val="00D9510F"/>
    <w:rsid w:val="00D95579"/>
    <w:rsid w:val="00DA615C"/>
    <w:rsid w:val="00DD1BC6"/>
    <w:rsid w:val="00DD5DE9"/>
    <w:rsid w:val="00DE5DC3"/>
    <w:rsid w:val="00E00D8A"/>
    <w:rsid w:val="00E1050F"/>
    <w:rsid w:val="00E11604"/>
    <w:rsid w:val="00E11D92"/>
    <w:rsid w:val="00E130A0"/>
    <w:rsid w:val="00E210C4"/>
    <w:rsid w:val="00E23DB7"/>
    <w:rsid w:val="00E31F2F"/>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377DC"/>
    <w:rsid w:val="00F4130B"/>
    <w:rsid w:val="00F54A6C"/>
    <w:rsid w:val="00F556A2"/>
    <w:rsid w:val="00F70A66"/>
    <w:rsid w:val="00F719A8"/>
    <w:rsid w:val="00F878B9"/>
    <w:rsid w:val="00FA714A"/>
    <w:rsid w:val="00FB24E8"/>
    <w:rsid w:val="00FB3B2B"/>
    <w:rsid w:val="00FC18DA"/>
    <w:rsid w:val="00FC3917"/>
    <w:rsid w:val="00FD60DA"/>
    <w:rsid w:val="00FF07B4"/>
    <w:rsid w:val="01FE9CB3"/>
    <w:rsid w:val="031B9AC8"/>
    <w:rsid w:val="25316EE1"/>
    <w:rsid w:val="39DF3A99"/>
    <w:rsid w:val="75C3850F"/>
    <w:rsid w:val="7CCDD3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F70A66"/>
  </w:style>
  <w:style w:type="character" w:customStyle="1" w:styleId="eop">
    <w:name w:val="eop"/>
    <w:basedOn w:val="DefaultParagraphFont"/>
    <w:rsid w:val="00F70A66"/>
  </w:style>
  <w:style w:type="paragraph" w:customStyle="1" w:styleId="paragraph">
    <w:name w:val="paragraph"/>
    <w:basedOn w:val="Normal"/>
    <w:rsid w:val="00F70A6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F70A66"/>
  </w:style>
  <w:style w:type="paragraph" w:styleId="FootnoteText">
    <w:name w:val="footnote text"/>
    <w:basedOn w:val="Normal"/>
    <w:link w:val="FootnoteTextChar"/>
    <w:uiPriority w:val="99"/>
    <w:unhideWhenUsed/>
    <w:rsid w:val="00F70A66"/>
    <w:pPr>
      <w:spacing w:after="0" w:line="240" w:lineRule="auto"/>
    </w:pPr>
    <w:rPr>
      <w:sz w:val="20"/>
      <w:szCs w:val="20"/>
    </w:rPr>
  </w:style>
  <w:style w:type="character" w:customStyle="1" w:styleId="FootnoteTextChar">
    <w:name w:val="Footnote Text Char"/>
    <w:basedOn w:val="DefaultParagraphFont"/>
    <w:link w:val="FootnoteText"/>
    <w:uiPriority w:val="99"/>
    <w:rsid w:val="00F70A66"/>
    <w:rPr>
      <w:sz w:val="20"/>
      <w:szCs w:val="20"/>
    </w:rPr>
  </w:style>
  <w:style w:type="character" w:styleId="FootnoteReference">
    <w:name w:val="footnote reference"/>
    <w:basedOn w:val="DefaultParagraphFont"/>
    <w:uiPriority w:val="99"/>
    <w:unhideWhenUsed/>
    <w:rsid w:val="00F70A66"/>
    <w:rPr>
      <w:vertAlign w:val="superscript"/>
    </w:rPr>
  </w:style>
  <w:style w:type="numbering" w:customStyle="1" w:styleId="NoList1">
    <w:name w:val="No List1"/>
    <w:next w:val="NoList"/>
    <w:uiPriority w:val="99"/>
    <w:semiHidden/>
    <w:unhideWhenUsed/>
    <w:rsid w:val="009443FF"/>
  </w:style>
  <w:style w:type="table" w:customStyle="1" w:styleId="TableGrid1">
    <w:name w:val="Table Grid1"/>
    <w:basedOn w:val="TableNormal"/>
    <w:next w:val="TableGrid"/>
    <w:uiPriority w:val="59"/>
    <w:rsid w:val="0094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43FF"/>
    <w:rPr>
      <w:color w:val="800080" w:themeColor="followedHyperlink"/>
      <w:u w:val="single"/>
    </w:rPr>
  </w:style>
  <w:style w:type="paragraph" w:styleId="TOCHeading">
    <w:name w:val="TOC Heading"/>
    <w:basedOn w:val="Heading1"/>
    <w:next w:val="Normal"/>
    <w:uiPriority w:val="39"/>
    <w:semiHidden/>
    <w:unhideWhenUsed/>
    <w:qFormat/>
    <w:rsid w:val="009443FF"/>
    <w:pPr>
      <w:spacing w:line="276" w:lineRule="auto"/>
      <w:jc w:val="left"/>
      <w:outlineLvl w:val="9"/>
    </w:pPr>
    <w:rPr>
      <w:lang w:val="en-US" w:eastAsia="ja-JP"/>
    </w:rPr>
  </w:style>
  <w:style w:type="paragraph" w:styleId="TOC3">
    <w:name w:val="toc 3"/>
    <w:basedOn w:val="Normal"/>
    <w:next w:val="Normal"/>
    <w:autoRedefine/>
    <w:uiPriority w:val="39"/>
    <w:unhideWhenUsed/>
    <w:rsid w:val="009443FF"/>
    <w:pPr>
      <w:spacing w:after="100"/>
      <w:ind w:left="440"/>
    </w:pPr>
  </w:style>
  <w:style w:type="paragraph" w:styleId="TOC2">
    <w:name w:val="toc 2"/>
    <w:basedOn w:val="Normal"/>
    <w:next w:val="Normal"/>
    <w:autoRedefine/>
    <w:uiPriority w:val="39"/>
    <w:unhideWhenUsed/>
    <w:rsid w:val="009443FF"/>
    <w:pPr>
      <w:spacing w:after="100"/>
      <w:ind w:left="220"/>
    </w:pPr>
  </w:style>
  <w:style w:type="character" w:customStyle="1" w:styleId="Hyperlink1">
    <w:name w:val="Hyperlink1"/>
    <w:basedOn w:val="DefaultParagraphFont"/>
    <w:uiPriority w:val="99"/>
    <w:unhideWhenUsed/>
    <w:rsid w:val="00944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99151">
      <w:bodyDiv w:val="1"/>
      <w:marLeft w:val="0"/>
      <w:marRight w:val="0"/>
      <w:marTop w:val="0"/>
      <w:marBottom w:val="0"/>
      <w:divBdr>
        <w:top w:val="none" w:sz="0" w:space="0" w:color="auto"/>
        <w:left w:val="none" w:sz="0" w:space="0" w:color="auto"/>
        <w:bottom w:val="none" w:sz="0" w:space="0" w:color="auto"/>
        <w:right w:val="none" w:sz="0" w:space="0" w:color="auto"/>
      </w:divBdr>
      <w:divsChild>
        <w:div w:id="1874492639">
          <w:marLeft w:val="0"/>
          <w:marRight w:val="0"/>
          <w:marTop w:val="0"/>
          <w:marBottom w:val="0"/>
          <w:divBdr>
            <w:top w:val="none" w:sz="0" w:space="0" w:color="auto"/>
            <w:left w:val="none" w:sz="0" w:space="0" w:color="auto"/>
            <w:bottom w:val="none" w:sz="0" w:space="0" w:color="auto"/>
            <w:right w:val="none" w:sz="0" w:space="0" w:color="auto"/>
          </w:divBdr>
        </w:div>
        <w:div w:id="720328154">
          <w:marLeft w:val="0"/>
          <w:marRight w:val="0"/>
          <w:marTop w:val="0"/>
          <w:marBottom w:val="0"/>
          <w:divBdr>
            <w:top w:val="none" w:sz="0" w:space="0" w:color="auto"/>
            <w:left w:val="none" w:sz="0" w:space="0" w:color="auto"/>
            <w:bottom w:val="none" w:sz="0" w:space="0" w:color="auto"/>
            <w:right w:val="none" w:sz="0" w:space="0" w:color="auto"/>
          </w:divBdr>
        </w:div>
        <w:div w:id="644698144">
          <w:marLeft w:val="0"/>
          <w:marRight w:val="0"/>
          <w:marTop w:val="0"/>
          <w:marBottom w:val="0"/>
          <w:divBdr>
            <w:top w:val="none" w:sz="0" w:space="0" w:color="auto"/>
            <w:left w:val="none" w:sz="0" w:space="0" w:color="auto"/>
            <w:bottom w:val="none" w:sz="0" w:space="0" w:color="auto"/>
            <w:right w:val="none" w:sz="0" w:space="0" w:color="auto"/>
          </w:divBdr>
          <w:divsChild>
            <w:div w:id="595600592">
              <w:marLeft w:val="0"/>
              <w:marRight w:val="0"/>
              <w:marTop w:val="0"/>
              <w:marBottom w:val="0"/>
              <w:divBdr>
                <w:top w:val="none" w:sz="0" w:space="0" w:color="auto"/>
                <w:left w:val="none" w:sz="0" w:space="0" w:color="auto"/>
                <w:bottom w:val="none" w:sz="0" w:space="0" w:color="auto"/>
                <w:right w:val="none" w:sz="0" w:space="0" w:color="auto"/>
              </w:divBdr>
            </w:div>
            <w:div w:id="1414623672">
              <w:marLeft w:val="0"/>
              <w:marRight w:val="0"/>
              <w:marTop w:val="0"/>
              <w:marBottom w:val="0"/>
              <w:divBdr>
                <w:top w:val="none" w:sz="0" w:space="0" w:color="auto"/>
                <w:left w:val="none" w:sz="0" w:space="0" w:color="auto"/>
                <w:bottom w:val="none" w:sz="0" w:space="0" w:color="auto"/>
                <w:right w:val="none" w:sz="0" w:space="0" w:color="auto"/>
              </w:divBdr>
            </w:div>
            <w:div w:id="1095437762">
              <w:marLeft w:val="0"/>
              <w:marRight w:val="0"/>
              <w:marTop w:val="0"/>
              <w:marBottom w:val="0"/>
              <w:divBdr>
                <w:top w:val="none" w:sz="0" w:space="0" w:color="auto"/>
                <w:left w:val="none" w:sz="0" w:space="0" w:color="auto"/>
                <w:bottom w:val="none" w:sz="0" w:space="0" w:color="auto"/>
                <w:right w:val="none" w:sz="0" w:space="0" w:color="auto"/>
              </w:divBdr>
            </w:div>
            <w:div w:id="1371033422">
              <w:marLeft w:val="0"/>
              <w:marRight w:val="0"/>
              <w:marTop w:val="0"/>
              <w:marBottom w:val="0"/>
              <w:divBdr>
                <w:top w:val="none" w:sz="0" w:space="0" w:color="auto"/>
                <w:left w:val="none" w:sz="0" w:space="0" w:color="auto"/>
                <w:bottom w:val="none" w:sz="0" w:space="0" w:color="auto"/>
                <w:right w:val="none" w:sz="0" w:space="0" w:color="auto"/>
              </w:divBdr>
            </w:div>
            <w:div w:id="1282883052">
              <w:marLeft w:val="0"/>
              <w:marRight w:val="0"/>
              <w:marTop w:val="0"/>
              <w:marBottom w:val="0"/>
              <w:divBdr>
                <w:top w:val="none" w:sz="0" w:space="0" w:color="auto"/>
                <w:left w:val="none" w:sz="0" w:space="0" w:color="auto"/>
                <w:bottom w:val="none" w:sz="0" w:space="0" w:color="auto"/>
                <w:right w:val="none" w:sz="0" w:space="0" w:color="auto"/>
              </w:divBdr>
            </w:div>
          </w:divsChild>
        </w:div>
        <w:div w:id="1901355613">
          <w:marLeft w:val="0"/>
          <w:marRight w:val="0"/>
          <w:marTop w:val="0"/>
          <w:marBottom w:val="0"/>
          <w:divBdr>
            <w:top w:val="none" w:sz="0" w:space="0" w:color="auto"/>
            <w:left w:val="none" w:sz="0" w:space="0" w:color="auto"/>
            <w:bottom w:val="none" w:sz="0" w:space="0" w:color="auto"/>
            <w:right w:val="none" w:sz="0" w:space="0" w:color="auto"/>
          </w:divBdr>
          <w:divsChild>
            <w:div w:id="1157765428">
              <w:marLeft w:val="0"/>
              <w:marRight w:val="0"/>
              <w:marTop w:val="0"/>
              <w:marBottom w:val="0"/>
              <w:divBdr>
                <w:top w:val="none" w:sz="0" w:space="0" w:color="auto"/>
                <w:left w:val="none" w:sz="0" w:space="0" w:color="auto"/>
                <w:bottom w:val="none" w:sz="0" w:space="0" w:color="auto"/>
                <w:right w:val="none" w:sz="0" w:space="0" w:color="auto"/>
              </w:divBdr>
            </w:div>
          </w:divsChild>
        </w:div>
        <w:div w:id="1750805731">
          <w:marLeft w:val="0"/>
          <w:marRight w:val="0"/>
          <w:marTop w:val="0"/>
          <w:marBottom w:val="0"/>
          <w:divBdr>
            <w:top w:val="none" w:sz="0" w:space="0" w:color="auto"/>
            <w:left w:val="none" w:sz="0" w:space="0" w:color="auto"/>
            <w:bottom w:val="none" w:sz="0" w:space="0" w:color="auto"/>
            <w:right w:val="none" w:sz="0" w:space="0" w:color="auto"/>
          </w:divBdr>
          <w:divsChild>
            <w:div w:id="1205211601">
              <w:marLeft w:val="0"/>
              <w:marRight w:val="0"/>
              <w:marTop w:val="0"/>
              <w:marBottom w:val="0"/>
              <w:divBdr>
                <w:top w:val="none" w:sz="0" w:space="0" w:color="auto"/>
                <w:left w:val="none" w:sz="0" w:space="0" w:color="auto"/>
                <w:bottom w:val="none" w:sz="0" w:space="0" w:color="auto"/>
                <w:right w:val="none" w:sz="0" w:space="0" w:color="auto"/>
              </w:divBdr>
            </w:div>
            <w:div w:id="40982009">
              <w:marLeft w:val="0"/>
              <w:marRight w:val="0"/>
              <w:marTop w:val="0"/>
              <w:marBottom w:val="0"/>
              <w:divBdr>
                <w:top w:val="none" w:sz="0" w:space="0" w:color="auto"/>
                <w:left w:val="none" w:sz="0" w:space="0" w:color="auto"/>
                <w:bottom w:val="none" w:sz="0" w:space="0" w:color="auto"/>
                <w:right w:val="none" w:sz="0" w:space="0" w:color="auto"/>
              </w:divBdr>
            </w:div>
            <w:div w:id="421069513">
              <w:marLeft w:val="0"/>
              <w:marRight w:val="0"/>
              <w:marTop w:val="0"/>
              <w:marBottom w:val="0"/>
              <w:divBdr>
                <w:top w:val="none" w:sz="0" w:space="0" w:color="auto"/>
                <w:left w:val="none" w:sz="0" w:space="0" w:color="auto"/>
                <w:bottom w:val="none" w:sz="0" w:space="0" w:color="auto"/>
                <w:right w:val="none" w:sz="0" w:space="0" w:color="auto"/>
              </w:divBdr>
            </w:div>
            <w:div w:id="1307972928">
              <w:marLeft w:val="0"/>
              <w:marRight w:val="0"/>
              <w:marTop w:val="0"/>
              <w:marBottom w:val="0"/>
              <w:divBdr>
                <w:top w:val="none" w:sz="0" w:space="0" w:color="auto"/>
                <w:left w:val="none" w:sz="0" w:space="0" w:color="auto"/>
                <w:bottom w:val="none" w:sz="0" w:space="0" w:color="auto"/>
                <w:right w:val="none" w:sz="0" w:space="0" w:color="auto"/>
              </w:divBdr>
            </w:div>
            <w:div w:id="638339607">
              <w:marLeft w:val="0"/>
              <w:marRight w:val="0"/>
              <w:marTop w:val="0"/>
              <w:marBottom w:val="0"/>
              <w:divBdr>
                <w:top w:val="none" w:sz="0" w:space="0" w:color="auto"/>
                <w:left w:val="none" w:sz="0" w:space="0" w:color="auto"/>
                <w:bottom w:val="none" w:sz="0" w:space="0" w:color="auto"/>
                <w:right w:val="none" w:sz="0" w:space="0" w:color="auto"/>
              </w:divBdr>
            </w:div>
          </w:divsChild>
        </w:div>
        <w:div w:id="311763570">
          <w:marLeft w:val="0"/>
          <w:marRight w:val="0"/>
          <w:marTop w:val="0"/>
          <w:marBottom w:val="0"/>
          <w:divBdr>
            <w:top w:val="none" w:sz="0" w:space="0" w:color="auto"/>
            <w:left w:val="none" w:sz="0" w:space="0" w:color="auto"/>
            <w:bottom w:val="none" w:sz="0" w:space="0" w:color="auto"/>
            <w:right w:val="none" w:sz="0" w:space="0" w:color="auto"/>
          </w:divBdr>
          <w:divsChild>
            <w:div w:id="688067114">
              <w:marLeft w:val="0"/>
              <w:marRight w:val="0"/>
              <w:marTop w:val="0"/>
              <w:marBottom w:val="0"/>
              <w:divBdr>
                <w:top w:val="none" w:sz="0" w:space="0" w:color="auto"/>
                <w:left w:val="none" w:sz="0" w:space="0" w:color="auto"/>
                <w:bottom w:val="none" w:sz="0" w:space="0" w:color="auto"/>
                <w:right w:val="none" w:sz="0" w:space="0" w:color="auto"/>
              </w:divBdr>
            </w:div>
            <w:div w:id="245774015">
              <w:marLeft w:val="0"/>
              <w:marRight w:val="0"/>
              <w:marTop w:val="0"/>
              <w:marBottom w:val="0"/>
              <w:divBdr>
                <w:top w:val="none" w:sz="0" w:space="0" w:color="auto"/>
                <w:left w:val="none" w:sz="0" w:space="0" w:color="auto"/>
                <w:bottom w:val="none" w:sz="0" w:space="0" w:color="auto"/>
                <w:right w:val="none" w:sz="0" w:space="0" w:color="auto"/>
              </w:divBdr>
            </w:div>
            <w:div w:id="1120032404">
              <w:marLeft w:val="0"/>
              <w:marRight w:val="0"/>
              <w:marTop w:val="0"/>
              <w:marBottom w:val="0"/>
              <w:divBdr>
                <w:top w:val="none" w:sz="0" w:space="0" w:color="auto"/>
                <w:left w:val="none" w:sz="0" w:space="0" w:color="auto"/>
                <w:bottom w:val="none" w:sz="0" w:space="0" w:color="auto"/>
                <w:right w:val="none" w:sz="0" w:space="0" w:color="auto"/>
              </w:divBdr>
            </w:div>
            <w:div w:id="1111514090">
              <w:marLeft w:val="0"/>
              <w:marRight w:val="0"/>
              <w:marTop w:val="0"/>
              <w:marBottom w:val="0"/>
              <w:divBdr>
                <w:top w:val="none" w:sz="0" w:space="0" w:color="auto"/>
                <w:left w:val="none" w:sz="0" w:space="0" w:color="auto"/>
                <w:bottom w:val="none" w:sz="0" w:space="0" w:color="auto"/>
                <w:right w:val="none" w:sz="0" w:space="0" w:color="auto"/>
              </w:divBdr>
            </w:div>
            <w:div w:id="474878998">
              <w:marLeft w:val="0"/>
              <w:marRight w:val="0"/>
              <w:marTop w:val="0"/>
              <w:marBottom w:val="0"/>
              <w:divBdr>
                <w:top w:val="none" w:sz="0" w:space="0" w:color="auto"/>
                <w:left w:val="none" w:sz="0" w:space="0" w:color="auto"/>
                <w:bottom w:val="none" w:sz="0" w:space="0" w:color="auto"/>
                <w:right w:val="none" w:sz="0" w:space="0" w:color="auto"/>
              </w:divBdr>
            </w:div>
          </w:divsChild>
        </w:div>
        <w:div w:id="122887300">
          <w:marLeft w:val="0"/>
          <w:marRight w:val="0"/>
          <w:marTop w:val="0"/>
          <w:marBottom w:val="0"/>
          <w:divBdr>
            <w:top w:val="none" w:sz="0" w:space="0" w:color="auto"/>
            <w:left w:val="none" w:sz="0" w:space="0" w:color="auto"/>
            <w:bottom w:val="none" w:sz="0" w:space="0" w:color="auto"/>
            <w:right w:val="none" w:sz="0" w:space="0" w:color="auto"/>
          </w:divBdr>
          <w:divsChild>
            <w:div w:id="55860350">
              <w:marLeft w:val="0"/>
              <w:marRight w:val="0"/>
              <w:marTop w:val="0"/>
              <w:marBottom w:val="0"/>
              <w:divBdr>
                <w:top w:val="none" w:sz="0" w:space="0" w:color="auto"/>
                <w:left w:val="none" w:sz="0" w:space="0" w:color="auto"/>
                <w:bottom w:val="none" w:sz="0" w:space="0" w:color="auto"/>
                <w:right w:val="none" w:sz="0" w:space="0" w:color="auto"/>
              </w:divBdr>
            </w:div>
            <w:div w:id="2034112753">
              <w:marLeft w:val="0"/>
              <w:marRight w:val="0"/>
              <w:marTop w:val="0"/>
              <w:marBottom w:val="0"/>
              <w:divBdr>
                <w:top w:val="none" w:sz="0" w:space="0" w:color="auto"/>
                <w:left w:val="none" w:sz="0" w:space="0" w:color="auto"/>
                <w:bottom w:val="none" w:sz="0" w:space="0" w:color="auto"/>
                <w:right w:val="none" w:sz="0" w:space="0" w:color="auto"/>
              </w:divBdr>
            </w:div>
            <w:div w:id="150099267">
              <w:marLeft w:val="0"/>
              <w:marRight w:val="0"/>
              <w:marTop w:val="0"/>
              <w:marBottom w:val="0"/>
              <w:divBdr>
                <w:top w:val="none" w:sz="0" w:space="0" w:color="auto"/>
                <w:left w:val="none" w:sz="0" w:space="0" w:color="auto"/>
                <w:bottom w:val="none" w:sz="0" w:space="0" w:color="auto"/>
                <w:right w:val="none" w:sz="0" w:space="0" w:color="auto"/>
              </w:divBdr>
            </w:div>
            <w:div w:id="2128307410">
              <w:marLeft w:val="0"/>
              <w:marRight w:val="0"/>
              <w:marTop w:val="0"/>
              <w:marBottom w:val="0"/>
              <w:divBdr>
                <w:top w:val="none" w:sz="0" w:space="0" w:color="auto"/>
                <w:left w:val="none" w:sz="0" w:space="0" w:color="auto"/>
                <w:bottom w:val="none" w:sz="0" w:space="0" w:color="auto"/>
                <w:right w:val="none" w:sz="0" w:space="0" w:color="auto"/>
              </w:divBdr>
            </w:div>
            <w:div w:id="1684699615">
              <w:marLeft w:val="0"/>
              <w:marRight w:val="0"/>
              <w:marTop w:val="0"/>
              <w:marBottom w:val="0"/>
              <w:divBdr>
                <w:top w:val="none" w:sz="0" w:space="0" w:color="auto"/>
                <w:left w:val="none" w:sz="0" w:space="0" w:color="auto"/>
                <w:bottom w:val="none" w:sz="0" w:space="0" w:color="auto"/>
                <w:right w:val="none" w:sz="0" w:space="0" w:color="auto"/>
              </w:divBdr>
            </w:div>
          </w:divsChild>
        </w:div>
        <w:div w:id="432360287">
          <w:marLeft w:val="0"/>
          <w:marRight w:val="0"/>
          <w:marTop w:val="0"/>
          <w:marBottom w:val="0"/>
          <w:divBdr>
            <w:top w:val="none" w:sz="0" w:space="0" w:color="auto"/>
            <w:left w:val="none" w:sz="0" w:space="0" w:color="auto"/>
            <w:bottom w:val="none" w:sz="0" w:space="0" w:color="auto"/>
            <w:right w:val="none" w:sz="0" w:space="0" w:color="auto"/>
          </w:divBdr>
          <w:divsChild>
            <w:div w:id="206571590">
              <w:marLeft w:val="0"/>
              <w:marRight w:val="0"/>
              <w:marTop w:val="0"/>
              <w:marBottom w:val="0"/>
              <w:divBdr>
                <w:top w:val="none" w:sz="0" w:space="0" w:color="auto"/>
                <w:left w:val="none" w:sz="0" w:space="0" w:color="auto"/>
                <w:bottom w:val="none" w:sz="0" w:space="0" w:color="auto"/>
                <w:right w:val="none" w:sz="0" w:space="0" w:color="auto"/>
              </w:divBdr>
            </w:div>
            <w:div w:id="1860506576">
              <w:marLeft w:val="0"/>
              <w:marRight w:val="0"/>
              <w:marTop w:val="0"/>
              <w:marBottom w:val="0"/>
              <w:divBdr>
                <w:top w:val="none" w:sz="0" w:space="0" w:color="auto"/>
                <w:left w:val="none" w:sz="0" w:space="0" w:color="auto"/>
                <w:bottom w:val="none" w:sz="0" w:space="0" w:color="auto"/>
                <w:right w:val="none" w:sz="0" w:space="0" w:color="auto"/>
              </w:divBdr>
            </w:div>
            <w:div w:id="243074238">
              <w:marLeft w:val="0"/>
              <w:marRight w:val="0"/>
              <w:marTop w:val="0"/>
              <w:marBottom w:val="0"/>
              <w:divBdr>
                <w:top w:val="none" w:sz="0" w:space="0" w:color="auto"/>
                <w:left w:val="none" w:sz="0" w:space="0" w:color="auto"/>
                <w:bottom w:val="none" w:sz="0" w:space="0" w:color="auto"/>
                <w:right w:val="none" w:sz="0" w:space="0" w:color="auto"/>
              </w:divBdr>
            </w:div>
            <w:div w:id="1816141396">
              <w:marLeft w:val="0"/>
              <w:marRight w:val="0"/>
              <w:marTop w:val="0"/>
              <w:marBottom w:val="0"/>
              <w:divBdr>
                <w:top w:val="none" w:sz="0" w:space="0" w:color="auto"/>
                <w:left w:val="none" w:sz="0" w:space="0" w:color="auto"/>
                <w:bottom w:val="none" w:sz="0" w:space="0" w:color="auto"/>
                <w:right w:val="none" w:sz="0" w:space="0" w:color="auto"/>
              </w:divBdr>
            </w:div>
            <w:div w:id="383404935">
              <w:marLeft w:val="0"/>
              <w:marRight w:val="0"/>
              <w:marTop w:val="0"/>
              <w:marBottom w:val="0"/>
              <w:divBdr>
                <w:top w:val="none" w:sz="0" w:space="0" w:color="auto"/>
                <w:left w:val="none" w:sz="0" w:space="0" w:color="auto"/>
                <w:bottom w:val="none" w:sz="0" w:space="0" w:color="auto"/>
                <w:right w:val="none" w:sz="0" w:space="0" w:color="auto"/>
              </w:divBdr>
            </w:div>
          </w:divsChild>
        </w:div>
        <w:div w:id="1153106766">
          <w:marLeft w:val="0"/>
          <w:marRight w:val="0"/>
          <w:marTop w:val="0"/>
          <w:marBottom w:val="0"/>
          <w:divBdr>
            <w:top w:val="none" w:sz="0" w:space="0" w:color="auto"/>
            <w:left w:val="none" w:sz="0" w:space="0" w:color="auto"/>
            <w:bottom w:val="none" w:sz="0" w:space="0" w:color="auto"/>
            <w:right w:val="none" w:sz="0" w:space="0" w:color="auto"/>
          </w:divBdr>
          <w:divsChild>
            <w:div w:id="75440031">
              <w:marLeft w:val="0"/>
              <w:marRight w:val="0"/>
              <w:marTop w:val="0"/>
              <w:marBottom w:val="0"/>
              <w:divBdr>
                <w:top w:val="none" w:sz="0" w:space="0" w:color="auto"/>
                <w:left w:val="none" w:sz="0" w:space="0" w:color="auto"/>
                <w:bottom w:val="none" w:sz="0" w:space="0" w:color="auto"/>
                <w:right w:val="none" w:sz="0" w:space="0" w:color="auto"/>
              </w:divBdr>
            </w:div>
            <w:div w:id="719091485">
              <w:marLeft w:val="0"/>
              <w:marRight w:val="0"/>
              <w:marTop w:val="0"/>
              <w:marBottom w:val="0"/>
              <w:divBdr>
                <w:top w:val="none" w:sz="0" w:space="0" w:color="auto"/>
                <w:left w:val="none" w:sz="0" w:space="0" w:color="auto"/>
                <w:bottom w:val="none" w:sz="0" w:space="0" w:color="auto"/>
                <w:right w:val="none" w:sz="0" w:space="0" w:color="auto"/>
              </w:divBdr>
            </w:div>
            <w:div w:id="1658722304">
              <w:marLeft w:val="0"/>
              <w:marRight w:val="0"/>
              <w:marTop w:val="0"/>
              <w:marBottom w:val="0"/>
              <w:divBdr>
                <w:top w:val="none" w:sz="0" w:space="0" w:color="auto"/>
                <w:left w:val="none" w:sz="0" w:space="0" w:color="auto"/>
                <w:bottom w:val="none" w:sz="0" w:space="0" w:color="auto"/>
                <w:right w:val="none" w:sz="0" w:space="0" w:color="auto"/>
              </w:divBdr>
            </w:div>
            <w:div w:id="1173256530">
              <w:marLeft w:val="0"/>
              <w:marRight w:val="0"/>
              <w:marTop w:val="0"/>
              <w:marBottom w:val="0"/>
              <w:divBdr>
                <w:top w:val="none" w:sz="0" w:space="0" w:color="auto"/>
                <w:left w:val="none" w:sz="0" w:space="0" w:color="auto"/>
                <w:bottom w:val="none" w:sz="0" w:space="0" w:color="auto"/>
                <w:right w:val="none" w:sz="0" w:space="0" w:color="auto"/>
              </w:divBdr>
            </w:div>
            <w:div w:id="1046175692">
              <w:marLeft w:val="0"/>
              <w:marRight w:val="0"/>
              <w:marTop w:val="0"/>
              <w:marBottom w:val="0"/>
              <w:divBdr>
                <w:top w:val="none" w:sz="0" w:space="0" w:color="auto"/>
                <w:left w:val="none" w:sz="0" w:space="0" w:color="auto"/>
                <w:bottom w:val="none" w:sz="0" w:space="0" w:color="auto"/>
                <w:right w:val="none" w:sz="0" w:space="0" w:color="auto"/>
              </w:divBdr>
            </w:div>
          </w:divsChild>
        </w:div>
        <w:div w:id="1870483910">
          <w:marLeft w:val="0"/>
          <w:marRight w:val="0"/>
          <w:marTop w:val="0"/>
          <w:marBottom w:val="0"/>
          <w:divBdr>
            <w:top w:val="none" w:sz="0" w:space="0" w:color="auto"/>
            <w:left w:val="none" w:sz="0" w:space="0" w:color="auto"/>
            <w:bottom w:val="none" w:sz="0" w:space="0" w:color="auto"/>
            <w:right w:val="none" w:sz="0" w:space="0" w:color="auto"/>
          </w:divBdr>
          <w:divsChild>
            <w:div w:id="1327976583">
              <w:marLeft w:val="0"/>
              <w:marRight w:val="0"/>
              <w:marTop w:val="0"/>
              <w:marBottom w:val="0"/>
              <w:divBdr>
                <w:top w:val="none" w:sz="0" w:space="0" w:color="auto"/>
                <w:left w:val="none" w:sz="0" w:space="0" w:color="auto"/>
                <w:bottom w:val="none" w:sz="0" w:space="0" w:color="auto"/>
                <w:right w:val="none" w:sz="0" w:space="0" w:color="auto"/>
              </w:divBdr>
            </w:div>
            <w:div w:id="739911553">
              <w:marLeft w:val="0"/>
              <w:marRight w:val="0"/>
              <w:marTop w:val="0"/>
              <w:marBottom w:val="0"/>
              <w:divBdr>
                <w:top w:val="none" w:sz="0" w:space="0" w:color="auto"/>
                <w:left w:val="none" w:sz="0" w:space="0" w:color="auto"/>
                <w:bottom w:val="none" w:sz="0" w:space="0" w:color="auto"/>
                <w:right w:val="none" w:sz="0" w:space="0" w:color="auto"/>
              </w:divBdr>
            </w:div>
            <w:div w:id="977758490">
              <w:marLeft w:val="0"/>
              <w:marRight w:val="0"/>
              <w:marTop w:val="0"/>
              <w:marBottom w:val="0"/>
              <w:divBdr>
                <w:top w:val="none" w:sz="0" w:space="0" w:color="auto"/>
                <w:left w:val="none" w:sz="0" w:space="0" w:color="auto"/>
                <w:bottom w:val="none" w:sz="0" w:space="0" w:color="auto"/>
                <w:right w:val="none" w:sz="0" w:space="0" w:color="auto"/>
              </w:divBdr>
            </w:div>
            <w:div w:id="2048337188">
              <w:marLeft w:val="0"/>
              <w:marRight w:val="0"/>
              <w:marTop w:val="0"/>
              <w:marBottom w:val="0"/>
              <w:divBdr>
                <w:top w:val="none" w:sz="0" w:space="0" w:color="auto"/>
                <w:left w:val="none" w:sz="0" w:space="0" w:color="auto"/>
                <w:bottom w:val="none" w:sz="0" w:space="0" w:color="auto"/>
                <w:right w:val="none" w:sz="0" w:space="0" w:color="auto"/>
              </w:divBdr>
            </w:div>
            <w:div w:id="1051349648">
              <w:marLeft w:val="0"/>
              <w:marRight w:val="0"/>
              <w:marTop w:val="0"/>
              <w:marBottom w:val="0"/>
              <w:divBdr>
                <w:top w:val="none" w:sz="0" w:space="0" w:color="auto"/>
                <w:left w:val="none" w:sz="0" w:space="0" w:color="auto"/>
                <w:bottom w:val="none" w:sz="0" w:space="0" w:color="auto"/>
                <w:right w:val="none" w:sz="0" w:space="0" w:color="auto"/>
              </w:divBdr>
            </w:div>
          </w:divsChild>
        </w:div>
        <w:div w:id="1683436691">
          <w:marLeft w:val="0"/>
          <w:marRight w:val="0"/>
          <w:marTop w:val="0"/>
          <w:marBottom w:val="0"/>
          <w:divBdr>
            <w:top w:val="none" w:sz="0" w:space="0" w:color="auto"/>
            <w:left w:val="none" w:sz="0" w:space="0" w:color="auto"/>
            <w:bottom w:val="none" w:sz="0" w:space="0" w:color="auto"/>
            <w:right w:val="none" w:sz="0" w:space="0" w:color="auto"/>
          </w:divBdr>
          <w:divsChild>
            <w:div w:id="1107189451">
              <w:marLeft w:val="0"/>
              <w:marRight w:val="0"/>
              <w:marTop w:val="0"/>
              <w:marBottom w:val="0"/>
              <w:divBdr>
                <w:top w:val="none" w:sz="0" w:space="0" w:color="auto"/>
                <w:left w:val="none" w:sz="0" w:space="0" w:color="auto"/>
                <w:bottom w:val="none" w:sz="0" w:space="0" w:color="auto"/>
                <w:right w:val="none" w:sz="0" w:space="0" w:color="auto"/>
              </w:divBdr>
            </w:div>
            <w:div w:id="1045518489">
              <w:marLeft w:val="0"/>
              <w:marRight w:val="0"/>
              <w:marTop w:val="0"/>
              <w:marBottom w:val="0"/>
              <w:divBdr>
                <w:top w:val="none" w:sz="0" w:space="0" w:color="auto"/>
                <w:left w:val="none" w:sz="0" w:space="0" w:color="auto"/>
                <w:bottom w:val="none" w:sz="0" w:space="0" w:color="auto"/>
                <w:right w:val="none" w:sz="0" w:space="0" w:color="auto"/>
              </w:divBdr>
            </w:div>
            <w:div w:id="247812962">
              <w:marLeft w:val="0"/>
              <w:marRight w:val="0"/>
              <w:marTop w:val="0"/>
              <w:marBottom w:val="0"/>
              <w:divBdr>
                <w:top w:val="none" w:sz="0" w:space="0" w:color="auto"/>
                <w:left w:val="none" w:sz="0" w:space="0" w:color="auto"/>
                <w:bottom w:val="none" w:sz="0" w:space="0" w:color="auto"/>
                <w:right w:val="none" w:sz="0" w:space="0" w:color="auto"/>
              </w:divBdr>
            </w:div>
            <w:div w:id="43455113">
              <w:marLeft w:val="0"/>
              <w:marRight w:val="0"/>
              <w:marTop w:val="0"/>
              <w:marBottom w:val="0"/>
              <w:divBdr>
                <w:top w:val="none" w:sz="0" w:space="0" w:color="auto"/>
                <w:left w:val="none" w:sz="0" w:space="0" w:color="auto"/>
                <w:bottom w:val="none" w:sz="0" w:space="0" w:color="auto"/>
                <w:right w:val="none" w:sz="0" w:space="0" w:color="auto"/>
              </w:divBdr>
            </w:div>
            <w:div w:id="1460562877">
              <w:marLeft w:val="0"/>
              <w:marRight w:val="0"/>
              <w:marTop w:val="0"/>
              <w:marBottom w:val="0"/>
              <w:divBdr>
                <w:top w:val="none" w:sz="0" w:space="0" w:color="auto"/>
                <w:left w:val="none" w:sz="0" w:space="0" w:color="auto"/>
                <w:bottom w:val="none" w:sz="0" w:space="0" w:color="auto"/>
                <w:right w:val="none" w:sz="0" w:space="0" w:color="auto"/>
              </w:divBdr>
            </w:div>
          </w:divsChild>
        </w:div>
        <w:div w:id="1519661415">
          <w:marLeft w:val="0"/>
          <w:marRight w:val="0"/>
          <w:marTop w:val="0"/>
          <w:marBottom w:val="0"/>
          <w:divBdr>
            <w:top w:val="none" w:sz="0" w:space="0" w:color="auto"/>
            <w:left w:val="none" w:sz="0" w:space="0" w:color="auto"/>
            <w:bottom w:val="none" w:sz="0" w:space="0" w:color="auto"/>
            <w:right w:val="none" w:sz="0" w:space="0" w:color="auto"/>
          </w:divBdr>
          <w:divsChild>
            <w:div w:id="697243566">
              <w:marLeft w:val="0"/>
              <w:marRight w:val="0"/>
              <w:marTop w:val="0"/>
              <w:marBottom w:val="0"/>
              <w:divBdr>
                <w:top w:val="none" w:sz="0" w:space="0" w:color="auto"/>
                <w:left w:val="none" w:sz="0" w:space="0" w:color="auto"/>
                <w:bottom w:val="none" w:sz="0" w:space="0" w:color="auto"/>
                <w:right w:val="none" w:sz="0" w:space="0" w:color="auto"/>
              </w:divBdr>
            </w:div>
            <w:div w:id="85272321">
              <w:marLeft w:val="0"/>
              <w:marRight w:val="0"/>
              <w:marTop w:val="0"/>
              <w:marBottom w:val="0"/>
              <w:divBdr>
                <w:top w:val="none" w:sz="0" w:space="0" w:color="auto"/>
                <w:left w:val="none" w:sz="0" w:space="0" w:color="auto"/>
                <w:bottom w:val="none" w:sz="0" w:space="0" w:color="auto"/>
                <w:right w:val="none" w:sz="0" w:space="0" w:color="auto"/>
              </w:divBdr>
            </w:div>
            <w:div w:id="1637710961">
              <w:marLeft w:val="0"/>
              <w:marRight w:val="0"/>
              <w:marTop w:val="0"/>
              <w:marBottom w:val="0"/>
              <w:divBdr>
                <w:top w:val="none" w:sz="0" w:space="0" w:color="auto"/>
                <w:left w:val="none" w:sz="0" w:space="0" w:color="auto"/>
                <w:bottom w:val="none" w:sz="0" w:space="0" w:color="auto"/>
                <w:right w:val="none" w:sz="0" w:space="0" w:color="auto"/>
              </w:divBdr>
            </w:div>
            <w:div w:id="801389663">
              <w:marLeft w:val="0"/>
              <w:marRight w:val="0"/>
              <w:marTop w:val="0"/>
              <w:marBottom w:val="0"/>
              <w:divBdr>
                <w:top w:val="none" w:sz="0" w:space="0" w:color="auto"/>
                <w:left w:val="none" w:sz="0" w:space="0" w:color="auto"/>
                <w:bottom w:val="none" w:sz="0" w:space="0" w:color="auto"/>
                <w:right w:val="none" w:sz="0" w:space="0" w:color="auto"/>
              </w:divBdr>
            </w:div>
            <w:div w:id="888807675">
              <w:marLeft w:val="0"/>
              <w:marRight w:val="0"/>
              <w:marTop w:val="0"/>
              <w:marBottom w:val="0"/>
              <w:divBdr>
                <w:top w:val="none" w:sz="0" w:space="0" w:color="auto"/>
                <w:left w:val="none" w:sz="0" w:space="0" w:color="auto"/>
                <w:bottom w:val="none" w:sz="0" w:space="0" w:color="auto"/>
                <w:right w:val="none" w:sz="0" w:space="0" w:color="auto"/>
              </w:divBdr>
            </w:div>
          </w:divsChild>
        </w:div>
        <w:div w:id="1342313162">
          <w:marLeft w:val="0"/>
          <w:marRight w:val="0"/>
          <w:marTop w:val="0"/>
          <w:marBottom w:val="0"/>
          <w:divBdr>
            <w:top w:val="none" w:sz="0" w:space="0" w:color="auto"/>
            <w:left w:val="none" w:sz="0" w:space="0" w:color="auto"/>
            <w:bottom w:val="none" w:sz="0" w:space="0" w:color="auto"/>
            <w:right w:val="none" w:sz="0" w:space="0" w:color="auto"/>
          </w:divBdr>
          <w:divsChild>
            <w:div w:id="1586376304">
              <w:marLeft w:val="0"/>
              <w:marRight w:val="0"/>
              <w:marTop w:val="0"/>
              <w:marBottom w:val="0"/>
              <w:divBdr>
                <w:top w:val="none" w:sz="0" w:space="0" w:color="auto"/>
                <w:left w:val="none" w:sz="0" w:space="0" w:color="auto"/>
                <w:bottom w:val="none" w:sz="0" w:space="0" w:color="auto"/>
                <w:right w:val="none" w:sz="0" w:space="0" w:color="auto"/>
              </w:divBdr>
            </w:div>
            <w:div w:id="1773239896">
              <w:marLeft w:val="0"/>
              <w:marRight w:val="0"/>
              <w:marTop w:val="0"/>
              <w:marBottom w:val="0"/>
              <w:divBdr>
                <w:top w:val="none" w:sz="0" w:space="0" w:color="auto"/>
                <w:left w:val="none" w:sz="0" w:space="0" w:color="auto"/>
                <w:bottom w:val="none" w:sz="0" w:space="0" w:color="auto"/>
                <w:right w:val="none" w:sz="0" w:space="0" w:color="auto"/>
              </w:divBdr>
            </w:div>
            <w:div w:id="377319247">
              <w:marLeft w:val="0"/>
              <w:marRight w:val="0"/>
              <w:marTop w:val="0"/>
              <w:marBottom w:val="0"/>
              <w:divBdr>
                <w:top w:val="none" w:sz="0" w:space="0" w:color="auto"/>
                <w:left w:val="none" w:sz="0" w:space="0" w:color="auto"/>
                <w:bottom w:val="none" w:sz="0" w:space="0" w:color="auto"/>
                <w:right w:val="none" w:sz="0" w:space="0" w:color="auto"/>
              </w:divBdr>
            </w:div>
            <w:div w:id="1402168202">
              <w:marLeft w:val="0"/>
              <w:marRight w:val="0"/>
              <w:marTop w:val="0"/>
              <w:marBottom w:val="0"/>
              <w:divBdr>
                <w:top w:val="none" w:sz="0" w:space="0" w:color="auto"/>
                <w:left w:val="none" w:sz="0" w:space="0" w:color="auto"/>
                <w:bottom w:val="none" w:sz="0" w:space="0" w:color="auto"/>
                <w:right w:val="none" w:sz="0" w:space="0" w:color="auto"/>
              </w:divBdr>
            </w:div>
          </w:divsChild>
        </w:div>
        <w:div w:id="1795633143">
          <w:marLeft w:val="0"/>
          <w:marRight w:val="0"/>
          <w:marTop w:val="0"/>
          <w:marBottom w:val="0"/>
          <w:divBdr>
            <w:top w:val="none" w:sz="0" w:space="0" w:color="auto"/>
            <w:left w:val="none" w:sz="0" w:space="0" w:color="auto"/>
            <w:bottom w:val="none" w:sz="0" w:space="0" w:color="auto"/>
            <w:right w:val="none" w:sz="0" w:space="0" w:color="auto"/>
          </w:divBdr>
        </w:div>
        <w:div w:id="690567049">
          <w:marLeft w:val="0"/>
          <w:marRight w:val="0"/>
          <w:marTop w:val="0"/>
          <w:marBottom w:val="0"/>
          <w:divBdr>
            <w:top w:val="none" w:sz="0" w:space="0" w:color="auto"/>
            <w:left w:val="none" w:sz="0" w:space="0" w:color="auto"/>
            <w:bottom w:val="none" w:sz="0" w:space="0" w:color="auto"/>
            <w:right w:val="none" w:sz="0" w:space="0" w:color="auto"/>
          </w:divBdr>
        </w:div>
        <w:div w:id="531235753">
          <w:marLeft w:val="0"/>
          <w:marRight w:val="0"/>
          <w:marTop w:val="0"/>
          <w:marBottom w:val="0"/>
          <w:divBdr>
            <w:top w:val="none" w:sz="0" w:space="0" w:color="auto"/>
            <w:left w:val="none" w:sz="0" w:space="0" w:color="auto"/>
            <w:bottom w:val="none" w:sz="0" w:space="0" w:color="auto"/>
            <w:right w:val="none" w:sz="0" w:space="0" w:color="auto"/>
          </w:divBdr>
        </w:div>
        <w:div w:id="2058699860">
          <w:marLeft w:val="0"/>
          <w:marRight w:val="0"/>
          <w:marTop w:val="0"/>
          <w:marBottom w:val="0"/>
          <w:divBdr>
            <w:top w:val="none" w:sz="0" w:space="0" w:color="auto"/>
            <w:left w:val="none" w:sz="0" w:space="0" w:color="auto"/>
            <w:bottom w:val="none" w:sz="0" w:space="0" w:color="auto"/>
            <w:right w:val="none" w:sz="0" w:space="0" w:color="auto"/>
          </w:divBdr>
        </w:div>
        <w:div w:id="1945846782">
          <w:marLeft w:val="0"/>
          <w:marRight w:val="0"/>
          <w:marTop w:val="0"/>
          <w:marBottom w:val="0"/>
          <w:divBdr>
            <w:top w:val="none" w:sz="0" w:space="0" w:color="auto"/>
            <w:left w:val="none" w:sz="0" w:space="0" w:color="auto"/>
            <w:bottom w:val="none" w:sz="0" w:space="0" w:color="auto"/>
            <w:right w:val="none" w:sz="0" w:space="0" w:color="auto"/>
          </w:divBdr>
        </w:div>
        <w:div w:id="1926911299">
          <w:marLeft w:val="0"/>
          <w:marRight w:val="0"/>
          <w:marTop w:val="0"/>
          <w:marBottom w:val="0"/>
          <w:divBdr>
            <w:top w:val="none" w:sz="0" w:space="0" w:color="auto"/>
            <w:left w:val="none" w:sz="0" w:space="0" w:color="auto"/>
            <w:bottom w:val="none" w:sz="0" w:space="0" w:color="auto"/>
            <w:right w:val="none" w:sz="0" w:space="0" w:color="auto"/>
          </w:divBdr>
        </w:div>
        <w:div w:id="181171673">
          <w:marLeft w:val="0"/>
          <w:marRight w:val="0"/>
          <w:marTop w:val="0"/>
          <w:marBottom w:val="0"/>
          <w:divBdr>
            <w:top w:val="none" w:sz="0" w:space="0" w:color="auto"/>
            <w:left w:val="none" w:sz="0" w:space="0" w:color="auto"/>
            <w:bottom w:val="none" w:sz="0" w:space="0" w:color="auto"/>
            <w:right w:val="none" w:sz="0" w:space="0" w:color="auto"/>
          </w:divBdr>
        </w:div>
        <w:div w:id="519204328">
          <w:marLeft w:val="0"/>
          <w:marRight w:val="0"/>
          <w:marTop w:val="0"/>
          <w:marBottom w:val="0"/>
          <w:divBdr>
            <w:top w:val="none" w:sz="0" w:space="0" w:color="auto"/>
            <w:left w:val="none" w:sz="0" w:space="0" w:color="auto"/>
            <w:bottom w:val="none" w:sz="0" w:space="0" w:color="auto"/>
            <w:right w:val="none" w:sz="0" w:space="0" w:color="auto"/>
          </w:divBdr>
        </w:div>
        <w:div w:id="267007949">
          <w:marLeft w:val="0"/>
          <w:marRight w:val="0"/>
          <w:marTop w:val="0"/>
          <w:marBottom w:val="0"/>
          <w:divBdr>
            <w:top w:val="none" w:sz="0" w:space="0" w:color="auto"/>
            <w:left w:val="none" w:sz="0" w:space="0" w:color="auto"/>
            <w:bottom w:val="none" w:sz="0" w:space="0" w:color="auto"/>
            <w:right w:val="none" w:sz="0" w:space="0" w:color="auto"/>
          </w:divBdr>
        </w:div>
        <w:div w:id="1021975688">
          <w:marLeft w:val="0"/>
          <w:marRight w:val="0"/>
          <w:marTop w:val="0"/>
          <w:marBottom w:val="0"/>
          <w:divBdr>
            <w:top w:val="none" w:sz="0" w:space="0" w:color="auto"/>
            <w:left w:val="none" w:sz="0" w:space="0" w:color="auto"/>
            <w:bottom w:val="none" w:sz="0" w:space="0" w:color="auto"/>
            <w:right w:val="none" w:sz="0" w:space="0" w:color="auto"/>
          </w:divBdr>
        </w:div>
        <w:div w:id="282198614">
          <w:marLeft w:val="0"/>
          <w:marRight w:val="0"/>
          <w:marTop w:val="0"/>
          <w:marBottom w:val="0"/>
          <w:divBdr>
            <w:top w:val="none" w:sz="0" w:space="0" w:color="auto"/>
            <w:left w:val="none" w:sz="0" w:space="0" w:color="auto"/>
            <w:bottom w:val="none" w:sz="0" w:space="0" w:color="auto"/>
            <w:right w:val="none" w:sz="0" w:space="0" w:color="auto"/>
          </w:divBdr>
        </w:div>
        <w:div w:id="681205534">
          <w:marLeft w:val="0"/>
          <w:marRight w:val="0"/>
          <w:marTop w:val="0"/>
          <w:marBottom w:val="0"/>
          <w:divBdr>
            <w:top w:val="none" w:sz="0" w:space="0" w:color="auto"/>
            <w:left w:val="none" w:sz="0" w:space="0" w:color="auto"/>
            <w:bottom w:val="none" w:sz="0" w:space="0" w:color="auto"/>
            <w:right w:val="none" w:sz="0" w:space="0" w:color="auto"/>
          </w:divBdr>
        </w:div>
        <w:div w:id="650405746">
          <w:marLeft w:val="0"/>
          <w:marRight w:val="0"/>
          <w:marTop w:val="0"/>
          <w:marBottom w:val="0"/>
          <w:divBdr>
            <w:top w:val="none" w:sz="0" w:space="0" w:color="auto"/>
            <w:left w:val="none" w:sz="0" w:space="0" w:color="auto"/>
            <w:bottom w:val="none" w:sz="0" w:space="0" w:color="auto"/>
            <w:right w:val="none" w:sz="0" w:space="0" w:color="auto"/>
          </w:divBdr>
        </w:div>
        <w:div w:id="643050674">
          <w:marLeft w:val="0"/>
          <w:marRight w:val="0"/>
          <w:marTop w:val="0"/>
          <w:marBottom w:val="0"/>
          <w:divBdr>
            <w:top w:val="none" w:sz="0" w:space="0" w:color="auto"/>
            <w:left w:val="none" w:sz="0" w:space="0" w:color="auto"/>
            <w:bottom w:val="none" w:sz="0" w:space="0" w:color="auto"/>
            <w:right w:val="none" w:sz="0" w:space="0" w:color="auto"/>
          </w:divBdr>
        </w:div>
        <w:div w:id="1032732436">
          <w:marLeft w:val="0"/>
          <w:marRight w:val="0"/>
          <w:marTop w:val="0"/>
          <w:marBottom w:val="0"/>
          <w:divBdr>
            <w:top w:val="none" w:sz="0" w:space="0" w:color="auto"/>
            <w:left w:val="none" w:sz="0" w:space="0" w:color="auto"/>
            <w:bottom w:val="none" w:sz="0" w:space="0" w:color="auto"/>
            <w:right w:val="none" w:sz="0" w:space="0" w:color="auto"/>
          </w:divBdr>
        </w:div>
        <w:div w:id="79254196">
          <w:marLeft w:val="0"/>
          <w:marRight w:val="0"/>
          <w:marTop w:val="0"/>
          <w:marBottom w:val="0"/>
          <w:divBdr>
            <w:top w:val="none" w:sz="0" w:space="0" w:color="auto"/>
            <w:left w:val="none" w:sz="0" w:space="0" w:color="auto"/>
            <w:bottom w:val="none" w:sz="0" w:space="0" w:color="auto"/>
            <w:right w:val="none" w:sz="0" w:space="0" w:color="auto"/>
          </w:divBdr>
        </w:div>
        <w:div w:id="1845583068">
          <w:marLeft w:val="0"/>
          <w:marRight w:val="0"/>
          <w:marTop w:val="0"/>
          <w:marBottom w:val="0"/>
          <w:divBdr>
            <w:top w:val="none" w:sz="0" w:space="0" w:color="auto"/>
            <w:left w:val="none" w:sz="0" w:space="0" w:color="auto"/>
            <w:bottom w:val="none" w:sz="0" w:space="0" w:color="auto"/>
            <w:right w:val="none" w:sz="0" w:space="0" w:color="auto"/>
          </w:divBdr>
        </w:div>
        <w:div w:id="23212241">
          <w:marLeft w:val="0"/>
          <w:marRight w:val="0"/>
          <w:marTop w:val="0"/>
          <w:marBottom w:val="0"/>
          <w:divBdr>
            <w:top w:val="none" w:sz="0" w:space="0" w:color="auto"/>
            <w:left w:val="none" w:sz="0" w:space="0" w:color="auto"/>
            <w:bottom w:val="none" w:sz="0" w:space="0" w:color="auto"/>
            <w:right w:val="none" w:sz="0" w:space="0" w:color="auto"/>
          </w:divBdr>
        </w:div>
        <w:div w:id="1728070527">
          <w:marLeft w:val="0"/>
          <w:marRight w:val="0"/>
          <w:marTop w:val="0"/>
          <w:marBottom w:val="0"/>
          <w:divBdr>
            <w:top w:val="none" w:sz="0" w:space="0" w:color="auto"/>
            <w:left w:val="none" w:sz="0" w:space="0" w:color="auto"/>
            <w:bottom w:val="none" w:sz="0" w:space="0" w:color="auto"/>
            <w:right w:val="none" w:sz="0" w:space="0" w:color="auto"/>
          </w:divBdr>
        </w:div>
        <w:div w:id="1882135771">
          <w:marLeft w:val="0"/>
          <w:marRight w:val="0"/>
          <w:marTop w:val="0"/>
          <w:marBottom w:val="0"/>
          <w:divBdr>
            <w:top w:val="none" w:sz="0" w:space="0" w:color="auto"/>
            <w:left w:val="none" w:sz="0" w:space="0" w:color="auto"/>
            <w:bottom w:val="none" w:sz="0" w:space="0" w:color="auto"/>
            <w:right w:val="none" w:sz="0" w:space="0" w:color="auto"/>
          </w:divBdr>
        </w:div>
        <w:div w:id="303240047">
          <w:marLeft w:val="0"/>
          <w:marRight w:val="0"/>
          <w:marTop w:val="0"/>
          <w:marBottom w:val="0"/>
          <w:divBdr>
            <w:top w:val="none" w:sz="0" w:space="0" w:color="auto"/>
            <w:left w:val="none" w:sz="0" w:space="0" w:color="auto"/>
            <w:bottom w:val="none" w:sz="0" w:space="0" w:color="auto"/>
            <w:right w:val="none" w:sz="0" w:space="0" w:color="auto"/>
          </w:divBdr>
        </w:div>
        <w:div w:id="601646907">
          <w:marLeft w:val="0"/>
          <w:marRight w:val="0"/>
          <w:marTop w:val="0"/>
          <w:marBottom w:val="0"/>
          <w:divBdr>
            <w:top w:val="none" w:sz="0" w:space="0" w:color="auto"/>
            <w:left w:val="none" w:sz="0" w:space="0" w:color="auto"/>
            <w:bottom w:val="none" w:sz="0" w:space="0" w:color="auto"/>
            <w:right w:val="none" w:sz="0" w:space="0" w:color="auto"/>
          </w:divBdr>
        </w:div>
        <w:div w:id="1972468517">
          <w:marLeft w:val="0"/>
          <w:marRight w:val="0"/>
          <w:marTop w:val="0"/>
          <w:marBottom w:val="0"/>
          <w:divBdr>
            <w:top w:val="none" w:sz="0" w:space="0" w:color="auto"/>
            <w:left w:val="none" w:sz="0" w:space="0" w:color="auto"/>
            <w:bottom w:val="none" w:sz="0" w:space="0" w:color="auto"/>
            <w:right w:val="none" w:sz="0" w:space="0" w:color="auto"/>
          </w:divBdr>
        </w:div>
        <w:div w:id="1732385119">
          <w:marLeft w:val="0"/>
          <w:marRight w:val="0"/>
          <w:marTop w:val="0"/>
          <w:marBottom w:val="0"/>
          <w:divBdr>
            <w:top w:val="none" w:sz="0" w:space="0" w:color="auto"/>
            <w:left w:val="none" w:sz="0" w:space="0" w:color="auto"/>
            <w:bottom w:val="none" w:sz="0" w:space="0" w:color="auto"/>
            <w:right w:val="none" w:sz="0" w:space="0" w:color="auto"/>
          </w:divBdr>
        </w:div>
        <w:div w:id="1600218701">
          <w:marLeft w:val="0"/>
          <w:marRight w:val="0"/>
          <w:marTop w:val="0"/>
          <w:marBottom w:val="0"/>
          <w:divBdr>
            <w:top w:val="none" w:sz="0" w:space="0" w:color="auto"/>
            <w:left w:val="none" w:sz="0" w:space="0" w:color="auto"/>
            <w:bottom w:val="none" w:sz="0" w:space="0" w:color="auto"/>
            <w:right w:val="none" w:sz="0" w:space="0" w:color="auto"/>
          </w:divBdr>
        </w:div>
        <w:div w:id="944264208">
          <w:marLeft w:val="0"/>
          <w:marRight w:val="0"/>
          <w:marTop w:val="0"/>
          <w:marBottom w:val="0"/>
          <w:divBdr>
            <w:top w:val="none" w:sz="0" w:space="0" w:color="auto"/>
            <w:left w:val="none" w:sz="0" w:space="0" w:color="auto"/>
            <w:bottom w:val="none" w:sz="0" w:space="0" w:color="auto"/>
            <w:right w:val="none" w:sz="0" w:space="0" w:color="auto"/>
          </w:divBdr>
        </w:div>
        <w:div w:id="255285607">
          <w:marLeft w:val="0"/>
          <w:marRight w:val="0"/>
          <w:marTop w:val="0"/>
          <w:marBottom w:val="0"/>
          <w:divBdr>
            <w:top w:val="none" w:sz="0" w:space="0" w:color="auto"/>
            <w:left w:val="none" w:sz="0" w:space="0" w:color="auto"/>
            <w:bottom w:val="none" w:sz="0" w:space="0" w:color="auto"/>
            <w:right w:val="none" w:sz="0" w:space="0" w:color="auto"/>
          </w:divBdr>
        </w:div>
        <w:div w:id="1439980666">
          <w:marLeft w:val="0"/>
          <w:marRight w:val="0"/>
          <w:marTop w:val="0"/>
          <w:marBottom w:val="0"/>
          <w:divBdr>
            <w:top w:val="none" w:sz="0" w:space="0" w:color="auto"/>
            <w:left w:val="none" w:sz="0" w:space="0" w:color="auto"/>
            <w:bottom w:val="none" w:sz="0" w:space="0" w:color="auto"/>
            <w:right w:val="none" w:sz="0" w:space="0" w:color="auto"/>
          </w:divBdr>
        </w:div>
        <w:div w:id="1660496094">
          <w:marLeft w:val="0"/>
          <w:marRight w:val="0"/>
          <w:marTop w:val="0"/>
          <w:marBottom w:val="0"/>
          <w:divBdr>
            <w:top w:val="none" w:sz="0" w:space="0" w:color="auto"/>
            <w:left w:val="none" w:sz="0" w:space="0" w:color="auto"/>
            <w:bottom w:val="none" w:sz="0" w:space="0" w:color="auto"/>
            <w:right w:val="none" w:sz="0" w:space="0" w:color="auto"/>
          </w:divBdr>
        </w:div>
        <w:div w:id="1805729790">
          <w:marLeft w:val="0"/>
          <w:marRight w:val="0"/>
          <w:marTop w:val="0"/>
          <w:marBottom w:val="0"/>
          <w:divBdr>
            <w:top w:val="none" w:sz="0" w:space="0" w:color="auto"/>
            <w:left w:val="none" w:sz="0" w:space="0" w:color="auto"/>
            <w:bottom w:val="none" w:sz="0" w:space="0" w:color="auto"/>
            <w:right w:val="none" w:sz="0" w:space="0" w:color="auto"/>
          </w:divBdr>
        </w:div>
        <w:div w:id="530847652">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812717024">
          <w:marLeft w:val="0"/>
          <w:marRight w:val="0"/>
          <w:marTop w:val="0"/>
          <w:marBottom w:val="0"/>
          <w:divBdr>
            <w:top w:val="none" w:sz="0" w:space="0" w:color="auto"/>
            <w:left w:val="none" w:sz="0" w:space="0" w:color="auto"/>
            <w:bottom w:val="none" w:sz="0" w:space="0" w:color="auto"/>
            <w:right w:val="none" w:sz="0" w:space="0" w:color="auto"/>
          </w:divBdr>
        </w:div>
        <w:div w:id="1949700396">
          <w:marLeft w:val="0"/>
          <w:marRight w:val="0"/>
          <w:marTop w:val="0"/>
          <w:marBottom w:val="0"/>
          <w:divBdr>
            <w:top w:val="none" w:sz="0" w:space="0" w:color="auto"/>
            <w:left w:val="none" w:sz="0" w:space="0" w:color="auto"/>
            <w:bottom w:val="none" w:sz="0" w:space="0" w:color="auto"/>
            <w:right w:val="none" w:sz="0" w:space="0" w:color="auto"/>
          </w:divBdr>
        </w:div>
        <w:div w:id="1070156638">
          <w:marLeft w:val="0"/>
          <w:marRight w:val="0"/>
          <w:marTop w:val="0"/>
          <w:marBottom w:val="0"/>
          <w:divBdr>
            <w:top w:val="none" w:sz="0" w:space="0" w:color="auto"/>
            <w:left w:val="none" w:sz="0" w:space="0" w:color="auto"/>
            <w:bottom w:val="none" w:sz="0" w:space="0" w:color="auto"/>
            <w:right w:val="none" w:sz="0" w:space="0" w:color="auto"/>
          </w:divBdr>
        </w:div>
        <w:div w:id="1784035847">
          <w:marLeft w:val="0"/>
          <w:marRight w:val="0"/>
          <w:marTop w:val="0"/>
          <w:marBottom w:val="0"/>
          <w:divBdr>
            <w:top w:val="none" w:sz="0" w:space="0" w:color="auto"/>
            <w:left w:val="none" w:sz="0" w:space="0" w:color="auto"/>
            <w:bottom w:val="none" w:sz="0" w:space="0" w:color="auto"/>
            <w:right w:val="none" w:sz="0" w:space="0" w:color="auto"/>
          </w:divBdr>
        </w:div>
        <w:div w:id="956108542">
          <w:marLeft w:val="0"/>
          <w:marRight w:val="0"/>
          <w:marTop w:val="0"/>
          <w:marBottom w:val="0"/>
          <w:divBdr>
            <w:top w:val="none" w:sz="0" w:space="0" w:color="auto"/>
            <w:left w:val="none" w:sz="0" w:space="0" w:color="auto"/>
            <w:bottom w:val="none" w:sz="0" w:space="0" w:color="auto"/>
            <w:right w:val="none" w:sz="0" w:space="0" w:color="auto"/>
          </w:divBdr>
        </w:div>
        <w:div w:id="1025906566">
          <w:marLeft w:val="0"/>
          <w:marRight w:val="0"/>
          <w:marTop w:val="0"/>
          <w:marBottom w:val="0"/>
          <w:divBdr>
            <w:top w:val="none" w:sz="0" w:space="0" w:color="auto"/>
            <w:left w:val="none" w:sz="0" w:space="0" w:color="auto"/>
            <w:bottom w:val="none" w:sz="0" w:space="0" w:color="auto"/>
            <w:right w:val="none" w:sz="0" w:space="0" w:color="auto"/>
          </w:divBdr>
        </w:div>
        <w:div w:id="139543288">
          <w:marLeft w:val="0"/>
          <w:marRight w:val="0"/>
          <w:marTop w:val="0"/>
          <w:marBottom w:val="0"/>
          <w:divBdr>
            <w:top w:val="none" w:sz="0" w:space="0" w:color="auto"/>
            <w:left w:val="none" w:sz="0" w:space="0" w:color="auto"/>
            <w:bottom w:val="none" w:sz="0" w:space="0" w:color="auto"/>
            <w:right w:val="none" w:sz="0" w:space="0" w:color="auto"/>
          </w:divBdr>
        </w:div>
        <w:div w:id="1378553636">
          <w:marLeft w:val="0"/>
          <w:marRight w:val="0"/>
          <w:marTop w:val="0"/>
          <w:marBottom w:val="0"/>
          <w:divBdr>
            <w:top w:val="none" w:sz="0" w:space="0" w:color="auto"/>
            <w:left w:val="none" w:sz="0" w:space="0" w:color="auto"/>
            <w:bottom w:val="none" w:sz="0" w:space="0" w:color="auto"/>
            <w:right w:val="none" w:sz="0" w:space="0" w:color="auto"/>
          </w:divBdr>
        </w:div>
        <w:div w:id="1754619019">
          <w:marLeft w:val="0"/>
          <w:marRight w:val="0"/>
          <w:marTop w:val="0"/>
          <w:marBottom w:val="0"/>
          <w:divBdr>
            <w:top w:val="none" w:sz="0" w:space="0" w:color="auto"/>
            <w:left w:val="none" w:sz="0" w:space="0" w:color="auto"/>
            <w:bottom w:val="none" w:sz="0" w:space="0" w:color="auto"/>
            <w:right w:val="none" w:sz="0" w:space="0" w:color="auto"/>
          </w:divBdr>
        </w:div>
        <w:div w:id="1612585978">
          <w:marLeft w:val="0"/>
          <w:marRight w:val="0"/>
          <w:marTop w:val="0"/>
          <w:marBottom w:val="0"/>
          <w:divBdr>
            <w:top w:val="none" w:sz="0" w:space="0" w:color="auto"/>
            <w:left w:val="none" w:sz="0" w:space="0" w:color="auto"/>
            <w:bottom w:val="none" w:sz="0" w:space="0" w:color="auto"/>
            <w:right w:val="none" w:sz="0" w:space="0" w:color="auto"/>
          </w:divBdr>
        </w:div>
        <w:div w:id="1250308675">
          <w:marLeft w:val="0"/>
          <w:marRight w:val="0"/>
          <w:marTop w:val="0"/>
          <w:marBottom w:val="0"/>
          <w:divBdr>
            <w:top w:val="none" w:sz="0" w:space="0" w:color="auto"/>
            <w:left w:val="none" w:sz="0" w:space="0" w:color="auto"/>
            <w:bottom w:val="none" w:sz="0" w:space="0" w:color="auto"/>
            <w:right w:val="none" w:sz="0" w:space="0" w:color="auto"/>
          </w:divBdr>
        </w:div>
        <w:div w:id="1375933149">
          <w:marLeft w:val="0"/>
          <w:marRight w:val="0"/>
          <w:marTop w:val="0"/>
          <w:marBottom w:val="0"/>
          <w:divBdr>
            <w:top w:val="none" w:sz="0" w:space="0" w:color="auto"/>
            <w:left w:val="none" w:sz="0" w:space="0" w:color="auto"/>
            <w:bottom w:val="none" w:sz="0" w:space="0" w:color="auto"/>
            <w:right w:val="none" w:sz="0" w:space="0" w:color="auto"/>
          </w:divBdr>
        </w:div>
        <w:div w:id="1179857262">
          <w:marLeft w:val="0"/>
          <w:marRight w:val="0"/>
          <w:marTop w:val="0"/>
          <w:marBottom w:val="0"/>
          <w:divBdr>
            <w:top w:val="none" w:sz="0" w:space="0" w:color="auto"/>
            <w:left w:val="none" w:sz="0" w:space="0" w:color="auto"/>
            <w:bottom w:val="none" w:sz="0" w:space="0" w:color="auto"/>
            <w:right w:val="none" w:sz="0" w:space="0" w:color="auto"/>
          </w:divBdr>
        </w:div>
        <w:div w:id="1482766947">
          <w:marLeft w:val="0"/>
          <w:marRight w:val="0"/>
          <w:marTop w:val="0"/>
          <w:marBottom w:val="0"/>
          <w:divBdr>
            <w:top w:val="none" w:sz="0" w:space="0" w:color="auto"/>
            <w:left w:val="none" w:sz="0" w:space="0" w:color="auto"/>
            <w:bottom w:val="none" w:sz="0" w:space="0" w:color="auto"/>
            <w:right w:val="none" w:sz="0" w:space="0" w:color="auto"/>
          </w:divBdr>
        </w:div>
      </w:divsChild>
    </w:div>
    <w:div w:id="71777999">
      <w:bodyDiv w:val="1"/>
      <w:marLeft w:val="0"/>
      <w:marRight w:val="0"/>
      <w:marTop w:val="0"/>
      <w:marBottom w:val="0"/>
      <w:divBdr>
        <w:top w:val="none" w:sz="0" w:space="0" w:color="auto"/>
        <w:left w:val="none" w:sz="0" w:space="0" w:color="auto"/>
        <w:bottom w:val="none" w:sz="0" w:space="0" w:color="auto"/>
        <w:right w:val="none" w:sz="0" w:space="0" w:color="auto"/>
      </w:divBdr>
      <w:divsChild>
        <w:div w:id="977029376">
          <w:marLeft w:val="0"/>
          <w:marRight w:val="0"/>
          <w:marTop w:val="0"/>
          <w:marBottom w:val="0"/>
          <w:divBdr>
            <w:top w:val="none" w:sz="0" w:space="0" w:color="auto"/>
            <w:left w:val="none" w:sz="0" w:space="0" w:color="auto"/>
            <w:bottom w:val="none" w:sz="0" w:space="0" w:color="auto"/>
            <w:right w:val="none" w:sz="0" w:space="0" w:color="auto"/>
          </w:divBdr>
        </w:div>
        <w:div w:id="430274099">
          <w:marLeft w:val="0"/>
          <w:marRight w:val="0"/>
          <w:marTop w:val="0"/>
          <w:marBottom w:val="0"/>
          <w:divBdr>
            <w:top w:val="none" w:sz="0" w:space="0" w:color="auto"/>
            <w:left w:val="none" w:sz="0" w:space="0" w:color="auto"/>
            <w:bottom w:val="none" w:sz="0" w:space="0" w:color="auto"/>
            <w:right w:val="none" w:sz="0" w:space="0" w:color="auto"/>
          </w:divBdr>
        </w:div>
        <w:div w:id="622345793">
          <w:marLeft w:val="0"/>
          <w:marRight w:val="0"/>
          <w:marTop w:val="0"/>
          <w:marBottom w:val="0"/>
          <w:divBdr>
            <w:top w:val="none" w:sz="0" w:space="0" w:color="auto"/>
            <w:left w:val="none" w:sz="0" w:space="0" w:color="auto"/>
            <w:bottom w:val="none" w:sz="0" w:space="0" w:color="auto"/>
            <w:right w:val="none" w:sz="0" w:space="0" w:color="auto"/>
          </w:divBdr>
        </w:div>
        <w:div w:id="1524858168">
          <w:marLeft w:val="0"/>
          <w:marRight w:val="0"/>
          <w:marTop w:val="0"/>
          <w:marBottom w:val="0"/>
          <w:divBdr>
            <w:top w:val="none" w:sz="0" w:space="0" w:color="auto"/>
            <w:left w:val="none" w:sz="0" w:space="0" w:color="auto"/>
            <w:bottom w:val="none" w:sz="0" w:space="0" w:color="auto"/>
            <w:right w:val="none" w:sz="0" w:space="0" w:color="auto"/>
          </w:divBdr>
        </w:div>
        <w:div w:id="1789396612">
          <w:marLeft w:val="0"/>
          <w:marRight w:val="0"/>
          <w:marTop w:val="0"/>
          <w:marBottom w:val="0"/>
          <w:divBdr>
            <w:top w:val="none" w:sz="0" w:space="0" w:color="auto"/>
            <w:left w:val="none" w:sz="0" w:space="0" w:color="auto"/>
            <w:bottom w:val="none" w:sz="0" w:space="0" w:color="auto"/>
            <w:right w:val="none" w:sz="0" w:space="0" w:color="auto"/>
          </w:divBdr>
        </w:div>
      </w:divsChild>
    </w:div>
    <w:div w:id="83576775">
      <w:bodyDiv w:val="1"/>
      <w:marLeft w:val="0"/>
      <w:marRight w:val="0"/>
      <w:marTop w:val="0"/>
      <w:marBottom w:val="0"/>
      <w:divBdr>
        <w:top w:val="none" w:sz="0" w:space="0" w:color="auto"/>
        <w:left w:val="none" w:sz="0" w:space="0" w:color="auto"/>
        <w:bottom w:val="none" w:sz="0" w:space="0" w:color="auto"/>
        <w:right w:val="none" w:sz="0" w:space="0" w:color="auto"/>
      </w:divBdr>
      <w:divsChild>
        <w:div w:id="1437603234">
          <w:marLeft w:val="0"/>
          <w:marRight w:val="0"/>
          <w:marTop w:val="0"/>
          <w:marBottom w:val="0"/>
          <w:divBdr>
            <w:top w:val="none" w:sz="0" w:space="0" w:color="auto"/>
            <w:left w:val="none" w:sz="0" w:space="0" w:color="auto"/>
            <w:bottom w:val="none" w:sz="0" w:space="0" w:color="auto"/>
            <w:right w:val="none" w:sz="0" w:space="0" w:color="auto"/>
          </w:divBdr>
        </w:div>
        <w:div w:id="1744572177">
          <w:marLeft w:val="0"/>
          <w:marRight w:val="0"/>
          <w:marTop w:val="0"/>
          <w:marBottom w:val="0"/>
          <w:divBdr>
            <w:top w:val="none" w:sz="0" w:space="0" w:color="auto"/>
            <w:left w:val="none" w:sz="0" w:space="0" w:color="auto"/>
            <w:bottom w:val="none" w:sz="0" w:space="0" w:color="auto"/>
            <w:right w:val="none" w:sz="0" w:space="0" w:color="auto"/>
          </w:divBdr>
        </w:div>
      </w:divsChild>
    </w:div>
    <w:div w:id="91585404">
      <w:bodyDiv w:val="1"/>
      <w:marLeft w:val="0"/>
      <w:marRight w:val="0"/>
      <w:marTop w:val="0"/>
      <w:marBottom w:val="0"/>
      <w:divBdr>
        <w:top w:val="none" w:sz="0" w:space="0" w:color="auto"/>
        <w:left w:val="none" w:sz="0" w:space="0" w:color="auto"/>
        <w:bottom w:val="none" w:sz="0" w:space="0" w:color="auto"/>
        <w:right w:val="none" w:sz="0" w:space="0" w:color="auto"/>
      </w:divBdr>
      <w:divsChild>
        <w:div w:id="232472385">
          <w:marLeft w:val="0"/>
          <w:marRight w:val="0"/>
          <w:marTop w:val="0"/>
          <w:marBottom w:val="0"/>
          <w:divBdr>
            <w:top w:val="none" w:sz="0" w:space="0" w:color="auto"/>
            <w:left w:val="none" w:sz="0" w:space="0" w:color="auto"/>
            <w:bottom w:val="none" w:sz="0" w:space="0" w:color="auto"/>
            <w:right w:val="none" w:sz="0" w:space="0" w:color="auto"/>
          </w:divBdr>
        </w:div>
        <w:div w:id="780419352">
          <w:marLeft w:val="0"/>
          <w:marRight w:val="0"/>
          <w:marTop w:val="0"/>
          <w:marBottom w:val="0"/>
          <w:divBdr>
            <w:top w:val="none" w:sz="0" w:space="0" w:color="auto"/>
            <w:left w:val="none" w:sz="0" w:space="0" w:color="auto"/>
            <w:bottom w:val="none" w:sz="0" w:space="0" w:color="auto"/>
            <w:right w:val="none" w:sz="0" w:space="0" w:color="auto"/>
          </w:divBdr>
        </w:div>
        <w:div w:id="1441532261">
          <w:marLeft w:val="0"/>
          <w:marRight w:val="0"/>
          <w:marTop w:val="0"/>
          <w:marBottom w:val="0"/>
          <w:divBdr>
            <w:top w:val="none" w:sz="0" w:space="0" w:color="auto"/>
            <w:left w:val="none" w:sz="0" w:space="0" w:color="auto"/>
            <w:bottom w:val="none" w:sz="0" w:space="0" w:color="auto"/>
            <w:right w:val="none" w:sz="0" w:space="0" w:color="auto"/>
          </w:divBdr>
        </w:div>
        <w:div w:id="1716000800">
          <w:marLeft w:val="0"/>
          <w:marRight w:val="0"/>
          <w:marTop w:val="0"/>
          <w:marBottom w:val="0"/>
          <w:divBdr>
            <w:top w:val="none" w:sz="0" w:space="0" w:color="auto"/>
            <w:left w:val="none" w:sz="0" w:space="0" w:color="auto"/>
            <w:bottom w:val="none" w:sz="0" w:space="0" w:color="auto"/>
            <w:right w:val="none" w:sz="0" w:space="0" w:color="auto"/>
          </w:divBdr>
        </w:div>
        <w:div w:id="307906936">
          <w:marLeft w:val="0"/>
          <w:marRight w:val="0"/>
          <w:marTop w:val="0"/>
          <w:marBottom w:val="0"/>
          <w:divBdr>
            <w:top w:val="none" w:sz="0" w:space="0" w:color="auto"/>
            <w:left w:val="none" w:sz="0" w:space="0" w:color="auto"/>
            <w:bottom w:val="none" w:sz="0" w:space="0" w:color="auto"/>
            <w:right w:val="none" w:sz="0" w:space="0" w:color="auto"/>
          </w:divBdr>
        </w:div>
        <w:div w:id="602762478">
          <w:marLeft w:val="0"/>
          <w:marRight w:val="0"/>
          <w:marTop w:val="0"/>
          <w:marBottom w:val="0"/>
          <w:divBdr>
            <w:top w:val="none" w:sz="0" w:space="0" w:color="auto"/>
            <w:left w:val="none" w:sz="0" w:space="0" w:color="auto"/>
            <w:bottom w:val="none" w:sz="0" w:space="0" w:color="auto"/>
            <w:right w:val="none" w:sz="0" w:space="0" w:color="auto"/>
          </w:divBdr>
        </w:div>
      </w:divsChild>
    </w:div>
    <w:div w:id="176309722">
      <w:bodyDiv w:val="1"/>
      <w:marLeft w:val="0"/>
      <w:marRight w:val="0"/>
      <w:marTop w:val="0"/>
      <w:marBottom w:val="0"/>
      <w:divBdr>
        <w:top w:val="none" w:sz="0" w:space="0" w:color="auto"/>
        <w:left w:val="none" w:sz="0" w:space="0" w:color="auto"/>
        <w:bottom w:val="none" w:sz="0" w:space="0" w:color="auto"/>
        <w:right w:val="none" w:sz="0" w:space="0" w:color="auto"/>
      </w:divBdr>
      <w:divsChild>
        <w:div w:id="34935363">
          <w:marLeft w:val="0"/>
          <w:marRight w:val="0"/>
          <w:marTop w:val="0"/>
          <w:marBottom w:val="0"/>
          <w:divBdr>
            <w:top w:val="none" w:sz="0" w:space="0" w:color="auto"/>
            <w:left w:val="none" w:sz="0" w:space="0" w:color="auto"/>
            <w:bottom w:val="none" w:sz="0" w:space="0" w:color="auto"/>
            <w:right w:val="none" w:sz="0" w:space="0" w:color="auto"/>
          </w:divBdr>
          <w:divsChild>
            <w:div w:id="201599060">
              <w:marLeft w:val="0"/>
              <w:marRight w:val="0"/>
              <w:marTop w:val="0"/>
              <w:marBottom w:val="0"/>
              <w:divBdr>
                <w:top w:val="none" w:sz="0" w:space="0" w:color="auto"/>
                <w:left w:val="none" w:sz="0" w:space="0" w:color="auto"/>
                <w:bottom w:val="none" w:sz="0" w:space="0" w:color="auto"/>
                <w:right w:val="none" w:sz="0" w:space="0" w:color="auto"/>
              </w:divBdr>
            </w:div>
            <w:div w:id="954098874">
              <w:marLeft w:val="0"/>
              <w:marRight w:val="0"/>
              <w:marTop w:val="0"/>
              <w:marBottom w:val="0"/>
              <w:divBdr>
                <w:top w:val="none" w:sz="0" w:space="0" w:color="auto"/>
                <w:left w:val="none" w:sz="0" w:space="0" w:color="auto"/>
                <w:bottom w:val="none" w:sz="0" w:space="0" w:color="auto"/>
                <w:right w:val="none" w:sz="0" w:space="0" w:color="auto"/>
              </w:divBdr>
            </w:div>
            <w:div w:id="1121261466">
              <w:marLeft w:val="0"/>
              <w:marRight w:val="0"/>
              <w:marTop w:val="0"/>
              <w:marBottom w:val="0"/>
              <w:divBdr>
                <w:top w:val="none" w:sz="0" w:space="0" w:color="auto"/>
                <w:left w:val="none" w:sz="0" w:space="0" w:color="auto"/>
                <w:bottom w:val="none" w:sz="0" w:space="0" w:color="auto"/>
                <w:right w:val="none" w:sz="0" w:space="0" w:color="auto"/>
              </w:divBdr>
            </w:div>
          </w:divsChild>
        </w:div>
        <w:div w:id="610674612">
          <w:marLeft w:val="0"/>
          <w:marRight w:val="0"/>
          <w:marTop w:val="0"/>
          <w:marBottom w:val="0"/>
          <w:divBdr>
            <w:top w:val="none" w:sz="0" w:space="0" w:color="auto"/>
            <w:left w:val="none" w:sz="0" w:space="0" w:color="auto"/>
            <w:bottom w:val="none" w:sz="0" w:space="0" w:color="auto"/>
            <w:right w:val="none" w:sz="0" w:space="0" w:color="auto"/>
          </w:divBdr>
          <w:divsChild>
            <w:div w:id="1123306295">
              <w:marLeft w:val="0"/>
              <w:marRight w:val="0"/>
              <w:marTop w:val="0"/>
              <w:marBottom w:val="0"/>
              <w:divBdr>
                <w:top w:val="none" w:sz="0" w:space="0" w:color="auto"/>
                <w:left w:val="none" w:sz="0" w:space="0" w:color="auto"/>
                <w:bottom w:val="none" w:sz="0" w:space="0" w:color="auto"/>
                <w:right w:val="none" w:sz="0" w:space="0" w:color="auto"/>
              </w:divBdr>
            </w:div>
            <w:div w:id="511408452">
              <w:marLeft w:val="0"/>
              <w:marRight w:val="0"/>
              <w:marTop w:val="0"/>
              <w:marBottom w:val="0"/>
              <w:divBdr>
                <w:top w:val="none" w:sz="0" w:space="0" w:color="auto"/>
                <w:left w:val="none" w:sz="0" w:space="0" w:color="auto"/>
                <w:bottom w:val="none" w:sz="0" w:space="0" w:color="auto"/>
                <w:right w:val="none" w:sz="0" w:space="0" w:color="auto"/>
              </w:divBdr>
            </w:div>
            <w:div w:id="1333676189">
              <w:marLeft w:val="0"/>
              <w:marRight w:val="0"/>
              <w:marTop w:val="0"/>
              <w:marBottom w:val="0"/>
              <w:divBdr>
                <w:top w:val="none" w:sz="0" w:space="0" w:color="auto"/>
                <w:left w:val="none" w:sz="0" w:space="0" w:color="auto"/>
                <w:bottom w:val="none" w:sz="0" w:space="0" w:color="auto"/>
                <w:right w:val="none" w:sz="0" w:space="0" w:color="auto"/>
              </w:divBdr>
            </w:div>
            <w:div w:id="1272125298">
              <w:marLeft w:val="0"/>
              <w:marRight w:val="0"/>
              <w:marTop w:val="0"/>
              <w:marBottom w:val="0"/>
              <w:divBdr>
                <w:top w:val="none" w:sz="0" w:space="0" w:color="auto"/>
                <w:left w:val="none" w:sz="0" w:space="0" w:color="auto"/>
                <w:bottom w:val="none" w:sz="0" w:space="0" w:color="auto"/>
                <w:right w:val="none" w:sz="0" w:space="0" w:color="auto"/>
              </w:divBdr>
            </w:div>
            <w:div w:id="1937713119">
              <w:marLeft w:val="0"/>
              <w:marRight w:val="0"/>
              <w:marTop w:val="0"/>
              <w:marBottom w:val="0"/>
              <w:divBdr>
                <w:top w:val="none" w:sz="0" w:space="0" w:color="auto"/>
                <w:left w:val="none" w:sz="0" w:space="0" w:color="auto"/>
                <w:bottom w:val="none" w:sz="0" w:space="0" w:color="auto"/>
                <w:right w:val="none" w:sz="0" w:space="0" w:color="auto"/>
              </w:divBdr>
            </w:div>
          </w:divsChild>
        </w:div>
        <w:div w:id="715738119">
          <w:marLeft w:val="0"/>
          <w:marRight w:val="0"/>
          <w:marTop w:val="0"/>
          <w:marBottom w:val="0"/>
          <w:divBdr>
            <w:top w:val="none" w:sz="0" w:space="0" w:color="auto"/>
            <w:left w:val="none" w:sz="0" w:space="0" w:color="auto"/>
            <w:bottom w:val="none" w:sz="0" w:space="0" w:color="auto"/>
            <w:right w:val="none" w:sz="0" w:space="0" w:color="auto"/>
          </w:divBdr>
          <w:divsChild>
            <w:div w:id="998847681">
              <w:marLeft w:val="0"/>
              <w:marRight w:val="0"/>
              <w:marTop w:val="0"/>
              <w:marBottom w:val="0"/>
              <w:divBdr>
                <w:top w:val="none" w:sz="0" w:space="0" w:color="auto"/>
                <w:left w:val="none" w:sz="0" w:space="0" w:color="auto"/>
                <w:bottom w:val="none" w:sz="0" w:space="0" w:color="auto"/>
                <w:right w:val="none" w:sz="0" w:space="0" w:color="auto"/>
              </w:divBdr>
            </w:div>
            <w:div w:id="762799908">
              <w:marLeft w:val="0"/>
              <w:marRight w:val="0"/>
              <w:marTop w:val="0"/>
              <w:marBottom w:val="0"/>
              <w:divBdr>
                <w:top w:val="none" w:sz="0" w:space="0" w:color="auto"/>
                <w:left w:val="none" w:sz="0" w:space="0" w:color="auto"/>
                <w:bottom w:val="none" w:sz="0" w:space="0" w:color="auto"/>
                <w:right w:val="none" w:sz="0" w:space="0" w:color="auto"/>
              </w:divBdr>
            </w:div>
            <w:div w:id="92089839">
              <w:marLeft w:val="0"/>
              <w:marRight w:val="0"/>
              <w:marTop w:val="0"/>
              <w:marBottom w:val="0"/>
              <w:divBdr>
                <w:top w:val="none" w:sz="0" w:space="0" w:color="auto"/>
                <w:left w:val="none" w:sz="0" w:space="0" w:color="auto"/>
                <w:bottom w:val="none" w:sz="0" w:space="0" w:color="auto"/>
                <w:right w:val="none" w:sz="0" w:space="0" w:color="auto"/>
              </w:divBdr>
            </w:div>
            <w:div w:id="1271475200">
              <w:marLeft w:val="0"/>
              <w:marRight w:val="0"/>
              <w:marTop w:val="0"/>
              <w:marBottom w:val="0"/>
              <w:divBdr>
                <w:top w:val="none" w:sz="0" w:space="0" w:color="auto"/>
                <w:left w:val="none" w:sz="0" w:space="0" w:color="auto"/>
                <w:bottom w:val="none" w:sz="0" w:space="0" w:color="auto"/>
                <w:right w:val="none" w:sz="0" w:space="0" w:color="auto"/>
              </w:divBdr>
            </w:div>
            <w:div w:id="168447192">
              <w:marLeft w:val="0"/>
              <w:marRight w:val="0"/>
              <w:marTop w:val="0"/>
              <w:marBottom w:val="0"/>
              <w:divBdr>
                <w:top w:val="none" w:sz="0" w:space="0" w:color="auto"/>
                <w:left w:val="none" w:sz="0" w:space="0" w:color="auto"/>
                <w:bottom w:val="none" w:sz="0" w:space="0" w:color="auto"/>
                <w:right w:val="none" w:sz="0" w:space="0" w:color="auto"/>
              </w:divBdr>
            </w:div>
          </w:divsChild>
        </w:div>
        <w:div w:id="177699465">
          <w:marLeft w:val="0"/>
          <w:marRight w:val="0"/>
          <w:marTop w:val="0"/>
          <w:marBottom w:val="0"/>
          <w:divBdr>
            <w:top w:val="none" w:sz="0" w:space="0" w:color="auto"/>
            <w:left w:val="none" w:sz="0" w:space="0" w:color="auto"/>
            <w:bottom w:val="none" w:sz="0" w:space="0" w:color="auto"/>
            <w:right w:val="none" w:sz="0" w:space="0" w:color="auto"/>
          </w:divBdr>
          <w:divsChild>
            <w:div w:id="1398045482">
              <w:marLeft w:val="0"/>
              <w:marRight w:val="0"/>
              <w:marTop w:val="0"/>
              <w:marBottom w:val="0"/>
              <w:divBdr>
                <w:top w:val="none" w:sz="0" w:space="0" w:color="auto"/>
                <w:left w:val="none" w:sz="0" w:space="0" w:color="auto"/>
                <w:bottom w:val="none" w:sz="0" w:space="0" w:color="auto"/>
                <w:right w:val="none" w:sz="0" w:space="0" w:color="auto"/>
              </w:divBdr>
            </w:div>
            <w:div w:id="757865301">
              <w:marLeft w:val="0"/>
              <w:marRight w:val="0"/>
              <w:marTop w:val="0"/>
              <w:marBottom w:val="0"/>
              <w:divBdr>
                <w:top w:val="none" w:sz="0" w:space="0" w:color="auto"/>
                <w:left w:val="none" w:sz="0" w:space="0" w:color="auto"/>
                <w:bottom w:val="none" w:sz="0" w:space="0" w:color="auto"/>
                <w:right w:val="none" w:sz="0" w:space="0" w:color="auto"/>
              </w:divBdr>
            </w:div>
            <w:div w:id="295843859">
              <w:marLeft w:val="0"/>
              <w:marRight w:val="0"/>
              <w:marTop w:val="0"/>
              <w:marBottom w:val="0"/>
              <w:divBdr>
                <w:top w:val="none" w:sz="0" w:space="0" w:color="auto"/>
                <w:left w:val="none" w:sz="0" w:space="0" w:color="auto"/>
                <w:bottom w:val="none" w:sz="0" w:space="0" w:color="auto"/>
                <w:right w:val="none" w:sz="0" w:space="0" w:color="auto"/>
              </w:divBdr>
            </w:div>
            <w:div w:id="401803078">
              <w:marLeft w:val="0"/>
              <w:marRight w:val="0"/>
              <w:marTop w:val="0"/>
              <w:marBottom w:val="0"/>
              <w:divBdr>
                <w:top w:val="none" w:sz="0" w:space="0" w:color="auto"/>
                <w:left w:val="none" w:sz="0" w:space="0" w:color="auto"/>
                <w:bottom w:val="none" w:sz="0" w:space="0" w:color="auto"/>
                <w:right w:val="none" w:sz="0" w:space="0" w:color="auto"/>
              </w:divBdr>
            </w:div>
            <w:div w:id="576598313">
              <w:marLeft w:val="0"/>
              <w:marRight w:val="0"/>
              <w:marTop w:val="0"/>
              <w:marBottom w:val="0"/>
              <w:divBdr>
                <w:top w:val="none" w:sz="0" w:space="0" w:color="auto"/>
                <w:left w:val="none" w:sz="0" w:space="0" w:color="auto"/>
                <w:bottom w:val="none" w:sz="0" w:space="0" w:color="auto"/>
                <w:right w:val="none" w:sz="0" w:space="0" w:color="auto"/>
              </w:divBdr>
            </w:div>
          </w:divsChild>
        </w:div>
        <w:div w:id="889003781">
          <w:marLeft w:val="0"/>
          <w:marRight w:val="0"/>
          <w:marTop w:val="0"/>
          <w:marBottom w:val="0"/>
          <w:divBdr>
            <w:top w:val="none" w:sz="0" w:space="0" w:color="auto"/>
            <w:left w:val="none" w:sz="0" w:space="0" w:color="auto"/>
            <w:bottom w:val="none" w:sz="0" w:space="0" w:color="auto"/>
            <w:right w:val="none" w:sz="0" w:space="0" w:color="auto"/>
          </w:divBdr>
          <w:divsChild>
            <w:div w:id="1943763470">
              <w:marLeft w:val="0"/>
              <w:marRight w:val="0"/>
              <w:marTop w:val="0"/>
              <w:marBottom w:val="0"/>
              <w:divBdr>
                <w:top w:val="none" w:sz="0" w:space="0" w:color="auto"/>
                <w:left w:val="none" w:sz="0" w:space="0" w:color="auto"/>
                <w:bottom w:val="none" w:sz="0" w:space="0" w:color="auto"/>
                <w:right w:val="none" w:sz="0" w:space="0" w:color="auto"/>
              </w:divBdr>
            </w:div>
            <w:div w:id="353849001">
              <w:marLeft w:val="0"/>
              <w:marRight w:val="0"/>
              <w:marTop w:val="0"/>
              <w:marBottom w:val="0"/>
              <w:divBdr>
                <w:top w:val="none" w:sz="0" w:space="0" w:color="auto"/>
                <w:left w:val="none" w:sz="0" w:space="0" w:color="auto"/>
                <w:bottom w:val="none" w:sz="0" w:space="0" w:color="auto"/>
                <w:right w:val="none" w:sz="0" w:space="0" w:color="auto"/>
              </w:divBdr>
            </w:div>
            <w:div w:id="1039284993">
              <w:marLeft w:val="0"/>
              <w:marRight w:val="0"/>
              <w:marTop w:val="0"/>
              <w:marBottom w:val="0"/>
              <w:divBdr>
                <w:top w:val="none" w:sz="0" w:space="0" w:color="auto"/>
                <w:left w:val="none" w:sz="0" w:space="0" w:color="auto"/>
                <w:bottom w:val="none" w:sz="0" w:space="0" w:color="auto"/>
                <w:right w:val="none" w:sz="0" w:space="0" w:color="auto"/>
              </w:divBdr>
            </w:div>
            <w:div w:id="1056852076">
              <w:marLeft w:val="0"/>
              <w:marRight w:val="0"/>
              <w:marTop w:val="0"/>
              <w:marBottom w:val="0"/>
              <w:divBdr>
                <w:top w:val="none" w:sz="0" w:space="0" w:color="auto"/>
                <w:left w:val="none" w:sz="0" w:space="0" w:color="auto"/>
                <w:bottom w:val="none" w:sz="0" w:space="0" w:color="auto"/>
                <w:right w:val="none" w:sz="0" w:space="0" w:color="auto"/>
              </w:divBdr>
            </w:div>
            <w:div w:id="2100176049">
              <w:marLeft w:val="0"/>
              <w:marRight w:val="0"/>
              <w:marTop w:val="0"/>
              <w:marBottom w:val="0"/>
              <w:divBdr>
                <w:top w:val="none" w:sz="0" w:space="0" w:color="auto"/>
                <w:left w:val="none" w:sz="0" w:space="0" w:color="auto"/>
                <w:bottom w:val="none" w:sz="0" w:space="0" w:color="auto"/>
                <w:right w:val="none" w:sz="0" w:space="0" w:color="auto"/>
              </w:divBdr>
            </w:div>
          </w:divsChild>
        </w:div>
        <w:div w:id="628702029">
          <w:marLeft w:val="0"/>
          <w:marRight w:val="0"/>
          <w:marTop w:val="0"/>
          <w:marBottom w:val="0"/>
          <w:divBdr>
            <w:top w:val="none" w:sz="0" w:space="0" w:color="auto"/>
            <w:left w:val="none" w:sz="0" w:space="0" w:color="auto"/>
            <w:bottom w:val="none" w:sz="0" w:space="0" w:color="auto"/>
            <w:right w:val="none" w:sz="0" w:space="0" w:color="auto"/>
          </w:divBdr>
        </w:div>
      </w:divsChild>
    </w:div>
    <w:div w:id="373434298">
      <w:bodyDiv w:val="1"/>
      <w:marLeft w:val="0"/>
      <w:marRight w:val="0"/>
      <w:marTop w:val="0"/>
      <w:marBottom w:val="0"/>
      <w:divBdr>
        <w:top w:val="none" w:sz="0" w:space="0" w:color="auto"/>
        <w:left w:val="none" w:sz="0" w:space="0" w:color="auto"/>
        <w:bottom w:val="none" w:sz="0" w:space="0" w:color="auto"/>
        <w:right w:val="none" w:sz="0" w:space="0" w:color="auto"/>
      </w:divBdr>
      <w:divsChild>
        <w:div w:id="767655543">
          <w:marLeft w:val="0"/>
          <w:marRight w:val="0"/>
          <w:marTop w:val="0"/>
          <w:marBottom w:val="0"/>
          <w:divBdr>
            <w:top w:val="none" w:sz="0" w:space="0" w:color="auto"/>
            <w:left w:val="none" w:sz="0" w:space="0" w:color="auto"/>
            <w:bottom w:val="none" w:sz="0" w:space="0" w:color="auto"/>
            <w:right w:val="none" w:sz="0" w:space="0" w:color="auto"/>
          </w:divBdr>
          <w:divsChild>
            <w:div w:id="994187228">
              <w:marLeft w:val="0"/>
              <w:marRight w:val="0"/>
              <w:marTop w:val="0"/>
              <w:marBottom w:val="0"/>
              <w:divBdr>
                <w:top w:val="none" w:sz="0" w:space="0" w:color="auto"/>
                <w:left w:val="none" w:sz="0" w:space="0" w:color="auto"/>
                <w:bottom w:val="none" w:sz="0" w:space="0" w:color="auto"/>
                <w:right w:val="none" w:sz="0" w:space="0" w:color="auto"/>
              </w:divBdr>
            </w:div>
            <w:div w:id="1390107212">
              <w:marLeft w:val="0"/>
              <w:marRight w:val="0"/>
              <w:marTop w:val="0"/>
              <w:marBottom w:val="0"/>
              <w:divBdr>
                <w:top w:val="none" w:sz="0" w:space="0" w:color="auto"/>
                <w:left w:val="none" w:sz="0" w:space="0" w:color="auto"/>
                <w:bottom w:val="none" w:sz="0" w:space="0" w:color="auto"/>
                <w:right w:val="none" w:sz="0" w:space="0" w:color="auto"/>
              </w:divBdr>
            </w:div>
            <w:div w:id="730616480">
              <w:marLeft w:val="0"/>
              <w:marRight w:val="0"/>
              <w:marTop w:val="0"/>
              <w:marBottom w:val="0"/>
              <w:divBdr>
                <w:top w:val="none" w:sz="0" w:space="0" w:color="auto"/>
                <w:left w:val="none" w:sz="0" w:space="0" w:color="auto"/>
                <w:bottom w:val="none" w:sz="0" w:space="0" w:color="auto"/>
                <w:right w:val="none" w:sz="0" w:space="0" w:color="auto"/>
              </w:divBdr>
            </w:div>
            <w:div w:id="1988364313">
              <w:marLeft w:val="0"/>
              <w:marRight w:val="0"/>
              <w:marTop w:val="0"/>
              <w:marBottom w:val="0"/>
              <w:divBdr>
                <w:top w:val="none" w:sz="0" w:space="0" w:color="auto"/>
                <w:left w:val="none" w:sz="0" w:space="0" w:color="auto"/>
                <w:bottom w:val="none" w:sz="0" w:space="0" w:color="auto"/>
                <w:right w:val="none" w:sz="0" w:space="0" w:color="auto"/>
              </w:divBdr>
            </w:div>
          </w:divsChild>
        </w:div>
        <w:div w:id="1369332913">
          <w:marLeft w:val="0"/>
          <w:marRight w:val="0"/>
          <w:marTop w:val="0"/>
          <w:marBottom w:val="0"/>
          <w:divBdr>
            <w:top w:val="none" w:sz="0" w:space="0" w:color="auto"/>
            <w:left w:val="none" w:sz="0" w:space="0" w:color="auto"/>
            <w:bottom w:val="none" w:sz="0" w:space="0" w:color="auto"/>
            <w:right w:val="none" w:sz="0" w:space="0" w:color="auto"/>
          </w:divBdr>
          <w:divsChild>
            <w:div w:id="749040744">
              <w:marLeft w:val="0"/>
              <w:marRight w:val="0"/>
              <w:marTop w:val="0"/>
              <w:marBottom w:val="0"/>
              <w:divBdr>
                <w:top w:val="none" w:sz="0" w:space="0" w:color="auto"/>
                <w:left w:val="none" w:sz="0" w:space="0" w:color="auto"/>
                <w:bottom w:val="none" w:sz="0" w:space="0" w:color="auto"/>
                <w:right w:val="none" w:sz="0" w:space="0" w:color="auto"/>
              </w:divBdr>
            </w:div>
            <w:div w:id="200409811">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1478">
      <w:bodyDiv w:val="1"/>
      <w:marLeft w:val="0"/>
      <w:marRight w:val="0"/>
      <w:marTop w:val="0"/>
      <w:marBottom w:val="0"/>
      <w:divBdr>
        <w:top w:val="none" w:sz="0" w:space="0" w:color="auto"/>
        <w:left w:val="none" w:sz="0" w:space="0" w:color="auto"/>
        <w:bottom w:val="none" w:sz="0" w:space="0" w:color="auto"/>
        <w:right w:val="none" w:sz="0" w:space="0" w:color="auto"/>
      </w:divBdr>
    </w:div>
    <w:div w:id="6882136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835">
          <w:marLeft w:val="0"/>
          <w:marRight w:val="0"/>
          <w:marTop w:val="0"/>
          <w:marBottom w:val="0"/>
          <w:divBdr>
            <w:top w:val="none" w:sz="0" w:space="0" w:color="auto"/>
            <w:left w:val="none" w:sz="0" w:space="0" w:color="auto"/>
            <w:bottom w:val="none" w:sz="0" w:space="0" w:color="auto"/>
            <w:right w:val="none" w:sz="0" w:space="0" w:color="auto"/>
          </w:divBdr>
        </w:div>
        <w:div w:id="1757819841">
          <w:marLeft w:val="0"/>
          <w:marRight w:val="0"/>
          <w:marTop w:val="0"/>
          <w:marBottom w:val="0"/>
          <w:divBdr>
            <w:top w:val="none" w:sz="0" w:space="0" w:color="auto"/>
            <w:left w:val="none" w:sz="0" w:space="0" w:color="auto"/>
            <w:bottom w:val="none" w:sz="0" w:space="0" w:color="auto"/>
            <w:right w:val="none" w:sz="0" w:space="0" w:color="auto"/>
          </w:divBdr>
        </w:div>
        <w:div w:id="2136943318">
          <w:marLeft w:val="0"/>
          <w:marRight w:val="0"/>
          <w:marTop w:val="0"/>
          <w:marBottom w:val="0"/>
          <w:divBdr>
            <w:top w:val="none" w:sz="0" w:space="0" w:color="auto"/>
            <w:left w:val="none" w:sz="0" w:space="0" w:color="auto"/>
            <w:bottom w:val="none" w:sz="0" w:space="0" w:color="auto"/>
            <w:right w:val="none" w:sz="0" w:space="0" w:color="auto"/>
          </w:divBdr>
        </w:div>
        <w:div w:id="1801026863">
          <w:marLeft w:val="0"/>
          <w:marRight w:val="0"/>
          <w:marTop w:val="0"/>
          <w:marBottom w:val="0"/>
          <w:divBdr>
            <w:top w:val="none" w:sz="0" w:space="0" w:color="auto"/>
            <w:left w:val="none" w:sz="0" w:space="0" w:color="auto"/>
            <w:bottom w:val="none" w:sz="0" w:space="0" w:color="auto"/>
            <w:right w:val="none" w:sz="0" w:space="0" w:color="auto"/>
          </w:divBdr>
        </w:div>
      </w:divsChild>
    </w:div>
    <w:div w:id="739787652">
      <w:bodyDiv w:val="1"/>
      <w:marLeft w:val="0"/>
      <w:marRight w:val="0"/>
      <w:marTop w:val="0"/>
      <w:marBottom w:val="0"/>
      <w:divBdr>
        <w:top w:val="none" w:sz="0" w:space="0" w:color="auto"/>
        <w:left w:val="none" w:sz="0" w:space="0" w:color="auto"/>
        <w:bottom w:val="none" w:sz="0" w:space="0" w:color="auto"/>
        <w:right w:val="none" w:sz="0" w:space="0" w:color="auto"/>
      </w:divBdr>
      <w:divsChild>
        <w:div w:id="90051814">
          <w:marLeft w:val="0"/>
          <w:marRight w:val="0"/>
          <w:marTop w:val="0"/>
          <w:marBottom w:val="0"/>
          <w:divBdr>
            <w:top w:val="none" w:sz="0" w:space="0" w:color="auto"/>
            <w:left w:val="none" w:sz="0" w:space="0" w:color="auto"/>
            <w:bottom w:val="none" w:sz="0" w:space="0" w:color="auto"/>
            <w:right w:val="none" w:sz="0" w:space="0" w:color="auto"/>
          </w:divBdr>
        </w:div>
        <w:div w:id="1427767641">
          <w:marLeft w:val="0"/>
          <w:marRight w:val="0"/>
          <w:marTop w:val="0"/>
          <w:marBottom w:val="0"/>
          <w:divBdr>
            <w:top w:val="none" w:sz="0" w:space="0" w:color="auto"/>
            <w:left w:val="none" w:sz="0" w:space="0" w:color="auto"/>
            <w:bottom w:val="none" w:sz="0" w:space="0" w:color="auto"/>
            <w:right w:val="none" w:sz="0" w:space="0" w:color="auto"/>
          </w:divBdr>
          <w:divsChild>
            <w:div w:id="512720026">
              <w:marLeft w:val="0"/>
              <w:marRight w:val="0"/>
              <w:marTop w:val="0"/>
              <w:marBottom w:val="0"/>
              <w:divBdr>
                <w:top w:val="none" w:sz="0" w:space="0" w:color="auto"/>
                <w:left w:val="none" w:sz="0" w:space="0" w:color="auto"/>
                <w:bottom w:val="none" w:sz="0" w:space="0" w:color="auto"/>
                <w:right w:val="none" w:sz="0" w:space="0" w:color="auto"/>
              </w:divBdr>
            </w:div>
            <w:div w:id="653949574">
              <w:marLeft w:val="0"/>
              <w:marRight w:val="0"/>
              <w:marTop w:val="0"/>
              <w:marBottom w:val="0"/>
              <w:divBdr>
                <w:top w:val="none" w:sz="0" w:space="0" w:color="auto"/>
                <w:left w:val="none" w:sz="0" w:space="0" w:color="auto"/>
                <w:bottom w:val="none" w:sz="0" w:space="0" w:color="auto"/>
                <w:right w:val="none" w:sz="0" w:space="0" w:color="auto"/>
              </w:divBdr>
            </w:div>
            <w:div w:id="1042629547">
              <w:marLeft w:val="0"/>
              <w:marRight w:val="0"/>
              <w:marTop w:val="0"/>
              <w:marBottom w:val="0"/>
              <w:divBdr>
                <w:top w:val="none" w:sz="0" w:space="0" w:color="auto"/>
                <w:left w:val="none" w:sz="0" w:space="0" w:color="auto"/>
                <w:bottom w:val="none" w:sz="0" w:space="0" w:color="auto"/>
                <w:right w:val="none" w:sz="0" w:space="0" w:color="auto"/>
              </w:divBdr>
            </w:div>
            <w:div w:id="5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037">
      <w:bodyDiv w:val="1"/>
      <w:marLeft w:val="0"/>
      <w:marRight w:val="0"/>
      <w:marTop w:val="0"/>
      <w:marBottom w:val="0"/>
      <w:divBdr>
        <w:top w:val="none" w:sz="0" w:space="0" w:color="auto"/>
        <w:left w:val="none" w:sz="0" w:space="0" w:color="auto"/>
        <w:bottom w:val="none" w:sz="0" w:space="0" w:color="auto"/>
        <w:right w:val="none" w:sz="0" w:space="0" w:color="auto"/>
      </w:divBdr>
      <w:divsChild>
        <w:div w:id="1347823324">
          <w:marLeft w:val="0"/>
          <w:marRight w:val="0"/>
          <w:marTop w:val="0"/>
          <w:marBottom w:val="0"/>
          <w:divBdr>
            <w:top w:val="none" w:sz="0" w:space="0" w:color="auto"/>
            <w:left w:val="none" w:sz="0" w:space="0" w:color="auto"/>
            <w:bottom w:val="none" w:sz="0" w:space="0" w:color="auto"/>
            <w:right w:val="none" w:sz="0" w:space="0" w:color="auto"/>
          </w:divBdr>
          <w:divsChild>
            <w:div w:id="2030374874">
              <w:marLeft w:val="0"/>
              <w:marRight w:val="0"/>
              <w:marTop w:val="0"/>
              <w:marBottom w:val="0"/>
              <w:divBdr>
                <w:top w:val="none" w:sz="0" w:space="0" w:color="auto"/>
                <w:left w:val="none" w:sz="0" w:space="0" w:color="auto"/>
                <w:bottom w:val="none" w:sz="0" w:space="0" w:color="auto"/>
                <w:right w:val="none" w:sz="0" w:space="0" w:color="auto"/>
              </w:divBdr>
            </w:div>
            <w:div w:id="364865102">
              <w:marLeft w:val="0"/>
              <w:marRight w:val="0"/>
              <w:marTop w:val="0"/>
              <w:marBottom w:val="0"/>
              <w:divBdr>
                <w:top w:val="none" w:sz="0" w:space="0" w:color="auto"/>
                <w:left w:val="none" w:sz="0" w:space="0" w:color="auto"/>
                <w:bottom w:val="none" w:sz="0" w:space="0" w:color="auto"/>
                <w:right w:val="none" w:sz="0" w:space="0" w:color="auto"/>
              </w:divBdr>
            </w:div>
            <w:div w:id="1469198760">
              <w:marLeft w:val="0"/>
              <w:marRight w:val="0"/>
              <w:marTop w:val="0"/>
              <w:marBottom w:val="0"/>
              <w:divBdr>
                <w:top w:val="none" w:sz="0" w:space="0" w:color="auto"/>
                <w:left w:val="none" w:sz="0" w:space="0" w:color="auto"/>
                <w:bottom w:val="none" w:sz="0" w:space="0" w:color="auto"/>
                <w:right w:val="none" w:sz="0" w:space="0" w:color="auto"/>
              </w:divBdr>
            </w:div>
            <w:div w:id="47269958">
              <w:marLeft w:val="0"/>
              <w:marRight w:val="0"/>
              <w:marTop w:val="0"/>
              <w:marBottom w:val="0"/>
              <w:divBdr>
                <w:top w:val="none" w:sz="0" w:space="0" w:color="auto"/>
                <w:left w:val="none" w:sz="0" w:space="0" w:color="auto"/>
                <w:bottom w:val="none" w:sz="0" w:space="0" w:color="auto"/>
                <w:right w:val="none" w:sz="0" w:space="0" w:color="auto"/>
              </w:divBdr>
            </w:div>
          </w:divsChild>
        </w:div>
        <w:div w:id="644042484">
          <w:marLeft w:val="0"/>
          <w:marRight w:val="0"/>
          <w:marTop w:val="0"/>
          <w:marBottom w:val="0"/>
          <w:divBdr>
            <w:top w:val="none" w:sz="0" w:space="0" w:color="auto"/>
            <w:left w:val="none" w:sz="0" w:space="0" w:color="auto"/>
            <w:bottom w:val="none" w:sz="0" w:space="0" w:color="auto"/>
            <w:right w:val="none" w:sz="0" w:space="0" w:color="auto"/>
          </w:divBdr>
          <w:divsChild>
            <w:div w:id="1246652878">
              <w:marLeft w:val="0"/>
              <w:marRight w:val="0"/>
              <w:marTop w:val="0"/>
              <w:marBottom w:val="0"/>
              <w:divBdr>
                <w:top w:val="none" w:sz="0" w:space="0" w:color="auto"/>
                <w:left w:val="none" w:sz="0" w:space="0" w:color="auto"/>
                <w:bottom w:val="none" w:sz="0" w:space="0" w:color="auto"/>
                <w:right w:val="none" w:sz="0" w:space="0" w:color="auto"/>
              </w:divBdr>
            </w:div>
            <w:div w:id="2127037308">
              <w:marLeft w:val="0"/>
              <w:marRight w:val="0"/>
              <w:marTop w:val="0"/>
              <w:marBottom w:val="0"/>
              <w:divBdr>
                <w:top w:val="none" w:sz="0" w:space="0" w:color="auto"/>
                <w:left w:val="none" w:sz="0" w:space="0" w:color="auto"/>
                <w:bottom w:val="none" w:sz="0" w:space="0" w:color="auto"/>
                <w:right w:val="none" w:sz="0" w:space="0" w:color="auto"/>
              </w:divBdr>
            </w:div>
            <w:div w:id="1447582460">
              <w:marLeft w:val="0"/>
              <w:marRight w:val="0"/>
              <w:marTop w:val="0"/>
              <w:marBottom w:val="0"/>
              <w:divBdr>
                <w:top w:val="none" w:sz="0" w:space="0" w:color="auto"/>
                <w:left w:val="none" w:sz="0" w:space="0" w:color="auto"/>
                <w:bottom w:val="none" w:sz="0" w:space="0" w:color="auto"/>
                <w:right w:val="none" w:sz="0" w:space="0" w:color="auto"/>
              </w:divBdr>
            </w:div>
            <w:div w:id="1688946035">
              <w:marLeft w:val="0"/>
              <w:marRight w:val="0"/>
              <w:marTop w:val="0"/>
              <w:marBottom w:val="0"/>
              <w:divBdr>
                <w:top w:val="none" w:sz="0" w:space="0" w:color="auto"/>
                <w:left w:val="none" w:sz="0" w:space="0" w:color="auto"/>
                <w:bottom w:val="none" w:sz="0" w:space="0" w:color="auto"/>
                <w:right w:val="none" w:sz="0" w:space="0" w:color="auto"/>
              </w:divBdr>
            </w:div>
            <w:div w:id="1998681637">
              <w:marLeft w:val="0"/>
              <w:marRight w:val="0"/>
              <w:marTop w:val="0"/>
              <w:marBottom w:val="0"/>
              <w:divBdr>
                <w:top w:val="none" w:sz="0" w:space="0" w:color="auto"/>
                <w:left w:val="none" w:sz="0" w:space="0" w:color="auto"/>
                <w:bottom w:val="none" w:sz="0" w:space="0" w:color="auto"/>
                <w:right w:val="none" w:sz="0" w:space="0" w:color="auto"/>
              </w:divBdr>
            </w:div>
          </w:divsChild>
        </w:div>
        <w:div w:id="147285984">
          <w:marLeft w:val="0"/>
          <w:marRight w:val="0"/>
          <w:marTop w:val="0"/>
          <w:marBottom w:val="0"/>
          <w:divBdr>
            <w:top w:val="none" w:sz="0" w:space="0" w:color="auto"/>
            <w:left w:val="none" w:sz="0" w:space="0" w:color="auto"/>
            <w:bottom w:val="none" w:sz="0" w:space="0" w:color="auto"/>
            <w:right w:val="none" w:sz="0" w:space="0" w:color="auto"/>
          </w:divBdr>
        </w:div>
      </w:divsChild>
    </w:div>
    <w:div w:id="997880235">
      <w:bodyDiv w:val="1"/>
      <w:marLeft w:val="0"/>
      <w:marRight w:val="0"/>
      <w:marTop w:val="0"/>
      <w:marBottom w:val="0"/>
      <w:divBdr>
        <w:top w:val="none" w:sz="0" w:space="0" w:color="auto"/>
        <w:left w:val="none" w:sz="0" w:space="0" w:color="auto"/>
        <w:bottom w:val="none" w:sz="0" w:space="0" w:color="auto"/>
        <w:right w:val="none" w:sz="0" w:space="0" w:color="auto"/>
      </w:divBdr>
      <w:divsChild>
        <w:div w:id="267469160">
          <w:marLeft w:val="0"/>
          <w:marRight w:val="0"/>
          <w:marTop w:val="0"/>
          <w:marBottom w:val="0"/>
          <w:divBdr>
            <w:top w:val="none" w:sz="0" w:space="0" w:color="auto"/>
            <w:left w:val="none" w:sz="0" w:space="0" w:color="auto"/>
            <w:bottom w:val="none" w:sz="0" w:space="0" w:color="auto"/>
            <w:right w:val="none" w:sz="0" w:space="0" w:color="auto"/>
          </w:divBdr>
        </w:div>
        <w:div w:id="1185829649">
          <w:marLeft w:val="0"/>
          <w:marRight w:val="0"/>
          <w:marTop w:val="0"/>
          <w:marBottom w:val="0"/>
          <w:divBdr>
            <w:top w:val="none" w:sz="0" w:space="0" w:color="auto"/>
            <w:left w:val="none" w:sz="0" w:space="0" w:color="auto"/>
            <w:bottom w:val="none" w:sz="0" w:space="0" w:color="auto"/>
            <w:right w:val="none" w:sz="0" w:space="0" w:color="auto"/>
          </w:divBdr>
        </w:div>
        <w:div w:id="1357123717">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180083">
      <w:bodyDiv w:val="1"/>
      <w:marLeft w:val="0"/>
      <w:marRight w:val="0"/>
      <w:marTop w:val="0"/>
      <w:marBottom w:val="0"/>
      <w:divBdr>
        <w:top w:val="none" w:sz="0" w:space="0" w:color="auto"/>
        <w:left w:val="none" w:sz="0" w:space="0" w:color="auto"/>
        <w:bottom w:val="none" w:sz="0" w:space="0" w:color="auto"/>
        <w:right w:val="none" w:sz="0" w:space="0" w:color="auto"/>
      </w:divBdr>
      <w:divsChild>
        <w:div w:id="1940209449">
          <w:marLeft w:val="0"/>
          <w:marRight w:val="0"/>
          <w:marTop w:val="0"/>
          <w:marBottom w:val="0"/>
          <w:divBdr>
            <w:top w:val="none" w:sz="0" w:space="0" w:color="auto"/>
            <w:left w:val="none" w:sz="0" w:space="0" w:color="auto"/>
            <w:bottom w:val="none" w:sz="0" w:space="0" w:color="auto"/>
            <w:right w:val="none" w:sz="0" w:space="0" w:color="auto"/>
          </w:divBdr>
        </w:div>
        <w:div w:id="445151053">
          <w:marLeft w:val="0"/>
          <w:marRight w:val="0"/>
          <w:marTop w:val="0"/>
          <w:marBottom w:val="0"/>
          <w:divBdr>
            <w:top w:val="none" w:sz="0" w:space="0" w:color="auto"/>
            <w:left w:val="none" w:sz="0" w:space="0" w:color="auto"/>
            <w:bottom w:val="none" w:sz="0" w:space="0" w:color="auto"/>
            <w:right w:val="none" w:sz="0" w:space="0" w:color="auto"/>
          </w:divBdr>
        </w:div>
        <w:div w:id="1938439798">
          <w:marLeft w:val="0"/>
          <w:marRight w:val="0"/>
          <w:marTop w:val="0"/>
          <w:marBottom w:val="0"/>
          <w:divBdr>
            <w:top w:val="none" w:sz="0" w:space="0" w:color="auto"/>
            <w:left w:val="none" w:sz="0" w:space="0" w:color="auto"/>
            <w:bottom w:val="none" w:sz="0" w:space="0" w:color="auto"/>
            <w:right w:val="none" w:sz="0" w:space="0" w:color="auto"/>
          </w:divBdr>
        </w:div>
      </w:divsChild>
    </w:div>
    <w:div w:id="1222137330">
      <w:bodyDiv w:val="1"/>
      <w:marLeft w:val="0"/>
      <w:marRight w:val="0"/>
      <w:marTop w:val="0"/>
      <w:marBottom w:val="0"/>
      <w:divBdr>
        <w:top w:val="none" w:sz="0" w:space="0" w:color="auto"/>
        <w:left w:val="none" w:sz="0" w:space="0" w:color="auto"/>
        <w:bottom w:val="none" w:sz="0" w:space="0" w:color="auto"/>
        <w:right w:val="none" w:sz="0" w:space="0" w:color="auto"/>
      </w:divBdr>
      <w:divsChild>
        <w:div w:id="862942508">
          <w:marLeft w:val="0"/>
          <w:marRight w:val="0"/>
          <w:marTop w:val="0"/>
          <w:marBottom w:val="0"/>
          <w:divBdr>
            <w:top w:val="none" w:sz="0" w:space="0" w:color="auto"/>
            <w:left w:val="none" w:sz="0" w:space="0" w:color="auto"/>
            <w:bottom w:val="none" w:sz="0" w:space="0" w:color="auto"/>
            <w:right w:val="none" w:sz="0" w:space="0" w:color="auto"/>
          </w:divBdr>
        </w:div>
        <w:div w:id="1331711403">
          <w:marLeft w:val="0"/>
          <w:marRight w:val="0"/>
          <w:marTop w:val="0"/>
          <w:marBottom w:val="0"/>
          <w:divBdr>
            <w:top w:val="none" w:sz="0" w:space="0" w:color="auto"/>
            <w:left w:val="none" w:sz="0" w:space="0" w:color="auto"/>
            <w:bottom w:val="none" w:sz="0" w:space="0" w:color="auto"/>
            <w:right w:val="none" w:sz="0" w:space="0" w:color="auto"/>
          </w:divBdr>
        </w:div>
        <w:div w:id="2081824204">
          <w:marLeft w:val="0"/>
          <w:marRight w:val="0"/>
          <w:marTop w:val="0"/>
          <w:marBottom w:val="0"/>
          <w:divBdr>
            <w:top w:val="none" w:sz="0" w:space="0" w:color="auto"/>
            <w:left w:val="none" w:sz="0" w:space="0" w:color="auto"/>
            <w:bottom w:val="none" w:sz="0" w:space="0" w:color="auto"/>
            <w:right w:val="none" w:sz="0" w:space="0" w:color="auto"/>
          </w:divBdr>
          <w:divsChild>
            <w:div w:id="1006597606">
              <w:marLeft w:val="0"/>
              <w:marRight w:val="0"/>
              <w:marTop w:val="0"/>
              <w:marBottom w:val="0"/>
              <w:divBdr>
                <w:top w:val="none" w:sz="0" w:space="0" w:color="auto"/>
                <w:left w:val="none" w:sz="0" w:space="0" w:color="auto"/>
                <w:bottom w:val="none" w:sz="0" w:space="0" w:color="auto"/>
                <w:right w:val="none" w:sz="0" w:space="0" w:color="auto"/>
              </w:divBdr>
            </w:div>
            <w:div w:id="763454300">
              <w:marLeft w:val="0"/>
              <w:marRight w:val="0"/>
              <w:marTop w:val="0"/>
              <w:marBottom w:val="0"/>
              <w:divBdr>
                <w:top w:val="none" w:sz="0" w:space="0" w:color="auto"/>
                <w:left w:val="none" w:sz="0" w:space="0" w:color="auto"/>
                <w:bottom w:val="none" w:sz="0" w:space="0" w:color="auto"/>
                <w:right w:val="none" w:sz="0" w:space="0" w:color="auto"/>
              </w:divBdr>
            </w:div>
            <w:div w:id="1823618941">
              <w:marLeft w:val="0"/>
              <w:marRight w:val="0"/>
              <w:marTop w:val="0"/>
              <w:marBottom w:val="0"/>
              <w:divBdr>
                <w:top w:val="none" w:sz="0" w:space="0" w:color="auto"/>
                <w:left w:val="none" w:sz="0" w:space="0" w:color="auto"/>
                <w:bottom w:val="none" w:sz="0" w:space="0" w:color="auto"/>
                <w:right w:val="none" w:sz="0" w:space="0" w:color="auto"/>
              </w:divBdr>
            </w:div>
            <w:div w:id="1041788719">
              <w:marLeft w:val="0"/>
              <w:marRight w:val="0"/>
              <w:marTop w:val="0"/>
              <w:marBottom w:val="0"/>
              <w:divBdr>
                <w:top w:val="none" w:sz="0" w:space="0" w:color="auto"/>
                <w:left w:val="none" w:sz="0" w:space="0" w:color="auto"/>
                <w:bottom w:val="none" w:sz="0" w:space="0" w:color="auto"/>
                <w:right w:val="none" w:sz="0" w:space="0" w:color="auto"/>
              </w:divBdr>
            </w:div>
            <w:div w:id="1544560478">
              <w:marLeft w:val="0"/>
              <w:marRight w:val="0"/>
              <w:marTop w:val="0"/>
              <w:marBottom w:val="0"/>
              <w:divBdr>
                <w:top w:val="none" w:sz="0" w:space="0" w:color="auto"/>
                <w:left w:val="none" w:sz="0" w:space="0" w:color="auto"/>
                <w:bottom w:val="none" w:sz="0" w:space="0" w:color="auto"/>
                <w:right w:val="none" w:sz="0" w:space="0" w:color="auto"/>
              </w:divBdr>
            </w:div>
          </w:divsChild>
        </w:div>
        <w:div w:id="2121487996">
          <w:marLeft w:val="0"/>
          <w:marRight w:val="0"/>
          <w:marTop w:val="0"/>
          <w:marBottom w:val="0"/>
          <w:divBdr>
            <w:top w:val="none" w:sz="0" w:space="0" w:color="auto"/>
            <w:left w:val="none" w:sz="0" w:space="0" w:color="auto"/>
            <w:bottom w:val="none" w:sz="0" w:space="0" w:color="auto"/>
            <w:right w:val="none" w:sz="0" w:space="0" w:color="auto"/>
          </w:divBdr>
          <w:divsChild>
            <w:div w:id="988634472">
              <w:marLeft w:val="0"/>
              <w:marRight w:val="0"/>
              <w:marTop w:val="0"/>
              <w:marBottom w:val="0"/>
              <w:divBdr>
                <w:top w:val="none" w:sz="0" w:space="0" w:color="auto"/>
                <w:left w:val="none" w:sz="0" w:space="0" w:color="auto"/>
                <w:bottom w:val="none" w:sz="0" w:space="0" w:color="auto"/>
                <w:right w:val="none" w:sz="0" w:space="0" w:color="auto"/>
              </w:divBdr>
            </w:div>
          </w:divsChild>
        </w:div>
        <w:div w:id="1040940689">
          <w:marLeft w:val="0"/>
          <w:marRight w:val="0"/>
          <w:marTop w:val="0"/>
          <w:marBottom w:val="0"/>
          <w:divBdr>
            <w:top w:val="none" w:sz="0" w:space="0" w:color="auto"/>
            <w:left w:val="none" w:sz="0" w:space="0" w:color="auto"/>
            <w:bottom w:val="none" w:sz="0" w:space="0" w:color="auto"/>
            <w:right w:val="none" w:sz="0" w:space="0" w:color="auto"/>
          </w:divBdr>
          <w:divsChild>
            <w:div w:id="1364599751">
              <w:marLeft w:val="0"/>
              <w:marRight w:val="0"/>
              <w:marTop w:val="0"/>
              <w:marBottom w:val="0"/>
              <w:divBdr>
                <w:top w:val="none" w:sz="0" w:space="0" w:color="auto"/>
                <w:left w:val="none" w:sz="0" w:space="0" w:color="auto"/>
                <w:bottom w:val="none" w:sz="0" w:space="0" w:color="auto"/>
                <w:right w:val="none" w:sz="0" w:space="0" w:color="auto"/>
              </w:divBdr>
            </w:div>
            <w:div w:id="368147179">
              <w:marLeft w:val="0"/>
              <w:marRight w:val="0"/>
              <w:marTop w:val="0"/>
              <w:marBottom w:val="0"/>
              <w:divBdr>
                <w:top w:val="none" w:sz="0" w:space="0" w:color="auto"/>
                <w:left w:val="none" w:sz="0" w:space="0" w:color="auto"/>
                <w:bottom w:val="none" w:sz="0" w:space="0" w:color="auto"/>
                <w:right w:val="none" w:sz="0" w:space="0" w:color="auto"/>
              </w:divBdr>
            </w:div>
            <w:div w:id="2094669192">
              <w:marLeft w:val="0"/>
              <w:marRight w:val="0"/>
              <w:marTop w:val="0"/>
              <w:marBottom w:val="0"/>
              <w:divBdr>
                <w:top w:val="none" w:sz="0" w:space="0" w:color="auto"/>
                <w:left w:val="none" w:sz="0" w:space="0" w:color="auto"/>
                <w:bottom w:val="none" w:sz="0" w:space="0" w:color="auto"/>
                <w:right w:val="none" w:sz="0" w:space="0" w:color="auto"/>
              </w:divBdr>
            </w:div>
            <w:div w:id="1254626849">
              <w:marLeft w:val="0"/>
              <w:marRight w:val="0"/>
              <w:marTop w:val="0"/>
              <w:marBottom w:val="0"/>
              <w:divBdr>
                <w:top w:val="none" w:sz="0" w:space="0" w:color="auto"/>
                <w:left w:val="none" w:sz="0" w:space="0" w:color="auto"/>
                <w:bottom w:val="none" w:sz="0" w:space="0" w:color="auto"/>
                <w:right w:val="none" w:sz="0" w:space="0" w:color="auto"/>
              </w:divBdr>
            </w:div>
            <w:div w:id="1953972320">
              <w:marLeft w:val="0"/>
              <w:marRight w:val="0"/>
              <w:marTop w:val="0"/>
              <w:marBottom w:val="0"/>
              <w:divBdr>
                <w:top w:val="none" w:sz="0" w:space="0" w:color="auto"/>
                <w:left w:val="none" w:sz="0" w:space="0" w:color="auto"/>
                <w:bottom w:val="none" w:sz="0" w:space="0" w:color="auto"/>
                <w:right w:val="none" w:sz="0" w:space="0" w:color="auto"/>
              </w:divBdr>
            </w:div>
          </w:divsChild>
        </w:div>
        <w:div w:id="1307319115">
          <w:marLeft w:val="0"/>
          <w:marRight w:val="0"/>
          <w:marTop w:val="0"/>
          <w:marBottom w:val="0"/>
          <w:divBdr>
            <w:top w:val="none" w:sz="0" w:space="0" w:color="auto"/>
            <w:left w:val="none" w:sz="0" w:space="0" w:color="auto"/>
            <w:bottom w:val="none" w:sz="0" w:space="0" w:color="auto"/>
            <w:right w:val="none" w:sz="0" w:space="0" w:color="auto"/>
          </w:divBdr>
          <w:divsChild>
            <w:div w:id="1798719712">
              <w:marLeft w:val="0"/>
              <w:marRight w:val="0"/>
              <w:marTop w:val="0"/>
              <w:marBottom w:val="0"/>
              <w:divBdr>
                <w:top w:val="none" w:sz="0" w:space="0" w:color="auto"/>
                <w:left w:val="none" w:sz="0" w:space="0" w:color="auto"/>
                <w:bottom w:val="none" w:sz="0" w:space="0" w:color="auto"/>
                <w:right w:val="none" w:sz="0" w:space="0" w:color="auto"/>
              </w:divBdr>
            </w:div>
            <w:div w:id="504365868">
              <w:marLeft w:val="0"/>
              <w:marRight w:val="0"/>
              <w:marTop w:val="0"/>
              <w:marBottom w:val="0"/>
              <w:divBdr>
                <w:top w:val="none" w:sz="0" w:space="0" w:color="auto"/>
                <w:left w:val="none" w:sz="0" w:space="0" w:color="auto"/>
                <w:bottom w:val="none" w:sz="0" w:space="0" w:color="auto"/>
                <w:right w:val="none" w:sz="0" w:space="0" w:color="auto"/>
              </w:divBdr>
            </w:div>
            <w:div w:id="1667710688">
              <w:marLeft w:val="0"/>
              <w:marRight w:val="0"/>
              <w:marTop w:val="0"/>
              <w:marBottom w:val="0"/>
              <w:divBdr>
                <w:top w:val="none" w:sz="0" w:space="0" w:color="auto"/>
                <w:left w:val="none" w:sz="0" w:space="0" w:color="auto"/>
                <w:bottom w:val="none" w:sz="0" w:space="0" w:color="auto"/>
                <w:right w:val="none" w:sz="0" w:space="0" w:color="auto"/>
              </w:divBdr>
            </w:div>
            <w:div w:id="840118494">
              <w:marLeft w:val="0"/>
              <w:marRight w:val="0"/>
              <w:marTop w:val="0"/>
              <w:marBottom w:val="0"/>
              <w:divBdr>
                <w:top w:val="none" w:sz="0" w:space="0" w:color="auto"/>
                <w:left w:val="none" w:sz="0" w:space="0" w:color="auto"/>
                <w:bottom w:val="none" w:sz="0" w:space="0" w:color="auto"/>
                <w:right w:val="none" w:sz="0" w:space="0" w:color="auto"/>
              </w:divBdr>
            </w:div>
            <w:div w:id="502865524">
              <w:marLeft w:val="0"/>
              <w:marRight w:val="0"/>
              <w:marTop w:val="0"/>
              <w:marBottom w:val="0"/>
              <w:divBdr>
                <w:top w:val="none" w:sz="0" w:space="0" w:color="auto"/>
                <w:left w:val="none" w:sz="0" w:space="0" w:color="auto"/>
                <w:bottom w:val="none" w:sz="0" w:space="0" w:color="auto"/>
                <w:right w:val="none" w:sz="0" w:space="0" w:color="auto"/>
              </w:divBdr>
            </w:div>
          </w:divsChild>
        </w:div>
        <w:div w:id="1866212504">
          <w:marLeft w:val="0"/>
          <w:marRight w:val="0"/>
          <w:marTop w:val="0"/>
          <w:marBottom w:val="0"/>
          <w:divBdr>
            <w:top w:val="none" w:sz="0" w:space="0" w:color="auto"/>
            <w:left w:val="none" w:sz="0" w:space="0" w:color="auto"/>
            <w:bottom w:val="none" w:sz="0" w:space="0" w:color="auto"/>
            <w:right w:val="none" w:sz="0" w:space="0" w:color="auto"/>
          </w:divBdr>
          <w:divsChild>
            <w:div w:id="443619698">
              <w:marLeft w:val="0"/>
              <w:marRight w:val="0"/>
              <w:marTop w:val="0"/>
              <w:marBottom w:val="0"/>
              <w:divBdr>
                <w:top w:val="none" w:sz="0" w:space="0" w:color="auto"/>
                <w:left w:val="none" w:sz="0" w:space="0" w:color="auto"/>
                <w:bottom w:val="none" w:sz="0" w:space="0" w:color="auto"/>
                <w:right w:val="none" w:sz="0" w:space="0" w:color="auto"/>
              </w:divBdr>
            </w:div>
            <w:div w:id="1913656229">
              <w:marLeft w:val="0"/>
              <w:marRight w:val="0"/>
              <w:marTop w:val="0"/>
              <w:marBottom w:val="0"/>
              <w:divBdr>
                <w:top w:val="none" w:sz="0" w:space="0" w:color="auto"/>
                <w:left w:val="none" w:sz="0" w:space="0" w:color="auto"/>
                <w:bottom w:val="none" w:sz="0" w:space="0" w:color="auto"/>
                <w:right w:val="none" w:sz="0" w:space="0" w:color="auto"/>
              </w:divBdr>
            </w:div>
            <w:div w:id="931740378">
              <w:marLeft w:val="0"/>
              <w:marRight w:val="0"/>
              <w:marTop w:val="0"/>
              <w:marBottom w:val="0"/>
              <w:divBdr>
                <w:top w:val="none" w:sz="0" w:space="0" w:color="auto"/>
                <w:left w:val="none" w:sz="0" w:space="0" w:color="auto"/>
                <w:bottom w:val="none" w:sz="0" w:space="0" w:color="auto"/>
                <w:right w:val="none" w:sz="0" w:space="0" w:color="auto"/>
              </w:divBdr>
            </w:div>
            <w:div w:id="1662808168">
              <w:marLeft w:val="0"/>
              <w:marRight w:val="0"/>
              <w:marTop w:val="0"/>
              <w:marBottom w:val="0"/>
              <w:divBdr>
                <w:top w:val="none" w:sz="0" w:space="0" w:color="auto"/>
                <w:left w:val="none" w:sz="0" w:space="0" w:color="auto"/>
                <w:bottom w:val="none" w:sz="0" w:space="0" w:color="auto"/>
                <w:right w:val="none" w:sz="0" w:space="0" w:color="auto"/>
              </w:divBdr>
            </w:div>
            <w:div w:id="1870338546">
              <w:marLeft w:val="0"/>
              <w:marRight w:val="0"/>
              <w:marTop w:val="0"/>
              <w:marBottom w:val="0"/>
              <w:divBdr>
                <w:top w:val="none" w:sz="0" w:space="0" w:color="auto"/>
                <w:left w:val="none" w:sz="0" w:space="0" w:color="auto"/>
                <w:bottom w:val="none" w:sz="0" w:space="0" w:color="auto"/>
                <w:right w:val="none" w:sz="0" w:space="0" w:color="auto"/>
              </w:divBdr>
            </w:div>
          </w:divsChild>
        </w:div>
        <w:div w:id="1745368912">
          <w:marLeft w:val="0"/>
          <w:marRight w:val="0"/>
          <w:marTop w:val="0"/>
          <w:marBottom w:val="0"/>
          <w:divBdr>
            <w:top w:val="none" w:sz="0" w:space="0" w:color="auto"/>
            <w:left w:val="none" w:sz="0" w:space="0" w:color="auto"/>
            <w:bottom w:val="none" w:sz="0" w:space="0" w:color="auto"/>
            <w:right w:val="none" w:sz="0" w:space="0" w:color="auto"/>
          </w:divBdr>
          <w:divsChild>
            <w:div w:id="1816951314">
              <w:marLeft w:val="0"/>
              <w:marRight w:val="0"/>
              <w:marTop w:val="0"/>
              <w:marBottom w:val="0"/>
              <w:divBdr>
                <w:top w:val="none" w:sz="0" w:space="0" w:color="auto"/>
                <w:left w:val="none" w:sz="0" w:space="0" w:color="auto"/>
                <w:bottom w:val="none" w:sz="0" w:space="0" w:color="auto"/>
                <w:right w:val="none" w:sz="0" w:space="0" w:color="auto"/>
              </w:divBdr>
            </w:div>
            <w:div w:id="675423342">
              <w:marLeft w:val="0"/>
              <w:marRight w:val="0"/>
              <w:marTop w:val="0"/>
              <w:marBottom w:val="0"/>
              <w:divBdr>
                <w:top w:val="none" w:sz="0" w:space="0" w:color="auto"/>
                <w:left w:val="none" w:sz="0" w:space="0" w:color="auto"/>
                <w:bottom w:val="none" w:sz="0" w:space="0" w:color="auto"/>
                <w:right w:val="none" w:sz="0" w:space="0" w:color="auto"/>
              </w:divBdr>
            </w:div>
            <w:div w:id="597249586">
              <w:marLeft w:val="0"/>
              <w:marRight w:val="0"/>
              <w:marTop w:val="0"/>
              <w:marBottom w:val="0"/>
              <w:divBdr>
                <w:top w:val="none" w:sz="0" w:space="0" w:color="auto"/>
                <w:left w:val="none" w:sz="0" w:space="0" w:color="auto"/>
                <w:bottom w:val="none" w:sz="0" w:space="0" w:color="auto"/>
                <w:right w:val="none" w:sz="0" w:space="0" w:color="auto"/>
              </w:divBdr>
            </w:div>
            <w:div w:id="812794703">
              <w:marLeft w:val="0"/>
              <w:marRight w:val="0"/>
              <w:marTop w:val="0"/>
              <w:marBottom w:val="0"/>
              <w:divBdr>
                <w:top w:val="none" w:sz="0" w:space="0" w:color="auto"/>
                <w:left w:val="none" w:sz="0" w:space="0" w:color="auto"/>
                <w:bottom w:val="none" w:sz="0" w:space="0" w:color="auto"/>
                <w:right w:val="none" w:sz="0" w:space="0" w:color="auto"/>
              </w:divBdr>
            </w:div>
            <w:div w:id="1125735873">
              <w:marLeft w:val="0"/>
              <w:marRight w:val="0"/>
              <w:marTop w:val="0"/>
              <w:marBottom w:val="0"/>
              <w:divBdr>
                <w:top w:val="none" w:sz="0" w:space="0" w:color="auto"/>
                <w:left w:val="none" w:sz="0" w:space="0" w:color="auto"/>
                <w:bottom w:val="none" w:sz="0" w:space="0" w:color="auto"/>
                <w:right w:val="none" w:sz="0" w:space="0" w:color="auto"/>
              </w:divBdr>
            </w:div>
          </w:divsChild>
        </w:div>
        <w:div w:id="1302226297">
          <w:marLeft w:val="0"/>
          <w:marRight w:val="0"/>
          <w:marTop w:val="0"/>
          <w:marBottom w:val="0"/>
          <w:divBdr>
            <w:top w:val="none" w:sz="0" w:space="0" w:color="auto"/>
            <w:left w:val="none" w:sz="0" w:space="0" w:color="auto"/>
            <w:bottom w:val="none" w:sz="0" w:space="0" w:color="auto"/>
            <w:right w:val="none" w:sz="0" w:space="0" w:color="auto"/>
          </w:divBdr>
          <w:divsChild>
            <w:div w:id="875316899">
              <w:marLeft w:val="0"/>
              <w:marRight w:val="0"/>
              <w:marTop w:val="0"/>
              <w:marBottom w:val="0"/>
              <w:divBdr>
                <w:top w:val="none" w:sz="0" w:space="0" w:color="auto"/>
                <w:left w:val="none" w:sz="0" w:space="0" w:color="auto"/>
                <w:bottom w:val="none" w:sz="0" w:space="0" w:color="auto"/>
                <w:right w:val="none" w:sz="0" w:space="0" w:color="auto"/>
              </w:divBdr>
            </w:div>
            <w:div w:id="16659576">
              <w:marLeft w:val="0"/>
              <w:marRight w:val="0"/>
              <w:marTop w:val="0"/>
              <w:marBottom w:val="0"/>
              <w:divBdr>
                <w:top w:val="none" w:sz="0" w:space="0" w:color="auto"/>
                <w:left w:val="none" w:sz="0" w:space="0" w:color="auto"/>
                <w:bottom w:val="none" w:sz="0" w:space="0" w:color="auto"/>
                <w:right w:val="none" w:sz="0" w:space="0" w:color="auto"/>
              </w:divBdr>
            </w:div>
            <w:div w:id="338166105">
              <w:marLeft w:val="0"/>
              <w:marRight w:val="0"/>
              <w:marTop w:val="0"/>
              <w:marBottom w:val="0"/>
              <w:divBdr>
                <w:top w:val="none" w:sz="0" w:space="0" w:color="auto"/>
                <w:left w:val="none" w:sz="0" w:space="0" w:color="auto"/>
                <w:bottom w:val="none" w:sz="0" w:space="0" w:color="auto"/>
                <w:right w:val="none" w:sz="0" w:space="0" w:color="auto"/>
              </w:divBdr>
            </w:div>
            <w:div w:id="824660148">
              <w:marLeft w:val="0"/>
              <w:marRight w:val="0"/>
              <w:marTop w:val="0"/>
              <w:marBottom w:val="0"/>
              <w:divBdr>
                <w:top w:val="none" w:sz="0" w:space="0" w:color="auto"/>
                <w:left w:val="none" w:sz="0" w:space="0" w:color="auto"/>
                <w:bottom w:val="none" w:sz="0" w:space="0" w:color="auto"/>
                <w:right w:val="none" w:sz="0" w:space="0" w:color="auto"/>
              </w:divBdr>
            </w:div>
            <w:div w:id="564991710">
              <w:marLeft w:val="0"/>
              <w:marRight w:val="0"/>
              <w:marTop w:val="0"/>
              <w:marBottom w:val="0"/>
              <w:divBdr>
                <w:top w:val="none" w:sz="0" w:space="0" w:color="auto"/>
                <w:left w:val="none" w:sz="0" w:space="0" w:color="auto"/>
                <w:bottom w:val="none" w:sz="0" w:space="0" w:color="auto"/>
                <w:right w:val="none" w:sz="0" w:space="0" w:color="auto"/>
              </w:divBdr>
            </w:div>
          </w:divsChild>
        </w:div>
        <w:div w:id="1417823819">
          <w:marLeft w:val="0"/>
          <w:marRight w:val="0"/>
          <w:marTop w:val="0"/>
          <w:marBottom w:val="0"/>
          <w:divBdr>
            <w:top w:val="none" w:sz="0" w:space="0" w:color="auto"/>
            <w:left w:val="none" w:sz="0" w:space="0" w:color="auto"/>
            <w:bottom w:val="none" w:sz="0" w:space="0" w:color="auto"/>
            <w:right w:val="none" w:sz="0" w:space="0" w:color="auto"/>
          </w:divBdr>
          <w:divsChild>
            <w:div w:id="802887899">
              <w:marLeft w:val="0"/>
              <w:marRight w:val="0"/>
              <w:marTop w:val="0"/>
              <w:marBottom w:val="0"/>
              <w:divBdr>
                <w:top w:val="none" w:sz="0" w:space="0" w:color="auto"/>
                <w:left w:val="none" w:sz="0" w:space="0" w:color="auto"/>
                <w:bottom w:val="none" w:sz="0" w:space="0" w:color="auto"/>
                <w:right w:val="none" w:sz="0" w:space="0" w:color="auto"/>
              </w:divBdr>
            </w:div>
            <w:div w:id="1920485441">
              <w:marLeft w:val="0"/>
              <w:marRight w:val="0"/>
              <w:marTop w:val="0"/>
              <w:marBottom w:val="0"/>
              <w:divBdr>
                <w:top w:val="none" w:sz="0" w:space="0" w:color="auto"/>
                <w:left w:val="none" w:sz="0" w:space="0" w:color="auto"/>
                <w:bottom w:val="none" w:sz="0" w:space="0" w:color="auto"/>
                <w:right w:val="none" w:sz="0" w:space="0" w:color="auto"/>
              </w:divBdr>
            </w:div>
            <w:div w:id="1107119202">
              <w:marLeft w:val="0"/>
              <w:marRight w:val="0"/>
              <w:marTop w:val="0"/>
              <w:marBottom w:val="0"/>
              <w:divBdr>
                <w:top w:val="none" w:sz="0" w:space="0" w:color="auto"/>
                <w:left w:val="none" w:sz="0" w:space="0" w:color="auto"/>
                <w:bottom w:val="none" w:sz="0" w:space="0" w:color="auto"/>
                <w:right w:val="none" w:sz="0" w:space="0" w:color="auto"/>
              </w:divBdr>
            </w:div>
            <w:div w:id="1968580935">
              <w:marLeft w:val="0"/>
              <w:marRight w:val="0"/>
              <w:marTop w:val="0"/>
              <w:marBottom w:val="0"/>
              <w:divBdr>
                <w:top w:val="none" w:sz="0" w:space="0" w:color="auto"/>
                <w:left w:val="none" w:sz="0" w:space="0" w:color="auto"/>
                <w:bottom w:val="none" w:sz="0" w:space="0" w:color="auto"/>
                <w:right w:val="none" w:sz="0" w:space="0" w:color="auto"/>
              </w:divBdr>
            </w:div>
            <w:div w:id="2002343534">
              <w:marLeft w:val="0"/>
              <w:marRight w:val="0"/>
              <w:marTop w:val="0"/>
              <w:marBottom w:val="0"/>
              <w:divBdr>
                <w:top w:val="none" w:sz="0" w:space="0" w:color="auto"/>
                <w:left w:val="none" w:sz="0" w:space="0" w:color="auto"/>
                <w:bottom w:val="none" w:sz="0" w:space="0" w:color="auto"/>
                <w:right w:val="none" w:sz="0" w:space="0" w:color="auto"/>
              </w:divBdr>
            </w:div>
          </w:divsChild>
        </w:div>
        <w:div w:id="2055811702">
          <w:marLeft w:val="0"/>
          <w:marRight w:val="0"/>
          <w:marTop w:val="0"/>
          <w:marBottom w:val="0"/>
          <w:divBdr>
            <w:top w:val="none" w:sz="0" w:space="0" w:color="auto"/>
            <w:left w:val="none" w:sz="0" w:space="0" w:color="auto"/>
            <w:bottom w:val="none" w:sz="0" w:space="0" w:color="auto"/>
            <w:right w:val="none" w:sz="0" w:space="0" w:color="auto"/>
          </w:divBdr>
          <w:divsChild>
            <w:div w:id="1363362187">
              <w:marLeft w:val="0"/>
              <w:marRight w:val="0"/>
              <w:marTop w:val="0"/>
              <w:marBottom w:val="0"/>
              <w:divBdr>
                <w:top w:val="none" w:sz="0" w:space="0" w:color="auto"/>
                <w:left w:val="none" w:sz="0" w:space="0" w:color="auto"/>
                <w:bottom w:val="none" w:sz="0" w:space="0" w:color="auto"/>
                <w:right w:val="none" w:sz="0" w:space="0" w:color="auto"/>
              </w:divBdr>
            </w:div>
            <w:div w:id="450248604">
              <w:marLeft w:val="0"/>
              <w:marRight w:val="0"/>
              <w:marTop w:val="0"/>
              <w:marBottom w:val="0"/>
              <w:divBdr>
                <w:top w:val="none" w:sz="0" w:space="0" w:color="auto"/>
                <w:left w:val="none" w:sz="0" w:space="0" w:color="auto"/>
                <w:bottom w:val="none" w:sz="0" w:space="0" w:color="auto"/>
                <w:right w:val="none" w:sz="0" w:space="0" w:color="auto"/>
              </w:divBdr>
            </w:div>
            <w:div w:id="1554147965">
              <w:marLeft w:val="0"/>
              <w:marRight w:val="0"/>
              <w:marTop w:val="0"/>
              <w:marBottom w:val="0"/>
              <w:divBdr>
                <w:top w:val="none" w:sz="0" w:space="0" w:color="auto"/>
                <w:left w:val="none" w:sz="0" w:space="0" w:color="auto"/>
                <w:bottom w:val="none" w:sz="0" w:space="0" w:color="auto"/>
                <w:right w:val="none" w:sz="0" w:space="0" w:color="auto"/>
              </w:divBdr>
            </w:div>
            <w:div w:id="1473913279">
              <w:marLeft w:val="0"/>
              <w:marRight w:val="0"/>
              <w:marTop w:val="0"/>
              <w:marBottom w:val="0"/>
              <w:divBdr>
                <w:top w:val="none" w:sz="0" w:space="0" w:color="auto"/>
                <w:left w:val="none" w:sz="0" w:space="0" w:color="auto"/>
                <w:bottom w:val="none" w:sz="0" w:space="0" w:color="auto"/>
                <w:right w:val="none" w:sz="0" w:space="0" w:color="auto"/>
              </w:divBdr>
            </w:div>
            <w:div w:id="425469714">
              <w:marLeft w:val="0"/>
              <w:marRight w:val="0"/>
              <w:marTop w:val="0"/>
              <w:marBottom w:val="0"/>
              <w:divBdr>
                <w:top w:val="none" w:sz="0" w:space="0" w:color="auto"/>
                <w:left w:val="none" w:sz="0" w:space="0" w:color="auto"/>
                <w:bottom w:val="none" w:sz="0" w:space="0" w:color="auto"/>
                <w:right w:val="none" w:sz="0" w:space="0" w:color="auto"/>
              </w:divBdr>
            </w:div>
          </w:divsChild>
        </w:div>
        <w:div w:id="161315791">
          <w:marLeft w:val="0"/>
          <w:marRight w:val="0"/>
          <w:marTop w:val="0"/>
          <w:marBottom w:val="0"/>
          <w:divBdr>
            <w:top w:val="none" w:sz="0" w:space="0" w:color="auto"/>
            <w:left w:val="none" w:sz="0" w:space="0" w:color="auto"/>
            <w:bottom w:val="none" w:sz="0" w:space="0" w:color="auto"/>
            <w:right w:val="none" w:sz="0" w:space="0" w:color="auto"/>
          </w:divBdr>
          <w:divsChild>
            <w:div w:id="284312265">
              <w:marLeft w:val="0"/>
              <w:marRight w:val="0"/>
              <w:marTop w:val="0"/>
              <w:marBottom w:val="0"/>
              <w:divBdr>
                <w:top w:val="none" w:sz="0" w:space="0" w:color="auto"/>
                <w:left w:val="none" w:sz="0" w:space="0" w:color="auto"/>
                <w:bottom w:val="none" w:sz="0" w:space="0" w:color="auto"/>
                <w:right w:val="none" w:sz="0" w:space="0" w:color="auto"/>
              </w:divBdr>
            </w:div>
            <w:div w:id="644745110">
              <w:marLeft w:val="0"/>
              <w:marRight w:val="0"/>
              <w:marTop w:val="0"/>
              <w:marBottom w:val="0"/>
              <w:divBdr>
                <w:top w:val="none" w:sz="0" w:space="0" w:color="auto"/>
                <w:left w:val="none" w:sz="0" w:space="0" w:color="auto"/>
                <w:bottom w:val="none" w:sz="0" w:space="0" w:color="auto"/>
                <w:right w:val="none" w:sz="0" w:space="0" w:color="auto"/>
              </w:divBdr>
            </w:div>
            <w:div w:id="374158057">
              <w:marLeft w:val="0"/>
              <w:marRight w:val="0"/>
              <w:marTop w:val="0"/>
              <w:marBottom w:val="0"/>
              <w:divBdr>
                <w:top w:val="none" w:sz="0" w:space="0" w:color="auto"/>
                <w:left w:val="none" w:sz="0" w:space="0" w:color="auto"/>
                <w:bottom w:val="none" w:sz="0" w:space="0" w:color="auto"/>
                <w:right w:val="none" w:sz="0" w:space="0" w:color="auto"/>
              </w:divBdr>
            </w:div>
            <w:div w:id="612202654">
              <w:marLeft w:val="0"/>
              <w:marRight w:val="0"/>
              <w:marTop w:val="0"/>
              <w:marBottom w:val="0"/>
              <w:divBdr>
                <w:top w:val="none" w:sz="0" w:space="0" w:color="auto"/>
                <w:left w:val="none" w:sz="0" w:space="0" w:color="auto"/>
                <w:bottom w:val="none" w:sz="0" w:space="0" w:color="auto"/>
                <w:right w:val="none" w:sz="0" w:space="0" w:color="auto"/>
              </w:divBdr>
            </w:div>
            <w:div w:id="21831399">
              <w:marLeft w:val="0"/>
              <w:marRight w:val="0"/>
              <w:marTop w:val="0"/>
              <w:marBottom w:val="0"/>
              <w:divBdr>
                <w:top w:val="none" w:sz="0" w:space="0" w:color="auto"/>
                <w:left w:val="none" w:sz="0" w:space="0" w:color="auto"/>
                <w:bottom w:val="none" w:sz="0" w:space="0" w:color="auto"/>
                <w:right w:val="none" w:sz="0" w:space="0" w:color="auto"/>
              </w:divBdr>
            </w:div>
          </w:divsChild>
        </w:div>
        <w:div w:id="1392315281">
          <w:marLeft w:val="0"/>
          <w:marRight w:val="0"/>
          <w:marTop w:val="0"/>
          <w:marBottom w:val="0"/>
          <w:divBdr>
            <w:top w:val="none" w:sz="0" w:space="0" w:color="auto"/>
            <w:left w:val="none" w:sz="0" w:space="0" w:color="auto"/>
            <w:bottom w:val="none" w:sz="0" w:space="0" w:color="auto"/>
            <w:right w:val="none" w:sz="0" w:space="0" w:color="auto"/>
          </w:divBdr>
          <w:divsChild>
            <w:div w:id="1726489901">
              <w:marLeft w:val="0"/>
              <w:marRight w:val="0"/>
              <w:marTop w:val="0"/>
              <w:marBottom w:val="0"/>
              <w:divBdr>
                <w:top w:val="none" w:sz="0" w:space="0" w:color="auto"/>
                <w:left w:val="none" w:sz="0" w:space="0" w:color="auto"/>
                <w:bottom w:val="none" w:sz="0" w:space="0" w:color="auto"/>
                <w:right w:val="none" w:sz="0" w:space="0" w:color="auto"/>
              </w:divBdr>
            </w:div>
            <w:div w:id="1822650362">
              <w:marLeft w:val="0"/>
              <w:marRight w:val="0"/>
              <w:marTop w:val="0"/>
              <w:marBottom w:val="0"/>
              <w:divBdr>
                <w:top w:val="none" w:sz="0" w:space="0" w:color="auto"/>
                <w:left w:val="none" w:sz="0" w:space="0" w:color="auto"/>
                <w:bottom w:val="none" w:sz="0" w:space="0" w:color="auto"/>
                <w:right w:val="none" w:sz="0" w:space="0" w:color="auto"/>
              </w:divBdr>
            </w:div>
            <w:div w:id="1944456052">
              <w:marLeft w:val="0"/>
              <w:marRight w:val="0"/>
              <w:marTop w:val="0"/>
              <w:marBottom w:val="0"/>
              <w:divBdr>
                <w:top w:val="none" w:sz="0" w:space="0" w:color="auto"/>
                <w:left w:val="none" w:sz="0" w:space="0" w:color="auto"/>
                <w:bottom w:val="none" w:sz="0" w:space="0" w:color="auto"/>
                <w:right w:val="none" w:sz="0" w:space="0" w:color="auto"/>
              </w:divBdr>
            </w:div>
            <w:div w:id="1579359753">
              <w:marLeft w:val="0"/>
              <w:marRight w:val="0"/>
              <w:marTop w:val="0"/>
              <w:marBottom w:val="0"/>
              <w:divBdr>
                <w:top w:val="none" w:sz="0" w:space="0" w:color="auto"/>
                <w:left w:val="none" w:sz="0" w:space="0" w:color="auto"/>
                <w:bottom w:val="none" w:sz="0" w:space="0" w:color="auto"/>
                <w:right w:val="none" w:sz="0" w:space="0" w:color="auto"/>
              </w:divBdr>
            </w:div>
          </w:divsChild>
        </w:div>
        <w:div w:id="1472551341">
          <w:marLeft w:val="0"/>
          <w:marRight w:val="0"/>
          <w:marTop w:val="0"/>
          <w:marBottom w:val="0"/>
          <w:divBdr>
            <w:top w:val="none" w:sz="0" w:space="0" w:color="auto"/>
            <w:left w:val="none" w:sz="0" w:space="0" w:color="auto"/>
            <w:bottom w:val="none" w:sz="0" w:space="0" w:color="auto"/>
            <w:right w:val="none" w:sz="0" w:space="0" w:color="auto"/>
          </w:divBdr>
        </w:div>
        <w:div w:id="1532913518">
          <w:marLeft w:val="0"/>
          <w:marRight w:val="0"/>
          <w:marTop w:val="0"/>
          <w:marBottom w:val="0"/>
          <w:divBdr>
            <w:top w:val="none" w:sz="0" w:space="0" w:color="auto"/>
            <w:left w:val="none" w:sz="0" w:space="0" w:color="auto"/>
            <w:bottom w:val="none" w:sz="0" w:space="0" w:color="auto"/>
            <w:right w:val="none" w:sz="0" w:space="0" w:color="auto"/>
          </w:divBdr>
        </w:div>
        <w:div w:id="315645067">
          <w:marLeft w:val="0"/>
          <w:marRight w:val="0"/>
          <w:marTop w:val="0"/>
          <w:marBottom w:val="0"/>
          <w:divBdr>
            <w:top w:val="none" w:sz="0" w:space="0" w:color="auto"/>
            <w:left w:val="none" w:sz="0" w:space="0" w:color="auto"/>
            <w:bottom w:val="none" w:sz="0" w:space="0" w:color="auto"/>
            <w:right w:val="none" w:sz="0" w:space="0" w:color="auto"/>
          </w:divBdr>
        </w:div>
        <w:div w:id="1741978328">
          <w:marLeft w:val="0"/>
          <w:marRight w:val="0"/>
          <w:marTop w:val="0"/>
          <w:marBottom w:val="0"/>
          <w:divBdr>
            <w:top w:val="none" w:sz="0" w:space="0" w:color="auto"/>
            <w:left w:val="none" w:sz="0" w:space="0" w:color="auto"/>
            <w:bottom w:val="none" w:sz="0" w:space="0" w:color="auto"/>
            <w:right w:val="none" w:sz="0" w:space="0" w:color="auto"/>
          </w:divBdr>
        </w:div>
        <w:div w:id="1546257849">
          <w:marLeft w:val="0"/>
          <w:marRight w:val="0"/>
          <w:marTop w:val="0"/>
          <w:marBottom w:val="0"/>
          <w:divBdr>
            <w:top w:val="none" w:sz="0" w:space="0" w:color="auto"/>
            <w:left w:val="none" w:sz="0" w:space="0" w:color="auto"/>
            <w:bottom w:val="none" w:sz="0" w:space="0" w:color="auto"/>
            <w:right w:val="none" w:sz="0" w:space="0" w:color="auto"/>
          </w:divBdr>
        </w:div>
        <w:div w:id="35588455">
          <w:marLeft w:val="0"/>
          <w:marRight w:val="0"/>
          <w:marTop w:val="0"/>
          <w:marBottom w:val="0"/>
          <w:divBdr>
            <w:top w:val="none" w:sz="0" w:space="0" w:color="auto"/>
            <w:left w:val="none" w:sz="0" w:space="0" w:color="auto"/>
            <w:bottom w:val="none" w:sz="0" w:space="0" w:color="auto"/>
            <w:right w:val="none" w:sz="0" w:space="0" w:color="auto"/>
          </w:divBdr>
        </w:div>
        <w:div w:id="1099525788">
          <w:marLeft w:val="0"/>
          <w:marRight w:val="0"/>
          <w:marTop w:val="0"/>
          <w:marBottom w:val="0"/>
          <w:divBdr>
            <w:top w:val="none" w:sz="0" w:space="0" w:color="auto"/>
            <w:left w:val="none" w:sz="0" w:space="0" w:color="auto"/>
            <w:bottom w:val="none" w:sz="0" w:space="0" w:color="auto"/>
            <w:right w:val="none" w:sz="0" w:space="0" w:color="auto"/>
          </w:divBdr>
        </w:div>
        <w:div w:id="2131779471">
          <w:marLeft w:val="0"/>
          <w:marRight w:val="0"/>
          <w:marTop w:val="0"/>
          <w:marBottom w:val="0"/>
          <w:divBdr>
            <w:top w:val="none" w:sz="0" w:space="0" w:color="auto"/>
            <w:left w:val="none" w:sz="0" w:space="0" w:color="auto"/>
            <w:bottom w:val="none" w:sz="0" w:space="0" w:color="auto"/>
            <w:right w:val="none" w:sz="0" w:space="0" w:color="auto"/>
          </w:divBdr>
        </w:div>
        <w:div w:id="300040332">
          <w:marLeft w:val="0"/>
          <w:marRight w:val="0"/>
          <w:marTop w:val="0"/>
          <w:marBottom w:val="0"/>
          <w:divBdr>
            <w:top w:val="none" w:sz="0" w:space="0" w:color="auto"/>
            <w:left w:val="none" w:sz="0" w:space="0" w:color="auto"/>
            <w:bottom w:val="none" w:sz="0" w:space="0" w:color="auto"/>
            <w:right w:val="none" w:sz="0" w:space="0" w:color="auto"/>
          </w:divBdr>
        </w:div>
        <w:div w:id="1168712367">
          <w:marLeft w:val="0"/>
          <w:marRight w:val="0"/>
          <w:marTop w:val="0"/>
          <w:marBottom w:val="0"/>
          <w:divBdr>
            <w:top w:val="none" w:sz="0" w:space="0" w:color="auto"/>
            <w:left w:val="none" w:sz="0" w:space="0" w:color="auto"/>
            <w:bottom w:val="none" w:sz="0" w:space="0" w:color="auto"/>
            <w:right w:val="none" w:sz="0" w:space="0" w:color="auto"/>
          </w:divBdr>
        </w:div>
        <w:div w:id="407726103">
          <w:marLeft w:val="0"/>
          <w:marRight w:val="0"/>
          <w:marTop w:val="0"/>
          <w:marBottom w:val="0"/>
          <w:divBdr>
            <w:top w:val="none" w:sz="0" w:space="0" w:color="auto"/>
            <w:left w:val="none" w:sz="0" w:space="0" w:color="auto"/>
            <w:bottom w:val="none" w:sz="0" w:space="0" w:color="auto"/>
            <w:right w:val="none" w:sz="0" w:space="0" w:color="auto"/>
          </w:divBdr>
        </w:div>
        <w:div w:id="1547524273">
          <w:marLeft w:val="0"/>
          <w:marRight w:val="0"/>
          <w:marTop w:val="0"/>
          <w:marBottom w:val="0"/>
          <w:divBdr>
            <w:top w:val="none" w:sz="0" w:space="0" w:color="auto"/>
            <w:left w:val="none" w:sz="0" w:space="0" w:color="auto"/>
            <w:bottom w:val="none" w:sz="0" w:space="0" w:color="auto"/>
            <w:right w:val="none" w:sz="0" w:space="0" w:color="auto"/>
          </w:divBdr>
        </w:div>
        <w:div w:id="779766333">
          <w:marLeft w:val="0"/>
          <w:marRight w:val="0"/>
          <w:marTop w:val="0"/>
          <w:marBottom w:val="0"/>
          <w:divBdr>
            <w:top w:val="none" w:sz="0" w:space="0" w:color="auto"/>
            <w:left w:val="none" w:sz="0" w:space="0" w:color="auto"/>
            <w:bottom w:val="none" w:sz="0" w:space="0" w:color="auto"/>
            <w:right w:val="none" w:sz="0" w:space="0" w:color="auto"/>
          </w:divBdr>
        </w:div>
        <w:div w:id="384454760">
          <w:marLeft w:val="0"/>
          <w:marRight w:val="0"/>
          <w:marTop w:val="0"/>
          <w:marBottom w:val="0"/>
          <w:divBdr>
            <w:top w:val="none" w:sz="0" w:space="0" w:color="auto"/>
            <w:left w:val="none" w:sz="0" w:space="0" w:color="auto"/>
            <w:bottom w:val="none" w:sz="0" w:space="0" w:color="auto"/>
            <w:right w:val="none" w:sz="0" w:space="0" w:color="auto"/>
          </w:divBdr>
        </w:div>
        <w:div w:id="998382975">
          <w:marLeft w:val="0"/>
          <w:marRight w:val="0"/>
          <w:marTop w:val="0"/>
          <w:marBottom w:val="0"/>
          <w:divBdr>
            <w:top w:val="none" w:sz="0" w:space="0" w:color="auto"/>
            <w:left w:val="none" w:sz="0" w:space="0" w:color="auto"/>
            <w:bottom w:val="none" w:sz="0" w:space="0" w:color="auto"/>
            <w:right w:val="none" w:sz="0" w:space="0" w:color="auto"/>
          </w:divBdr>
        </w:div>
        <w:div w:id="776604987">
          <w:marLeft w:val="0"/>
          <w:marRight w:val="0"/>
          <w:marTop w:val="0"/>
          <w:marBottom w:val="0"/>
          <w:divBdr>
            <w:top w:val="none" w:sz="0" w:space="0" w:color="auto"/>
            <w:left w:val="none" w:sz="0" w:space="0" w:color="auto"/>
            <w:bottom w:val="none" w:sz="0" w:space="0" w:color="auto"/>
            <w:right w:val="none" w:sz="0" w:space="0" w:color="auto"/>
          </w:divBdr>
        </w:div>
        <w:div w:id="793449002">
          <w:marLeft w:val="0"/>
          <w:marRight w:val="0"/>
          <w:marTop w:val="0"/>
          <w:marBottom w:val="0"/>
          <w:divBdr>
            <w:top w:val="none" w:sz="0" w:space="0" w:color="auto"/>
            <w:left w:val="none" w:sz="0" w:space="0" w:color="auto"/>
            <w:bottom w:val="none" w:sz="0" w:space="0" w:color="auto"/>
            <w:right w:val="none" w:sz="0" w:space="0" w:color="auto"/>
          </w:divBdr>
        </w:div>
        <w:div w:id="1574505468">
          <w:marLeft w:val="0"/>
          <w:marRight w:val="0"/>
          <w:marTop w:val="0"/>
          <w:marBottom w:val="0"/>
          <w:divBdr>
            <w:top w:val="none" w:sz="0" w:space="0" w:color="auto"/>
            <w:left w:val="none" w:sz="0" w:space="0" w:color="auto"/>
            <w:bottom w:val="none" w:sz="0" w:space="0" w:color="auto"/>
            <w:right w:val="none" w:sz="0" w:space="0" w:color="auto"/>
          </w:divBdr>
        </w:div>
        <w:div w:id="1143962174">
          <w:marLeft w:val="0"/>
          <w:marRight w:val="0"/>
          <w:marTop w:val="0"/>
          <w:marBottom w:val="0"/>
          <w:divBdr>
            <w:top w:val="none" w:sz="0" w:space="0" w:color="auto"/>
            <w:left w:val="none" w:sz="0" w:space="0" w:color="auto"/>
            <w:bottom w:val="none" w:sz="0" w:space="0" w:color="auto"/>
            <w:right w:val="none" w:sz="0" w:space="0" w:color="auto"/>
          </w:divBdr>
        </w:div>
        <w:div w:id="1249850689">
          <w:marLeft w:val="0"/>
          <w:marRight w:val="0"/>
          <w:marTop w:val="0"/>
          <w:marBottom w:val="0"/>
          <w:divBdr>
            <w:top w:val="none" w:sz="0" w:space="0" w:color="auto"/>
            <w:left w:val="none" w:sz="0" w:space="0" w:color="auto"/>
            <w:bottom w:val="none" w:sz="0" w:space="0" w:color="auto"/>
            <w:right w:val="none" w:sz="0" w:space="0" w:color="auto"/>
          </w:divBdr>
        </w:div>
        <w:div w:id="95486279">
          <w:marLeft w:val="0"/>
          <w:marRight w:val="0"/>
          <w:marTop w:val="0"/>
          <w:marBottom w:val="0"/>
          <w:divBdr>
            <w:top w:val="none" w:sz="0" w:space="0" w:color="auto"/>
            <w:left w:val="none" w:sz="0" w:space="0" w:color="auto"/>
            <w:bottom w:val="none" w:sz="0" w:space="0" w:color="auto"/>
            <w:right w:val="none" w:sz="0" w:space="0" w:color="auto"/>
          </w:divBdr>
        </w:div>
        <w:div w:id="357974260">
          <w:marLeft w:val="0"/>
          <w:marRight w:val="0"/>
          <w:marTop w:val="0"/>
          <w:marBottom w:val="0"/>
          <w:divBdr>
            <w:top w:val="none" w:sz="0" w:space="0" w:color="auto"/>
            <w:left w:val="none" w:sz="0" w:space="0" w:color="auto"/>
            <w:bottom w:val="none" w:sz="0" w:space="0" w:color="auto"/>
            <w:right w:val="none" w:sz="0" w:space="0" w:color="auto"/>
          </w:divBdr>
        </w:div>
        <w:div w:id="1955819749">
          <w:marLeft w:val="0"/>
          <w:marRight w:val="0"/>
          <w:marTop w:val="0"/>
          <w:marBottom w:val="0"/>
          <w:divBdr>
            <w:top w:val="none" w:sz="0" w:space="0" w:color="auto"/>
            <w:left w:val="none" w:sz="0" w:space="0" w:color="auto"/>
            <w:bottom w:val="none" w:sz="0" w:space="0" w:color="auto"/>
            <w:right w:val="none" w:sz="0" w:space="0" w:color="auto"/>
          </w:divBdr>
        </w:div>
        <w:div w:id="780998579">
          <w:marLeft w:val="0"/>
          <w:marRight w:val="0"/>
          <w:marTop w:val="0"/>
          <w:marBottom w:val="0"/>
          <w:divBdr>
            <w:top w:val="none" w:sz="0" w:space="0" w:color="auto"/>
            <w:left w:val="none" w:sz="0" w:space="0" w:color="auto"/>
            <w:bottom w:val="none" w:sz="0" w:space="0" w:color="auto"/>
            <w:right w:val="none" w:sz="0" w:space="0" w:color="auto"/>
          </w:divBdr>
        </w:div>
        <w:div w:id="704330249">
          <w:marLeft w:val="0"/>
          <w:marRight w:val="0"/>
          <w:marTop w:val="0"/>
          <w:marBottom w:val="0"/>
          <w:divBdr>
            <w:top w:val="none" w:sz="0" w:space="0" w:color="auto"/>
            <w:left w:val="none" w:sz="0" w:space="0" w:color="auto"/>
            <w:bottom w:val="none" w:sz="0" w:space="0" w:color="auto"/>
            <w:right w:val="none" w:sz="0" w:space="0" w:color="auto"/>
          </w:divBdr>
        </w:div>
        <w:div w:id="164445360">
          <w:marLeft w:val="0"/>
          <w:marRight w:val="0"/>
          <w:marTop w:val="0"/>
          <w:marBottom w:val="0"/>
          <w:divBdr>
            <w:top w:val="none" w:sz="0" w:space="0" w:color="auto"/>
            <w:left w:val="none" w:sz="0" w:space="0" w:color="auto"/>
            <w:bottom w:val="none" w:sz="0" w:space="0" w:color="auto"/>
            <w:right w:val="none" w:sz="0" w:space="0" w:color="auto"/>
          </w:divBdr>
        </w:div>
        <w:div w:id="1190265025">
          <w:marLeft w:val="0"/>
          <w:marRight w:val="0"/>
          <w:marTop w:val="0"/>
          <w:marBottom w:val="0"/>
          <w:divBdr>
            <w:top w:val="none" w:sz="0" w:space="0" w:color="auto"/>
            <w:left w:val="none" w:sz="0" w:space="0" w:color="auto"/>
            <w:bottom w:val="none" w:sz="0" w:space="0" w:color="auto"/>
            <w:right w:val="none" w:sz="0" w:space="0" w:color="auto"/>
          </w:divBdr>
        </w:div>
        <w:div w:id="51851245">
          <w:marLeft w:val="0"/>
          <w:marRight w:val="0"/>
          <w:marTop w:val="0"/>
          <w:marBottom w:val="0"/>
          <w:divBdr>
            <w:top w:val="none" w:sz="0" w:space="0" w:color="auto"/>
            <w:left w:val="none" w:sz="0" w:space="0" w:color="auto"/>
            <w:bottom w:val="none" w:sz="0" w:space="0" w:color="auto"/>
            <w:right w:val="none" w:sz="0" w:space="0" w:color="auto"/>
          </w:divBdr>
        </w:div>
        <w:div w:id="637149045">
          <w:marLeft w:val="0"/>
          <w:marRight w:val="0"/>
          <w:marTop w:val="0"/>
          <w:marBottom w:val="0"/>
          <w:divBdr>
            <w:top w:val="none" w:sz="0" w:space="0" w:color="auto"/>
            <w:left w:val="none" w:sz="0" w:space="0" w:color="auto"/>
            <w:bottom w:val="none" w:sz="0" w:space="0" w:color="auto"/>
            <w:right w:val="none" w:sz="0" w:space="0" w:color="auto"/>
          </w:divBdr>
        </w:div>
        <w:div w:id="1640576911">
          <w:marLeft w:val="0"/>
          <w:marRight w:val="0"/>
          <w:marTop w:val="0"/>
          <w:marBottom w:val="0"/>
          <w:divBdr>
            <w:top w:val="none" w:sz="0" w:space="0" w:color="auto"/>
            <w:left w:val="none" w:sz="0" w:space="0" w:color="auto"/>
            <w:bottom w:val="none" w:sz="0" w:space="0" w:color="auto"/>
            <w:right w:val="none" w:sz="0" w:space="0" w:color="auto"/>
          </w:divBdr>
        </w:div>
        <w:div w:id="2030642736">
          <w:marLeft w:val="0"/>
          <w:marRight w:val="0"/>
          <w:marTop w:val="0"/>
          <w:marBottom w:val="0"/>
          <w:divBdr>
            <w:top w:val="none" w:sz="0" w:space="0" w:color="auto"/>
            <w:left w:val="none" w:sz="0" w:space="0" w:color="auto"/>
            <w:bottom w:val="none" w:sz="0" w:space="0" w:color="auto"/>
            <w:right w:val="none" w:sz="0" w:space="0" w:color="auto"/>
          </w:divBdr>
        </w:div>
        <w:div w:id="520508799">
          <w:marLeft w:val="0"/>
          <w:marRight w:val="0"/>
          <w:marTop w:val="0"/>
          <w:marBottom w:val="0"/>
          <w:divBdr>
            <w:top w:val="none" w:sz="0" w:space="0" w:color="auto"/>
            <w:left w:val="none" w:sz="0" w:space="0" w:color="auto"/>
            <w:bottom w:val="none" w:sz="0" w:space="0" w:color="auto"/>
            <w:right w:val="none" w:sz="0" w:space="0" w:color="auto"/>
          </w:divBdr>
        </w:div>
        <w:div w:id="41636779">
          <w:marLeft w:val="0"/>
          <w:marRight w:val="0"/>
          <w:marTop w:val="0"/>
          <w:marBottom w:val="0"/>
          <w:divBdr>
            <w:top w:val="none" w:sz="0" w:space="0" w:color="auto"/>
            <w:left w:val="none" w:sz="0" w:space="0" w:color="auto"/>
            <w:bottom w:val="none" w:sz="0" w:space="0" w:color="auto"/>
            <w:right w:val="none" w:sz="0" w:space="0" w:color="auto"/>
          </w:divBdr>
        </w:div>
        <w:div w:id="1586525347">
          <w:marLeft w:val="0"/>
          <w:marRight w:val="0"/>
          <w:marTop w:val="0"/>
          <w:marBottom w:val="0"/>
          <w:divBdr>
            <w:top w:val="none" w:sz="0" w:space="0" w:color="auto"/>
            <w:left w:val="none" w:sz="0" w:space="0" w:color="auto"/>
            <w:bottom w:val="none" w:sz="0" w:space="0" w:color="auto"/>
            <w:right w:val="none" w:sz="0" w:space="0" w:color="auto"/>
          </w:divBdr>
        </w:div>
        <w:div w:id="1138646115">
          <w:marLeft w:val="0"/>
          <w:marRight w:val="0"/>
          <w:marTop w:val="0"/>
          <w:marBottom w:val="0"/>
          <w:divBdr>
            <w:top w:val="none" w:sz="0" w:space="0" w:color="auto"/>
            <w:left w:val="none" w:sz="0" w:space="0" w:color="auto"/>
            <w:bottom w:val="none" w:sz="0" w:space="0" w:color="auto"/>
            <w:right w:val="none" w:sz="0" w:space="0" w:color="auto"/>
          </w:divBdr>
        </w:div>
        <w:div w:id="1450199124">
          <w:marLeft w:val="0"/>
          <w:marRight w:val="0"/>
          <w:marTop w:val="0"/>
          <w:marBottom w:val="0"/>
          <w:divBdr>
            <w:top w:val="none" w:sz="0" w:space="0" w:color="auto"/>
            <w:left w:val="none" w:sz="0" w:space="0" w:color="auto"/>
            <w:bottom w:val="none" w:sz="0" w:space="0" w:color="auto"/>
            <w:right w:val="none" w:sz="0" w:space="0" w:color="auto"/>
          </w:divBdr>
        </w:div>
        <w:div w:id="1230925598">
          <w:marLeft w:val="0"/>
          <w:marRight w:val="0"/>
          <w:marTop w:val="0"/>
          <w:marBottom w:val="0"/>
          <w:divBdr>
            <w:top w:val="none" w:sz="0" w:space="0" w:color="auto"/>
            <w:left w:val="none" w:sz="0" w:space="0" w:color="auto"/>
            <w:bottom w:val="none" w:sz="0" w:space="0" w:color="auto"/>
            <w:right w:val="none" w:sz="0" w:space="0" w:color="auto"/>
          </w:divBdr>
        </w:div>
        <w:div w:id="85611355">
          <w:marLeft w:val="0"/>
          <w:marRight w:val="0"/>
          <w:marTop w:val="0"/>
          <w:marBottom w:val="0"/>
          <w:divBdr>
            <w:top w:val="none" w:sz="0" w:space="0" w:color="auto"/>
            <w:left w:val="none" w:sz="0" w:space="0" w:color="auto"/>
            <w:bottom w:val="none" w:sz="0" w:space="0" w:color="auto"/>
            <w:right w:val="none" w:sz="0" w:space="0" w:color="auto"/>
          </w:divBdr>
        </w:div>
        <w:div w:id="1905942905">
          <w:marLeft w:val="0"/>
          <w:marRight w:val="0"/>
          <w:marTop w:val="0"/>
          <w:marBottom w:val="0"/>
          <w:divBdr>
            <w:top w:val="none" w:sz="0" w:space="0" w:color="auto"/>
            <w:left w:val="none" w:sz="0" w:space="0" w:color="auto"/>
            <w:bottom w:val="none" w:sz="0" w:space="0" w:color="auto"/>
            <w:right w:val="none" w:sz="0" w:space="0" w:color="auto"/>
          </w:divBdr>
        </w:div>
        <w:div w:id="104614713">
          <w:marLeft w:val="0"/>
          <w:marRight w:val="0"/>
          <w:marTop w:val="0"/>
          <w:marBottom w:val="0"/>
          <w:divBdr>
            <w:top w:val="none" w:sz="0" w:space="0" w:color="auto"/>
            <w:left w:val="none" w:sz="0" w:space="0" w:color="auto"/>
            <w:bottom w:val="none" w:sz="0" w:space="0" w:color="auto"/>
            <w:right w:val="none" w:sz="0" w:space="0" w:color="auto"/>
          </w:divBdr>
        </w:div>
        <w:div w:id="1562133737">
          <w:marLeft w:val="0"/>
          <w:marRight w:val="0"/>
          <w:marTop w:val="0"/>
          <w:marBottom w:val="0"/>
          <w:divBdr>
            <w:top w:val="none" w:sz="0" w:space="0" w:color="auto"/>
            <w:left w:val="none" w:sz="0" w:space="0" w:color="auto"/>
            <w:bottom w:val="none" w:sz="0" w:space="0" w:color="auto"/>
            <w:right w:val="none" w:sz="0" w:space="0" w:color="auto"/>
          </w:divBdr>
        </w:div>
        <w:div w:id="1296907051">
          <w:marLeft w:val="0"/>
          <w:marRight w:val="0"/>
          <w:marTop w:val="0"/>
          <w:marBottom w:val="0"/>
          <w:divBdr>
            <w:top w:val="none" w:sz="0" w:space="0" w:color="auto"/>
            <w:left w:val="none" w:sz="0" w:space="0" w:color="auto"/>
            <w:bottom w:val="none" w:sz="0" w:space="0" w:color="auto"/>
            <w:right w:val="none" w:sz="0" w:space="0" w:color="auto"/>
          </w:divBdr>
        </w:div>
        <w:div w:id="1933970963">
          <w:marLeft w:val="0"/>
          <w:marRight w:val="0"/>
          <w:marTop w:val="0"/>
          <w:marBottom w:val="0"/>
          <w:divBdr>
            <w:top w:val="none" w:sz="0" w:space="0" w:color="auto"/>
            <w:left w:val="none" w:sz="0" w:space="0" w:color="auto"/>
            <w:bottom w:val="none" w:sz="0" w:space="0" w:color="auto"/>
            <w:right w:val="none" w:sz="0" w:space="0" w:color="auto"/>
          </w:divBdr>
        </w:div>
        <w:div w:id="1932470820">
          <w:marLeft w:val="0"/>
          <w:marRight w:val="0"/>
          <w:marTop w:val="0"/>
          <w:marBottom w:val="0"/>
          <w:divBdr>
            <w:top w:val="none" w:sz="0" w:space="0" w:color="auto"/>
            <w:left w:val="none" w:sz="0" w:space="0" w:color="auto"/>
            <w:bottom w:val="none" w:sz="0" w:space="0" w:color="auto"/>
            <w:right w:val="none" w:sz="0" w:space="0" w:color="auto"/>
          </w:divBdr>
        </w:div>
        <w:div w:id="1234511924">
          <w:marLeft w:val="0"/>
          <w:marRight w:val="0"/>
          <w:marTop w:val="0"/>
          <w:marBottom w:val="0"/>
          <w:divBdr>
            <w:top w:val="none" w:sz="0" w:space="0" w:color="auto"/>
            <w:left w:val="none" w:sz="0" w:space="0" w:color="auto"/>
            <w:bottom w:val="none" w:sz="0" w:space="0" w:color="auto"/>
            <w:right w:val="none" w:sz="0" w:space="0" w:color="auto"/>
          </w:divBdr>
        </w:div>
        <w:div w:id="1891572873">
          <w:marLeft w:val="0"/>
          <w:marRight w:val="0"/>
          <w:marTop w:val="0"/>
          <w:marBottom w:val="0"/>
          <w:divBdr>
            <w:top w:val="none" w:sz="0" w:space="0" w:color="auto"/>
            <w:left w:val="none" w:sz="0" w:space="0" w:color="auto"/>
            <w:bottom w:val="none" w:sz="0" w:space="0" w:color="auto"/>
            <w:right w:val="none" w:sz="0" w:space="0" w:color="auto"/>
          </w:divBdr>
        </w:div>
      </w:divsChild>
    </w:div>
    <w:div w:id="1501196916">
      <w:bodyDiv w:val="1"/>
      <w:marLeft w:val="0"/>
      <w:marRight w:val="0"/>
      <w:marTop w:val="0"/>
      <w:marBottom w:val="0"/>
      <w:divBdr>
        <w:top w:val="none" w:sz="0" w:space="0" w:color="auto"/>
        <w:left w:val="none" w:sz="0" w:space="0" w:color="auto"/>
        <w:bottom w:val="none" w:sz="0" w:space="0" w:color="auto"/>
        <w:right w:val="none" w:sz="0" w:space="0" w:color="auto"/>
      </w:divBdr>
      <w:divsChild>
        <w:div w:id="720977236">
          <w:marLeft w:val="0"/>
          <w:marRight w:val="0"/>
          <w:marTop w:val="0"/>
          <w:marBottom w:val="0"/>
          <w:divBdr>
            <w:top w:val="none" w:sz="0" w:space="0" w:color="auto"/>
            <w:left w:val="none" w:sz="0" w:space="0" w:color="auto"/>
            <w:bottom w:val="none" w:sz="0" w:space="0" w:color="auto"/>
            <w:right w:val="none" w:sz="0" w:space="0" w:color="auto"/>
          </w:divBdr>
        </w:div>
        <w:div w:id="696152110">
          <w:marLeft w:val="0"/>
          <w:marRight w:val="0"/>
          <w:marTop w:val="0"/>
          <w:marBottom w:val="0"/>
          <w:divBdr>
            <w:top w:val="none" w:sz="0" w:space="0" w:color="auto"/>
            <w:left w:val="none" w:sz="0" w:space="0" w:color="auto"/>
            <w:bottom w:val="none" w:sz="0" w:space="0" w:color="auto"/>
            <w:right w:val="none" w:sz="0" w:space="0" w:color="auto"/>
          </w:divBdr>
        </w:div>
        <w:div w:id="2135319999">
          <w:marLeft w:val="0"/>
          <w:marRight w:val="0"/>
          <w:marTop w:val="0"/>
          <w:marBottom w:val="0"/>
          <w:divBdr>
            <w:top w:val="none" w:sz="0" w:space="0" w:color="auto"/>
            <w:left w:val="none" w:sz="0" w:space="0" w:color="auto"/>
            <w:bottom w:val="none" w:sz="0" w:space="0" w:color="auto"/>
            <w:right w:val="none" w:sz="0" w:space="0" w:color="auto"/>
          </w:divBdr>
        </w:div>
        <w:div w:id="265238423">
          <w:marLeft w:val="0"/>
          <w:marRight w:val="0"/>
          <w:marTop w:val="0"/>
          <w:marBottom w:val="0"/>
          <w:divBdr>
            <w:top w:val="none" w:sz="0" w:space="0" w:color="auto"/>
            <w:left w:val="none" w:sz="0" w:space="0" w:color="auto"/>
            <w:bottom w:val="none" w:sz="0" w:space="0" w:color="auto"/>
            <w:right w:val="none" w:sz="0" w:space="0" w:color="auto"/>
          </w:divBdr>
        </w:div>
        <w:div w:id="304743071">
          <w:marLeft w:val="0"/>
          <w:marRight w:val="0"/>
          <w:marTop w:val="0"/>
          <w:marBottom w:val="0"/>
          <w:divBdr>
            <w:top w:val="none" w:sz="0" w:space="0" w:color="auto"/>
            <w:left w:val="none" w:sz="0" w:space="0" w:color="auto"/>
            <w:bottom w:val="none" w:sz="0" w:space="0" w:color="auto"/>
            <w:right w:val="none" w:sz="0" w:space="0" w:color="auto"/>
          </w:divBdr>
        </w:div>
        <w:div w:id="414591515">
          <w:marLeft w:val="0"/>
          <w:marRight w:val="0"/>
          <w:marTop w:val="0"/>
          <w:marBottom w:val="0"/>
          <w:divBdr>
            <w:top w:val="none" w:sz="0" w:space="0" w:color="auto"/>
            <w:left w:val="none" w:sz="0" w:space="0" w:color="auto"/>
            <w:bottom w:val="none" w:sz="0" w:space="0" w:color="auto"/>
            <w:right w:val="none" w:sz="0" w:space="0" w:color="auto"/>
          </w:divBdr>
        </w:div>
      </w:divsChild>
    </w:div>
    <w:div w:id="1744335546">
      <w:bodyDiv w:val="1"/>
      <w:marLeft w:val="0"/>
      <w:marRight w:val="0"/>
      <w:marTop w:val="0"/>
      <w:marBottom w:val="0"/>
      <w:divBdr>
        <w:top w:val="none" w:sz="0" w:space="0" w:color="auto"/>
        <w:left w:val="none" w:sz="0" w:space="0" w:color="auto"/>
        <w:bottom w:val="none" w:sz="0" w:space="0" w:color="auto"/>
        <w:right w:val="none" w:sz="0" w:space="0" w:color="auto"/>
      </w:divBdr>
      <w:divsChild>
        <w:div w:id="972249747">
          <w:marLeft w:val="0"/>
          <w:marRight w:val="0"/>
          <w:marTop w:val="0"/>
          <w:marBottom w:val="0"/>
          <w:divBdr>
            <w:top w:val="none" w:sz="0" w:space="0" w:color="auto"/>
            <w:left w:val="none" w:sz="0" w:space="0" w:color="auto"/>
            <w:bottom w:val="none" w:sz="0" w:space="0" w:color="auto"/>
            <w:right w:val="none" w:sz="0" w:space="0" w:color="auto"/>
          </w:divBdr>
        </w:div>
        <w:div w:id="1753427857">
          <w:marLeft w:val="0"/>
          <w:marRight w:val="0"/>
          <w:marTop w:val="0"/>
          <w:marBottom w:val="0"/>
          <w:divBdr>
            <w:top w:val="none" w:sz="0" w:space="0" w:color="auto"/>
            <w:left w:val="none" w:sz="0" w:space="0" w:color="auto"/>
            <w:bottom w:val="none" w:sz="0" w:space="0" w:color="auto"/>
            <w:right w:val="none" w:sz="0" w:space="0" w:color="auto"/>
          </w:divBdr>
        </w:div>
        <w:div w:id="527135806">
          <w:marLeft w:val="0"/>
          <w:marRight w:val="0"/>
          <w:marTop w:val="0"/>
          <w:marBottom w:val="0"/>
          <w:divBdr>
            <w:top w:val="none" w:sz="0" w:space="0" w:color="auto"/>
            <w:left w:val="none" w:sz="0" w:space="0" w:color="auto"/>
            <w:bottom w:val="none" w:sz="0" w:space="0" w:color="auto"/>
            <w:right w:val="none" w:sz="0" w:space="0" w:color="auto"/>
          </w:divBdr>
          <w:divsChild>
            <w:div w:id="1433625498">
              <w:marLeft w:val="0"/>
              <w:marRight w:val="0"/>
              <w:marTop w:val="0"/>
              <w:marBottom w:val="0"/>
              <w:divBdr>
                <w:top w:val="none" w:sz="0" w:space="0" w:color="auto"/>
                <w:left w:val="none" w:sz="0" w:space="0" w:color="auto"/>
                <w:bottom w:val="none" w:sz="0" w:space="0" w:color="auto"/>
                <w:right w:val="none" w:sz="0" w:space="0" w:color="auto"/>
              </w:divBdr>
            </w:div>
            <w:div w:id="46225140">
              <w:marLeft w:val="0"/>
              <w:marRight w:val="0"/>
              <w:marTop w:val="0"/>
              <w:marBottom w:val="0"/>
              <w:divBdr>
                <w:top w:val="none" w:sz="0" w:space="0" w:color="auto"/>
                <w:left w:val="none" w:sz="0" w:space="0" w:color="auto"/>
                <w:bottom w:val="none" w:sz="0" w:space="0" w:color="auto"/>
                <w:right w:val="none" w:sz="0" w:space="0" w:color="auto"/>
              </w:divBdr>
            </w:div>
            <w:div w:id="471290657">
              <w:marLeft w:val="0"/>
              <w:marRight w:val="0"/>
              <w:marTop w:val="0"/>
              <w:marBottom w:val="0"/>
              <w:divBdr>
                <w:top w:val="none" w:sz="0" w:space="0" w:color="auto"/>
                <w:left w:val="none" w:sz="0" w:space="0" w:color="auto"/>
                <w:bottom w:val="none" w:sz="0" w:space="0" w:color="auto"/>
                <w:right w:val="none" w:sz="0" w:space="0" w:color="auto"/>
              </w:divBdr>
            </w:div>
            <w:div w:id="832379874">
              <w:marLeft w:val="0"/>
              <w:marRight w:val="0"/>
              <w:marTop w:val="0"/>
              <w:marBottom w:val="0"/>
              <w:divBdr>
                <w:top w:val="none" w:sz="0" w:space="0" w:color="auto"/>
                <w:left w:val="none" w:sz="0" w:space="0" w:color="auto"/>
                <w:bottom w:val="none" w:sz="0" w:space="0" w:color="auto"/>
                <w:right w:val="none" w:sz="0" w:space="0" w:color="auto"/>
              </w:divBdr>
            </w:div>
            <w:div w:id="1011301634">
              <w:marLeft w:val="0"/>
              <w:marRight w:val="0"/>
              <w:marTop w:val="0"/>
              <w:marBottom w:val="0"/>
              <w:divBdr>
                <w:top w:val="none" w:sz="0" w:space="0" w:color="auto"/>
                <w:left w:val="none" w:sz="0" w:space="0" w:color="auto"/>
                <w:bottom w:val="none" w:sz="0" w:space="0" w:color="auto"/>
                <w:right w:val="none" w:sz="0" w:space="0" w:color="auto"/>
              </w:divBdr>
            </w:div>
          </w:divsChild>
        </w:div>
        <w:div w:id="632372156">
          <w:marLeft w:val="0"/>
          <w:marRight w:val="0"/>
          <w:marTop w:val="0"/>
          <w:marBottom w:val="0"/>
          <w:divBdr>
            <w:top w:val="none" w:sz="0" w:space="0" w:color="auto"/>
            <w:left w:val="none" w:sz="0" w:space="0" w:color="auto"/>
            <w:bottom w:val="none" w:sz="0" w:space="0" w:color="auto"/>
            <w:right w:val="none" w:sz="0" w:space="0" w:color="auto"/>
          </w:divBdr>
        </w:div>
        <w:div w:id="613832767">
          <w:marLeft w:val="0"/>
          <w:marRight w:val="0"/>
          <w:marTop w:val="0"/>
          <w:marBottom w:val="0"/>
          <w:divBdr>
            <w:top w:val="none" w:sz="0" w:space="0" w:color="auto"/>
            <w:left w:val="none" w:sz="0" w:space="0" w:color="auto"/>
            <w:bottom w:val="none" w:sz="0" w:space="0" w:color="auto"/>
            <w:right w:val="none" w:sz="0" w:space="0" w:color="auto"/>
          </w:divBdr>
        </w:div>
        <w:div w:id="218789952">
          <w:marLeft w:val="0"/>
          <w:marRight w:val="0"/>
          <w:marTop w:val="0"/>
          <w:marBottom w:val="0"/>
          <w:divBdr>
            <w:top w:val="none" w:sz="0" w:space="0" w:color="auto"/>
            <w:left w:val="none" w:sz="0" w:space="0" w:color="auto"/>
            <w:bottom w:val="none" w:sz="0" w:space="0" w:color="auto"/>
            <w:right w:val="none" w:sz="0" w:space="0" w:color="auto"/>
          </w:divBdr>
        </w:div>
      </w:divsChild>
    </w:div>
    <w:div w:id="1864636170">
      <w:bodyDiv w:val="1"/>
      <w:marLeft w:val="0"/>
      <w:marRight w:val="0"/>
      <w:marTop w:val="0"/>
      <w:marBottom w:val="0"/>
      <w:divBdr>
        <w:top w:val="none" w:sz="0" w:space="0" w:color="auto"/>
        <w:left w:val="none" w:sz="0" w:space="0" w:color="auto"/>
        <w:bottom w:val="none" w:sz="0" w:space="0" w:color="auto"/>
        <w:right w:val="none" w:sz="0" w:space="0" w:color="auto"/>
      </w:divBdr>
      <w:divsChild>
        <w:div w:id="412968405">
          <w:marLeft w:val="0"/>
          <w:marRight w:val="0"/>
          <w:marTop w:val="0"/>
          <w:marBottom w:val="0"/>
          <w:divBdr>
            <w:top w:val="none" w:sz="0" w:space="0" w:color="auto"/>
            <w:left w:val="none" w:sz="0" w:space="0" w:color="auto"/>
            <w:bottom w:val="none" w:sz="0" w:space="0" w:color="auto"/>
            <w:right w:val="none" w:sz="0" w:space="0" w:color="auto"/>
          </w:divBdr>
        </w:div>
        <w:div w:id="820925858">
          <w:marLeft w:val="0"/>
          <w:marRight w:val="0"/>
          <w:marTop w:val="0"/>
          <w:marBottom w:val="0"/>
          <w:divBdr>
            <w:top w:val="none" w:sz="0" w:space="0" w:color="auto"/>
            <w:left w:val="none" w:sz="0" w:space="0" w:color="auto"/>
            <w:bottom w:val="none" w:sz="0" w:space="0" w:color="auto"/>
            <w:right w:val="none" w:sz="0" w:space="0" w:color="auto"/>
          </w:divBdr>
        </w:div>
        <w:div w:id="1025207596">
          <w:marLeft w:val="0"/>
          <w:marRight w:val="0"/>
          <w:marTop w:val="0"/>
          <w:marBottom w:val="0"/>
          <w:divBdr>
            <w:top w:val="none" w:sz="0" w:space="0" w:color="auto"/>
            <w:left w:val="none" w:sz="0" w:space="0" w:color="auto"/>
            <w:bottom w:val="none" w:sz="0" w:space="0" w:color="auto"/>
            <w:right w:val="none" w:sz="0" w:space="0" w:color="auto"/>
          </w:divBdr>
        </w:div>
        <w:div w:id="1305311537">
          <w:marLeft w:val="0"/>
          <w:marRight w:val="0"/>
          <w:marTop w:val="0"/>
          <w:marBottom w:val="0"/>
          <w:divBdr>
            <w:top w:val="none" w:sz="0" w:space="0" w:color="auto"/>
            <w:left w:val="none" w:sz="0" w:space="0" w:color="auto"/>
            <w:bottom w:val="none" w:sz="0" w:space="0" w:color="auto"/>
            <w:right w:val="none" w:sz="0" w:space="0" w:color="auto"/>
          </w:divBdr>
        </w:div>
        <w:div w:id="2114788103">
          <w:marLeft w:val="0"/>
          <w:marRight w:val="0"/>
          <w:marTop w:val="0"/>
          <w:marBottom w:val="0"/>
          <w:divBdr>
            <w:top w:val="none" w:sz="0" w:space="0" w:color="auto"/>
            <w:left w:val="none" w:sz="0" w:space="0" w:color="auto"/>
            <w:bottom w:val="none" w:sz="0" w:space="0" w:color="auto"/>
            <w:right w:val="none" w:sz="0" w:space="0" w:color="auto"/>
          </w:divBdr>
        </w:div>
        <w:div w:id="2119106579">
          <w:marLeft w:val="0"/>
          <w:marRight w:val="0"/>
          <w:marTop w:val="0"/>
          <w:marBottom w:val="0"/>
          <w:divBdr>
            <w:top w:val="none" w:sz="0" w:space="0" w:color="auto"/>
            <w:left w:val="none" w:sz="0" w:space="0" w:color="auto"/>
            <w:bottom w:val="none" w:sz="0" w:space="0" w:color="auto"/>
            <w:right w:val="none" w:sz="0" w:space="0" w:color="auto"/>
          </w:divBdr>
        </w:div>
        <w:div w:id="1635255357">
          <w:marLeft w:val="0"/>
          <w:marRight w:val="0"/>
          <w:marTop w:val="0"/>
          <w:marBottom w:val="0"/>
          <w:divBdr>
            <w:top w:val="none" w:sz="0" w:space="0" w:color="auto"/>
            <w:left w:val="none" w:sz="0" w:space="0" w:color="auto"/>
            <w:bottom w:val="none" w:sz="0" w:space="0" w:color="auto"/>
            <w:right w:val="none" w:sz="0" w:space="0" w:color="auto"/>
          </w:divBdr>
        </w:div>
        <w:div w:id="432166861">
          <w:marLeft w:val="0"/>
          <w:marRight w:val="0"/>
          <w:marTop w:val="0"/>
          <w:marBottom w:val="0"/>
          <w:divBdr>
            <w:top w:val="none" w:sz="0" w:space="0" w:color="auto"/>
            <w:left w:val="none" w:sz="0" w:space="0" w:color="auto"/>
            <w:bottom w:val="none" w:sz="0" w:space="0" w:color="auto"/>
            <w:right w:val="none" w:sz="0" w:space="0" w:color="auto"/>
          </w:divBdr>
        </w:div>
        <w:div w:id="1687710851">
          <w:marLeft w:val="0"/>
          <w:marRight w:val="0"/>
          <w:marTop w:val="0"/>
          <w:marBottom w:val="0"/>
          <w:divBdr>
            <w:top w:val="none" w:sz="0" w:space="0" w:color="auto"/>
            <w:left w:val="none" w:sz="0" w:space="0" w:color="auto"/>
            <w:bottom w:val="none" w:sz="0" w:space="0" w:color="auto"/>
            <w:right w:val="none" w:sz="0" w:space="0" w:color="auto"/>
          </w:divBdr>
        </w:div>
        <w:div w:id="1961258899">
          <w:marLeft w:val="0"/>
          <w:marRight w:val="0"/>
          <w:marTop w:val="0"/>
          <w:marBottom w:val="0"/>
          <w:divBdr>
            <w:top w:val="none" w:sz="0" w:space="0" w:color="auto"/>
            <w:left w:val="none" w:sz="0" w:space="0" w:color="auto"/>
            <w:bottom w:val="none" w:sz="0" w:space="0" w:color="auto"/>
            <w:right w:val="none" w:sz="0" w:space="0" w:color="auto"/>
          </w:divBdr>
        </w:div>
        <w:div w:id="894658088">
          <w:marLeft w:val="0"/>
          <w:marRight w:val="0"/>
          <w:marTop w:val="0"/>
          <w:marBottom w:val="0"/>
          <w:divBdr>
            <w:top w:val="none" w:sz="0" w:space="0" w:color="auto"/>
            <w:left w:val="none" w:sz="0" w:space="0" w:color="auto"/>
            <w:bottom w:val="none" w:sz="0" w:space="0" w:color="auto"/>
            <w:right w:val="none" w:sz="0" w:space="0" w:color="auto"/>
          </w:divBdr>
          <w:divsChild>
            <w:div w:id="179316295">
              <w:marLeft w:val="0"/>
              <w:marRight w:val="0"/>
              <w:marTop w:val="0"/>
              <w:marBottom w:val="0"/>
              <w:divBdr>
                <w:top w:val="none" w:sz="0" w:space="0" w:color="auto"/>
                <w:left w:val="none" w:sz="0" w:space="0" w:color="auto"/>
                <w:bottom w:val="none" w:sz="0" w:space="0" w:color="auto"/>
                <w:right w:val="none" w:sz="0" w:space="0" w:color="auto"/>
              </w:divBdr>
            </w:div>
            <w:div w:id="12610051">
              <w:marLeft w:val="0"/>
              <w:marRight w:val="0"/>
              <w:marTop w:val="0"/>
              <w:marBottom w:val="0"/>
              <w:divBdr>
                <w:top w:val="none" w:sz="0" w:space="0" w:color="auto"/>
                <w:left w:val="none" w:sz="0" w:space="0" w:color="auto"/>
                <w:bottom w:val="none" w:sz="0" w:space="0" w:color="auto"/>
                <w:right w:val="none" w:sz="0" w:space="0" w:color="auto"/>
              </w:divBdr>
            </w:div>
            <w:div w:id="273950283">
              <w:marLeft w:val="0"/>
              <w:marRight w:val="0"/>
              <w:marTop w:val="0"/>
              <w:marBottom w:val="0"/>
              <w:divBdr>
                <w:top w:val="none" w:sz="0" w:space="0" w:color="auto"/>
                <w:left w:val="none" w:sz="0" w:space="0" w:color="auto"/>
                <w:bottom w:val="none" w:sz="0" w:space="0" w:color="auto"/>
                <w:right w:val="none" w:sz="0" w:space="0" w:color="auto"/>
              </w:divBdr>
            </w:div>
            <w:div w:id="663433850">
              <w:marLeft w:val="0"/>
              <w:marRight w:val="0"/>
              <w:marTop w:val="0"/>
              <w:marBottom w:val="0"/>
              <w:divBdr>
                <w:top w:val="none" w:sz="0" w:space="0" w:color="auto"/>
                <w:left w:val="none" w:sz="0" w:space="0" w:color="auto"/>
                <w:bottom w:val="none" w:sz="0" w:space="0" w:color="auto"/>
                <w:right w:val="none" w:sz="0" w:space="0" w:color="auto"/>
              </w:divBdr>
            </w:div>
            <w:div w:id="1621719917">
              <w:marLeft w:val="0"/>
              <w:marRight w:val="0"/>
              <w:marTop w:val="0"/>
              <w:marBottom w:val="0"/>
              <w:divBdr>
                <w:top w:val="none" w:sz="0" w:space="0" w:color="auto"/>
                <w:left w:val="none" w:sz="0" w:space="0" w:color="auto"/>
                <w:bottom w:val="none" w:sz="0" w:space="0" w:color="auto"/>
                <w:right w:val="none" w:sz="0" w:space="0" w:color="auto"/>
              </w:divBdr>
            </w:div>
          </w:divsChild>
        </w:div>
        <w:div w:id="1486050159">
          <w:marLeft w:val="0"/>
          <w:marRight w:val="0"/>
          <w:marTop w:val="0"/>
          <w:marBottom w:val="0"/>
          <w:divBdr>
            <w:top w:val="none" w:sz="0" w:space="0" w:color="auto"/>
            <w:left w:val="none" w:sz="0" w:space="0" w:color="auto"/>
            <w:bottom w:val="none" w:sz="0" w:space="0" w:color="auto"/>
            <w:right w:val="none" w:sz="0" w:space="0" w:color="auto"/>
          </w:divBdr>
          <w:divsChild>
            <w:div w:id="321739188">
              <w:marLeft w:val="0"/>
              <w:marRight w:val="0"/>
              <w:marTop w:val="0"/>
              <w:marBottom w:val="0"/>
              <w:divBdr>
                <w:top w:val="none" w:sz="0" w:space="0" w:color="auto"/>
                <w:left w:val="none" w:sz="0" w:space="0" w:color="auto"/>
                <w:bottom w:val="none" w:sz="0" w:space="0" w:color="auto"/>
                <w:right w:val="none" w:sz="0" w:space="0" w:color="auto"/>
              </w:divBdr>
            </w:div>
            <w:div w:id="1785073467">
              <w:marLeft w:val="0"/>
              <w:marRight w:val="0"/>
              <w:marTop w:val="0"/>
              <w:marBottom w:val="0"/>
              <w:divBdr>
                <w:top w:val="none" w:sz="0" w:space="0" w:color="auto"/>
                <w:left w:val="none" w:sz="0" w:space="0" w:color="auto"/>
                <w:bottom w:val="none" w:sz="0" w:space="0" w:color="auto"/>
                <w:right w:val="none" w:sz="0" w:space="0" w:color="auto"/>
              </w:divBdr>
            </w:div>
            <w:div w:id="316809717">
              <w:marLeft w:val="0"/>
              <w:marRight w:val="0"/>
              <w:marTop w:val="0"/>
              <w:marBottom w:val="0"/>
              <w:divBdr>
                <w:top w:val="none" w:sz="0" w:space="0" w:color="auto"/>
                <w:left w:val="none" w:sz="0" w:space="0" w:color="auto"/>
                <w:bottom w:val="none" w:sz="0" w:space="0" w:color="auto"/>
                <w:right w:val="none" w:sz="0" w:space="0" w:color="auto"/>
              </w:divBdr>
            </w:div>
          </w:divsChild>
        </w:div>
        <w:div w:id="1109930114">
          <w:marLeft w:val="0"/>
          <w:marRight w:val="0"/>
          <w:marTop w:val="0"/>
          <w:marBottom w:val="0"/>
          <w:divBdr>
            <w:top w:val="none" w:sz="0" w:space="0" w:color="auto"/>
            <w:left w:val="none" w:sz="0" w:space="0" w:color="auto"/>
            <w:bottom w:val="none" w:sz="0" w:space="0" w:color="auto"/>
            <w:right w:val="none" w:sz="0" w:space="0" w:color="auto"/>
          </w:divBdr>
          <w:divsChild>
            <w:div w:id="85806555">
              <w:marLeft w:val="0"/>
              <w:marRight w:val="0"/>
              <w:marTop w:val="0"/>
              <w:marBottom w:val="0"/>
              <w:divBdr>
                <w:top w:val="none" w:sz="0" w:space="0" w:color="auto"/>
                <w:left w:val="none" w:sz="0" w:space="0" w:color="auto"/>
                <w:bottom w:val="none" w:sz="0" w:space="0" w:color="auto"/>
                <w:right w:val="none" w:sz="0" w:space="0" w:color="auto"/>
              </w:divBdr>
            </w:div>
            <w:div w:id="1879052887">
              <w:marLeft w:val="0"/>
              <w:marRight w:val="0"/>
              <w:marTop w:val="0"/>
              <w:marBottom w:val="0"/>
              <w:divBdr>
                <w:top w:val="none" w:sz="0" w:space="0" w:color="auto"/>
                <w:left w:val="none" w:sz="0" w:space="0" w:color="auto"/>
                <w:bottom w:val="none" w:sz="0" w:space="0" w:color="auto"/>
                <w:right w:val="none" w:sz="0" w:space="0" w:color="auto"/>
              </w:divBdr>
            </w:div>
            <w:div w:id="2086995191">
              <w:marLeft w:val="0"/>
              <w:marRight w:val="0"/>
              <w:marTop w:val="0"/>
              <w:marBottom w:val="0"/>
              <w:divBdr>
                <w:top w:val="none" w:sz="0" w:space="0" w:color="auto"/>
                <w:left w:val="none" w:sz="0" w:space="0" w:color="auto"/>
                <w:bottom w:val="none" w:sz="0" w:space="0" w:color="auto"/>
                <w:right w:val="none" w:sz="0" w:space="0" w:color="auto"/>
              </w:divBdr>
            </w:div>
            <w:div w:id="2026520345">
              <w:marLeft w:val="0"/>
              <w:marRight w:val="0"/>
              <w:marTop w:val="0"/>
              <w:marBottom w:val="0"/>
              <w:divBdr>
                <w:top w:val="none" w:sz="0" w:space="0" w:color="auto"/>
                <w:left w:val="none" w:sz="0" w:space="0" w:color="auto"/>
                <w:bottom w:val="none" w:sz="0" w:space="0" w:color="auto"/>
                <w:right w:val="none" w:sz="0" w:space="0" w:color="auto"/>
              </w:divBdr>
            </w:div>
            <w:div w:id="1158493907">
              <w:marLeft w:val="0"/>
              <w:marRight w:val="0"/>
              <w:marTop w:val="0"/>
              <w:marBottom w:val="0"/>
              <w:divBdr>
                <w:top w:val="none" w:sz="0" w:space="0" w:color="auto"/>
                <w:left w:val="none" w:sz="0" w:space="0" w:color="auto"/>
                <w:bottom w:val="none" w:sz="0" w:space="0" w:color="auto"/>
                <w:right w:val="none" w:sz="0" w:space="0" w:color="auto"/>
              </w:divBdr>
            </w:div>
          </w:divsChild>
        </w:div>
        <w:div w:id="202905761">
          <w:marLeft w:val="0"/>
          <w:marRight w:val="0"/>
          <w:marTop w:val="0"/>
          <w:marBottom w:val="0"/>
          <w:divBdr>
            <w:top w:val="none" w:sz="0" w:space="0" w:color="auto"/>
            <w:left w:val="none" w:sz="0" w:space="0" w:color="auto"/>
            <w:bottom w:val="none" w:sz="0" w:space="0" w:color="auto"/>
            <w:right w:val="none" w:sz="0" w:space="0" w:color="auto"/>
          </w:divBdr>
        </w:div>
        <w:div w:id="1428231748">
          <w:marLeft w:val="0"/>
          <w:marRight w:val="0"/>
          <w:marTop w:val="0"/>
          <w:marBottom w:val="0"/>
          <w:divBdr>
            <w:top w:val="none" w:sz="0" w:space="0" w:color="auto"/>
            <w:left w:val="none" w:sz="0" w:space="0" w:color="auto"/>
            <w:bottom w:val="none" w:sz="0" w:space="0" w:color="auto"/>
            <w:right w:val="none" w:sz="0" w:space="0" w:color="auto"/>
          </w:divBdr>
        </w:div>
        <w:div w:id="868372102">
          <w:marLeft w:val="0"/>
          <w:marRight w:val="0"/>
          <w:marTop w:val="0"/>
          <w:marBottom w:val="0"/>
          <w:divBdr>
            <w:top w:val="none" w:sz="0" w:space="0" w:color="auto"/>
            <w:left w:val="none" w:sz="0" w:space="0" w:color="auto"/>
            <w:bottom w:val="none" w:sz="0" w:space="0" w:color="auto"/>
            <w:right w:val="none" w:sz="0" w:space="0" w:color="auto"/>
          </w:divBdr>
        </w:div>
        <w:div w:id="110899552">
          <w:marLeft w:val="0"/>
          <w:marRight w:val="0"/>
          <w:marTop w:val="0"/>
          <w:marBottom w:val="0"/>
          <w:divBdr>
            <w:top w:val="none" w:sz="0" w:space="0" w:color="auto"/>
            <w:left w:val="none" w:sz="0" w:space="0" w:color="auto"/>
            <w:bottom w:val="none" w:sz="0" w:space="0" w:color="auto"/>
            <w:right w:val="none" w:sz="0" w:space="0" w:color="auto"/>
          </w:divBdr>
        </w:div>
        <w:div w:id="1366174012">
          <w:marLeft w:val="0"/>
          <w:marRight w:val="0"/>
          <w:marTop w:val="0"/>
          <w:marBottom w:val="0"/>
          <w:divBdr>
            <w:top w:val="none" w:sz="0" w:space="0" w:color="auto"/>
            <w:left w:val="none" w:sz="0" w:space="0" w:color="auto"/>
            <w:bottom w:val="none" w:sz="0" w:space="0" w:color="auto"/>
            <w:right w:val="none" w:sz="0" w:space="0" w:color="auto"/>
          </w:divBdr>
        </w:div>
        <w:div w:id="64232414">
          <w:marLeft w:val="0"/>
          <w:marRight w:val="0"/>
          <w:marTop w:val="0"/>
          <w:marBottom w:val="0"/>
          <w:divBdr>
            <w:top w:val="none" w:sz="0" w:space="0" w:color="auto"/>
            <w:left w:val="none" w:sz="0" w:space="0" w:color="auto"/>
            <w:bottom w:val="none" w:sz="0" w:space="0" w:color="auto"/>
            <w:right w:val="none" w:sz="0" w:space="0" w:color="auto"/>
          </w:divBdr>
        </w:div>
        <w:div w:id="917520478">
          <w:marLeft w:val="0"/>
          <w:marRight w:val="0"/>
          <w:marTop w:val="0"/>
          <w:marBottom w:val="0"/>
          <w:divBdr>
            <w:top w:val="none" w:sz="0" w:space="0" w:color="auto"/>
            <w:left w:val="none" w:sz="0" w:space="0" w:color="auto"/>
            <w:bottom w:val="none" w:sz="0" w:space="0" w:color="auto"/>
            <w:right w:val="none" w:sz="0" w:space="0" w:color="auto"/>
          </w:divBdr>
        </w:div>
        <w:div w:id="1693651974">
          <w:marLeft w:val="0"/>
          <w:marRight w:val="0"/>
          <w:marTop w:val="0"/>
          <w:marBottom w:val="0"/>
          <w:divBdr>
            <w:top w:val="none" w:sz="0" w:space="0" w:color="auto"/>
            <w:left w:val="none" w:sz="0" w:space="0" w:color="auto"/>
            <w:bottom w:val="none" w:sz="0" w:space="0" w:color="auto"/>
            <w:right w:val="none" w:sz="0" w:space="0" w:color="auto"/>
          </w:divBdr>
        </w:div>
        <w:div w:id="1125076843">
          <w:marLeft w:val="0"/>
          <w:marRight w:val="0"/>
          <w:marTop w:val="0"/>
          <w:marBottom w:val="0"/>
          <w:divBdr>
            <w:top w:val="none" w:sz="0" w:space="0" w:color="auto"/>
            <w:left w:val="none" w:sz="0" w:space="0" w:color="auto"/>
            <w:bottom w:val="none" w:sz="0" w:space="0" w:color="auto"/>
            <w:right w:val="none" w:sz="0" w:space="0" w:color="auto"/>
          </w:divBdr>
        </w:div>
        <w:div w:id="1406951288">
          <w:marLeft w:val="0"/>
          <w:marRight w:val="0"/>
          <w:marTop w:val="0"/>
          <w:marBottom w:val="0"/>
          <w:divBdr>
            <w:top w:val="none" w:sz="0" w:space="0" w:color="auto"/>
            <w:left w:val="none" w:sz="0" w:space="0" w:color="auto"/>
            <w:bottom w:val="none" w:sz="0" w:space="0" w:color="auto"/>
            <w:right w:val="none" w:sz="0" w:space="0" w:color="auto"/>
          </w:divBdr>
        </w:div>
        <w:div w:id="33773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ho.int/medicines/areas/access/medicines_prices08/en/" TargetMode="External"/><Relationship Id="rId18" Type="http://schemas.openxmlformats.org/officeDocument/2006/relationships/hyperlink" Target="https://www.whocc.no/ddd/definition_and_general_considera/" TargetMode="External"/><Relationship Id="rId26" Type="http://schemas.openxmlformats.org/officeDocument/2006/relationships/hyperlink" Target="http://apps.who.int/iris/bitstream/handle/10665/76173/9789241548397_eng.pdf" TargetMode="External"/><Relationship Id="rId39" Type="http://schemas.openxmlformats.org/officeDocument/2006/relationships/hyperlink" Target="http://apps.who.int/medicinedocs/en/d/Jh2929e/7.html" TargetMode="External"/><Relationship Id="rId21" Type="http://schemas.openxmlformats.org/officeDocument/2006/relationships/hyperlink" Target="http://www.who.int/medicines/regulation/benchmarking_tool/en/" TargetMode="External"/><Relationship Id="rId34" Type="http://schemas.openxmlformats.org/officeDocument/2006/relationships/hyperlink" Target="http://www.who.int/ncds/management/pen_tools/en/" TargetMode="External"/><Relationship Id="rId42" Type="http://schemas.openxmlformats.org/officeDocument/2006/relationships/hyperlink" Target="http://www.who.int/mental_health/mhgap/evidence/epilepsy/en/" TargetMode="External"/><Relationship Id="rId47" Type="http://schemas.openxmlformats.org/officeDocument/2006/relationships/hyperlink" Target="http://apps.who.int/iris/bitstream/handle/10665/181468/9789241549158_eng.pdf;jsessionid=0B133D3AD9912240BE31344EAC19187C?sequence=1" TargetMode="External"/><Relationship Id="rId50" Type="http://schemas.openxmlformats.org/officeDocument/2006/relationships/hyperlink" Target="http://apps.who.int/iris/bitstream/handle/10665/75411/9789241548502_eng.pdf" TargetMode="External"/><Relationship Id="rId55" Type="http://schemas.openxmlformats.org/officeDocument/2006/relationships/hyperlink" Target="http://apps.who.int/iris/bitstream/handle/10665/162441/9789241549127_eng.pdf" TargetMode="External"/><Relationship Id="rId63" Type="http://schemas.openxmlformats.org/officeDocument/2006/relationships/hyperlink" Target="http://apps.who.int/medicinedocs/en/d/Js2215e/9.13.html" TargetMode="External"/><Relationship Id="rId68" Type="http://schemas.openxmlformats.org/officeDocument/2006/relationships/image" Target="media/image4.png"/><Relationship Id="rId7" Type="http://schemas.openxmlformats.org/officeDocument/2006/relationships/settings" Target="settings.xml"/><Relationship Id="rId71"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who.int/ncds/management/pen_tools/en/" TargetMode="External"/><Relationship Id="rId11" Type="http://schemas.openxmlformats.org/officeDocument/2006/relationships/hyperlink" Target="http://haiweb.org/what-we-do/price-availability-affordability/price-availability-data/" TargetMode="External"/><Relationship Id="rId24" Type="http://schemas.openxmlformats.org/officeDocument/2006/relationships/hyperlink" Target="https://doi.org/10.1787/health_glance-2017-en" TargetMode="External"/><Relationship Id="rId32" Type="http://schemas.openxmlformats.org/officeDocument/2006/relationships/hyperlink" Target="http://apps.who.int/iris/bitstream/handle/10665/76173/9789241548397_eng.pdf" TargetMode="External"/><Relationship Id="rId37" Type="http://schemas.openxmlformats.org/officeDocument/2006/relationships/hyperlink" Target="http://apps.who.int/iris/bitstream/handle/10665/76173/9789241548397_eng.pdf" TargetMode="External"/><Relationship Id="rId40" Type="http://schemas.openxmlformats.org/officeDocument/2006/relationships/hyperlink" Target="http://apps.who.int/medicinedocs/en/d/Jh2929e/7.html" TargetMode="External"/><Relationship Id="rId45" Type="http://schemas.openxmlformats.org/officeDocument/2006/relationships/hyperlink" Target="http://apps.who.int/medicinedocs/en/d/Js5406e/16.11.html" TargetMode="External"/><Relationship Id="rId53" Type="http://schemas.openxmlformats.org/officeDocument/2006/relationships/hyperlink" Target="https://www.unfpa.org/sites/default/files/pub-pdf/Key%20Data%20and%20Findings%20Maternal%20Health%20Medicines-FINAL.pdf" TargetMode="External"/><Relationship Id="rId58" Type="http://schemas.openxmlformats.org/officeDocument/2006/relationships/hyperlink" Target="file:///C:\Users\nanneic\AppData\Local\Microsoft\Windows\Temporary%20Internet%20Files\Content.Outlook\HUJABWIN\Treatment%20References:%20http:\apps.who.int\iris\bitstream\handle\10665\44540\9789241548120_Guidelines.pdf;jsessionid=6AF4E039A5576A8C77618EBA7AD07D68%3fsequence=1" TargetMode="External"/><Relationship Id="rId66" Type="http://schemas.openxmlformats.org/officeDocument/2006/relationships/header" Target="header1.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ho.int/medicines/areas/policy/monitoring/empmedmon" TargetMode="External"/><Relationship Id="rId23" Type="http://schemas.openxmlformats.org/officeDocument/2006/relationships/hyperlink" Target="http://apps.who.int/gho/data/node.main.487" TargetMode="External"/><Relationship Id="rId28" Type="http://schemas.openxmlformats.org/officeDocument/2006/relationships/hyperlink" Target="http://apps.who.int/iris/bitstream/handle/10665/76173/9789241548397_eng.pdf" TargetMode="External"/><Relationship Id="rId36" Type="http://schemas.openxmlformats.org/officeDocument/2006/relationships/hyperlink" Target="http://www.who.int/ncds/management/pen_tools/en/" TargetMode="External"/><Relationship Id="rId49" Type="http://schemas.openxmlformats.org/officeDocument/2006/relationships/hyperlink" Target="http://www.who.int/maternal_child_adolescent/documents/a85500/en/" TargetMode="External"/><Relationship Id="rId57" Type="http://schemas.openxmlformats.org/officeDocument/2006/relationships/hyperlink" Target="http://apps.who.int/iris/bitstream/handle/10665/208825/9789241549684_eng.pdf" TargetMode="External"/><Relationship Id="rId61" Type="http://schemas.openxmlformats.org/officeDocument/2006/relationships/hyperlink" Target="http://www.who.int/selection_medicines/committees/expert/19/applications/Histamine_3_AC_R.pdf" TargetMode="External"/><Relationship Id="rId10" Type="http://schemas.openxmlformats.org/officeDocument/2006/relationships/endnotes" Target="endnotes.xml"/><Relationship Id="rId19" Type="http://schemas.openxmlformats.org/officeDocument/2006/relationships/hyperlink" Target="https://www.ilo.org/global/topics/wages/minimum-wages/definition/lang--en/index.htm" TargetMode="External"/><Relationship Id="rId31" Type="http://schemas.openxmlformats.org/officeDocument/2006/relationships/hyperlink" Target="http://www.who.int/ncds/management/pen_tools/en/" TargetMode="External"/><Relationship Id="rId44" Type="http://schemas.openxmlformats.org/officeDocument/2006/relationships/hyperlink" Target="http://apps.who.int/medicinedocs/en/d/Js5406e/16.1.html" TargetMode="External"/><Relationship Id="rId52" Type="http://schemas.openxmlformats.org/officeDocument/2006/relationships/hyperlink" Target="https://extranet.who.int/rhl/topics/preconception-pregnancy-childbirth-and-postpartum-care/medical-problems-during-pregnancy/who-recommendation-magnesium-sulfate-prevention-eclampsia-women-severe-pre-eclampsia" TargetMode="External"/><Relationship Id="rId60" Type="http://schemas.openxmlformats.org/officeDocument/2006/relationships/hyperlink" Target="http://apps.who.int/iris/bitstream/handle/10665/95584/9789241506328_eng.pdf?sequence=1" TargetMode="External"/><Relationship Id="rId65" Type="http://schemas.openxmlformats.org/officeDocument/2006/relationships/hyperlink" Target="http://www.who.int/selection_medicines/list/WMF2008.pdf?ua=1"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o.int/healthinfo/systems/SARA_Reference_Manual_Full.pdf" TargetMode="External"/><Relationship Id="rId22" Type="http://schemas.openxmlformats.org/officeDocument/2006/relationships/hyperlink" Target="http://www.who.int/healthinfo/global_burden_disease/estimates/en/index1.html" TargetMode="External"/><Relationship Id="rId27" Type="http://schemas.openxmlformats.org/officeDocument/2006/relationships/hyperlink" Target="http://www.who.int/ncds/management/pen_tools/en/" TargetMode="External"/><Relationship Id="rId30" Type="http://schemas.openxmlformats.org/officeDocument/2006/relationships/hyperlink" Target="http://apps.who.int/iris/bitstream/handle/10665/76173/9789241548397_eng.pdf" TargetMode="External"/><Relationship Id="rId35" Type="http://schemas.openxmlformats.org/officeDocument/2006/relationships/hyperlink" Target="http://apps.who.int/iris/bitstream/handle/10665/76173/9789241548397_eng.pdf" TargetMode="External"/><Relationship Id="rId43" Type="http://schemas.openxmlformats.org/officeDocument/2006/relationships/hyperlink" Target="http://apps.who.int/medicinedocs/en/d/Js5406e/16.19.html" TargetMode="External"/><Relationship Id="rId48" Type="http://schemas.openxmlformats.org/officeDocument/2006/relationships/hyperlink" Target="http://www.who.int/maternal_child_adolescent/documents/a85500/en/" TargetMode="External"/><Relationship Id="rId56" Type="http://schemas.openxmlformats.org/officeDocument/2006/relationships/hyperlink" Target="http://apps.who.int/iris/bitstream/handle/10665/162441/9789241549127_eng.pdf" TargetMode="External"/><Relationship Id="rId64" Type="http://schemas.openxmlformats.org/officeDocument/2006/relationships/hyperlink" Target="http://apps.who.int/iris/bitstream/handle/10665/37143/9241401052.pdf?sequence=1&amp;isAllowed=y" TargetMode="External"/><Relationship Id="rId69"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www.unfpa.org/sites/default/files/pub-pdf/Key%20Data%20and%20Findings%20Maternal%20Health%20Medicines-FINAL.pdf"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who.int/medicines/areas/access/OMS_Medicine_prices.pdf" TargetMode="External"/><Relationship Id="rId25" Type="http://schemas.openxmlformats.org/officeDocument/2006/relationships/hyperlink" Target="http://www.who.int/ncds/management/pen_tools/en/" TargetMode="External"/><Relationship Id="rId33" Type="http://schemas.openxmlformats.org/officeDocument/2006/relationships/hyperlink" Target="http://www.who.int/ncds/management/pen_tools/en/" TargetMode="External"/><Relationship Id="rId38" Type="http://schemas.openxmlformats.org/officeDocument/2006/relationships/hyperlink" Target="http://www.who.int/ncds/management/pen_tools/en/" TargetMode="External"/><Relationship Id="rId46" Type="http://schemas.openxmlformats.org/officeDocument/2006/relationships/hyperlink" Target="http://apps.who.int/medicinedocs/en/d/Js5406e/16.6.html" TargetMode="External"/><Relationship Id="rId59" Type="http://schemas.openxmlformats.org/officeDocument/2006/relationships/hyperlink" Target="http://www.who.int/selection_medicines/committees/subcommittee/2/chlorhexidine.pdf?ua=1" TargetMode="External"/><Relationship Id="rId67" Type="http://schemas.openxmlformats.org/officeDocument/2006/relationships/image" Target="media/image3.png"/><Relationship Id="rId20" Type="http://schemas.openxmlformats.org/officeDocument/2006/relationships/hyperlink" Target="http://www.who.int/healthinfo/global_burden_disease/2004_report_update/en/" TargetMode="External"/><Relationship Id="rId41" Type="http://schemas.openxmlformats.org/officeDocument/2006/relationships/hyperlink" Target="http://www.who.int/mental_health/mhgap/evidence/depression/en/" TargetMode="External"/><Relationship Id="rId54" Type="http://schemas.openxmlformats.org/officeDocument/2006/relationships/hyperlink" Target="http://www.who.int/elena/titles/folate_periconceptional/en/" TargetMode="External"/><Relationship Id="rId62" Type="http://schemas.openxmlformats.org/officeDocument/2006/relationships/hyperlink" Target="http://www.who.int/selection_medicines/list/WMF2008.pdf?ua=1" TargetMode="External"/><Relationship Id="rId7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ophi.org.uk/wp-content/uploads/OPHIRP046a.pdf" TargetMode="External"/><Relationship Id="rId2" Type="http://schemas.openxmlformats.org/officeDocument/2006/relationships/hyperlink" Target="http://www.who.int/medicines/areas/access/OMS_Medicine_prices.pdf" TargetMode="External"/><Relationship Id="rId1" Type="http://schemas.openxmlformats.org/officeDocument/2006/relationships/hyperlink" Target="http://www.who.int/healthinfo/global_burden_disease/estimates/en/index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57706C-8194-4569-904B-891E3C97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29</Pages>
  <Words>11697</Words>
  <Characters>66674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Kebebush Welkema</cp:lastModifiedBy>
  <cp:revision>10</cp:revision>
  <cp:lastPrinted>2016-07-16T14:25:00Z</cp:lastPrinted>
  <dcterms:created xsi:type="dcterms:W3CDTF">2021-11-18T20:59:00Z</dcterms:created>
  <dcterms:modified xsi:type="dcterms:W3CDTF">2021-12-18T02:57:00Z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