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D2" w:rsidRPr="00A95E54" w:rsidRDefault="00BF3ED1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Цель</w:t>
      </w:r>
      <w:r w:rsidR="00E824A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824A3" w:rsidRPr="00E824A3">
        <w:rPr>
          <w:rFonts w:ascii="Times New Roman" w:hAnsi="Times New Roman" w:cs="Times New Roman"/>
          <w:b/>
          <w:sz w:val="24"/>
          <w:szCs w:val="24"/>
        </w:rPr>
        <w:t>:</w:t>
      </w:r>
      <w:r w:rsidR="00561FDA" w:rsidRPr="00A9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E54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spellStart"/>
      <w:r w:rsidRPr="00A95E54">
        <w:rPr>
          <w:rFonts w:ascii="Times New Roman" w:hAnsi="Times New Roman" w:cs="Times New Roman"/>
          <w:b/>
          <w:sz w:val="24"/>
          <w:szCs w:val="24"/>
        </w:rPr>
        <w:t>гендерного</w:t>
      </w:r>
      <w:proofErr w:type="spellEnd"/>
      <w:r w:rsidRPr="00A95E54">
        <w:rPr>
          <w:rFonts w:ascii="Times New Roman" w:hAnsi="Times New Roman" w:cs="Times New Roman"/>
          <w:b/>
          <w:sz w:val="24"/>
          <w:szCs w:val="24"/>
        </w:rPr>
        <w:t xml:space="preserve"> равенства и расширение прав и возможностей всех женщин и девочек</w:t>
      </w:r>
    </w:p>
    <w:p w:rsidR="00561FDA" w:rsidRPr="00A95E54" w:rsidRDefault="00561FDA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5.4</w:t>
      </w:r>
      <w:proofErr w:type="gramStart"/>
      <w:r w:rsidR="00BF3ED1" w:rsidRPr="00A95E54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BF3ED1" w:rsidRPr="00A95E54">
        <w:rPr>
          <w:rFonts w:ascii="Times New Roman" w:hAnsi="Times New Roman" w:cs="Times New Roman"/>
          <w:b/>
          <w:sz w:val="24"/>
          <w:szCs w:val="24"/>
        </w:rPr>
        <w:t>ризнавать и ценить неоплачиваемый труд по уходу и работу по ведению домашнего хозяйства, предоставляя коммунальные услуги, инфраструктуру и системы социальной защиты и поощряя принцип общей ответственности в ведении хозяйства и в семье, с учетом национальных условий</w:t>
      </w:r>
    </w:p>
    <w:p w:rsidR="0047734D" w:rsidRPr="00A95E54" w:rsidRDefault="0047734D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 xml:space="preserve">5.4.1 </w:t>
      </w:r>
      <w:r w:rsidR="00BF3ED1" w:rsidRPr="00A95E54">
        <w:rPr>
          <w:rFonts w:ascii="Times New Roman" w:hAnsi="Times New Roman" w:cs="Times New Roman"/>
          <w:b/>
          <w:sz w:val="24"/>
          <w:szCs w:val="24"/>
        </w:rPr>
        <w:t>Доля времени, затрачиваемого на неоплачиваемый труд по уходу и работу по дому, в разбивке по полу, возрасту и месту проживания</w:t>
      </w:r>
    </w:p>
    <w:p w:rsidR="00965066" w:rsidRPr="00A95E54" w:rsidRDefault="0096506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965066" w:rsidRPr="00A95E54" w:rsidRDefault="0096506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965066" w:rsidRPr="00A95E54" w:rsidRDefault="00BF3ED1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Статистический отдел </w:t>
      </w:r>
      <w:r w:rsidR="00420D3B" w:rsidRPr="00A95E54">
        <w:rPr>
          <w:rFonts w:ascii="Times New Roman" w:hAnsi="Times New Roman" w:cs="Times New Roman"/>
          <w:sz w:val="24"/>
          <w:szCs w:val="24"/>
        </w:rPr>
        <w:t>ООН</w:t>
      </w:r>
    </w:p>
    <w:p w:rsidR="00965066" w:rsidRPr="00A95E54" w:rsidRDefault="0096506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Концепты и определения</w:t>
      </w:r>
    </w:p>
    <w:p w:rsidR="00965066" w:rsidRPr="00A95E54" w:rsidRDefault="0096506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965066" w:rsidRPr="00A95E54" w:rsidRDefault="0096506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Время, потраченное на неоплачиваемую работу по дому и уходу, относится к среднему времени, которое женщины и мужчины тратят на обеспечение домашних хозяйств услугами для собственного потребления. Работы по дому и уходу включают в себя приготовление еды, мытье посуды, уборку и содержание жилья</w:t>
      </w:r>
      <w:r w:rsidR="00D606BE" w:rsidRPr="00A95E54">
        <w:rPr>
          <w:rFonts w:ascii="Times New Roman" w:hAnsi="Times New Roman" w:cs="Times New Roman"/>
          <w:sz w:val="24"/>
          <w:szCs w:val="24"/>
        </w:rPr>
        <w:t>, стирка и глажка, работы по саду, уход за животными, покупку, установку, обслуживание и починку личных и бытовых товаров, уход за детьми, уход за больными, пожилыми и инвалидами</w:t>
      </w:r>
    </w:p>
    <w:p w:rsidR="00D606BE" w:rsidRPr="00A95E54" w:rsidRDefault="00D606BE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Концеп</w:t>
      </w:r>
      <w:r w:rsidR="006D49CC">
        <w:rPr>
          <w:rFonts w:ascii="Times New Roman" w:hAnsi="Times New Roman" w:cs="Times New Roman"/>
          <w:b/>
          <w:sz w:val="24"/>
          <w:szCs w:val="24"/>
        </w:rPr>
        <w:t>ция</w:t>
      </w:r>
      <w:r w:rsidRPr="00A95E54">
        <w:rPr>
          <w:rFonts w:ascii="Times New Roman" w:hAnsi="Times New Roman" w:cs="Times New Roman"/>
          <w:b/>
          <w:sz w:val="24"/>
          <w:szCs w:val="24"/>
        </w:rPr>
        <w:t>:</w:t>
      </w:r>
    </w:p>
    <w:p w:rsidR="00D606BE" w:rsidRPr="00A95E54" w:rsidRDefault="00D606BE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Концепты и определения для этого индикатора основаны на следующих интернациональных стандартах:</w:t>
      </w:r>
    </w:p>
    <w:p w:rsidR="00D606BE" w:rsidRPr="00E824A3" w:rsidRDefault="00D606BE" w:rsidP="00E824A3">
      <w:pPr>
        <w:pStyle w:val="a3"/>
        <w:numPr>
          <w:ilvl w:val="0"/>
          <w:numId w:val="4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A3">
        <w:rPr>
          <w:rFonts w:ascii="Times New Roman" w:hAnsi="Times New Roman" w:cs="Times New Roman"/>
          <w:sz w:val="24"/>
          <w:szCs w:val="24"/>
        </w:rPr>
        <w:t>Система национальных счетов 2008 (</w:t>
      </w:r>
      <w:r w:rsidRPr="00E824A3">
        <w:rPr>
          <w:rFonts w:ascii="Times New Roman" w:hAnsi="Times New Roman" w:cs="Times New Roman"/>
          <w:sz w:val="24"/>
          <w:szCs w:val="24"/>
          <w:lang w:val="en-US"/>
        </w:rPr>
        <w:t>SNA</w:t>
      </w:r>
      <w:r w:rsidRPr="00E824A3">
        <w:rPr>
          <w:rFonts w:ascii="Times New Roman" w:hAnsi="Times New Roman" w:cs="Times New Roman"/>
          <w:sz w:val="24"/>
          <w:szCs w:val="24"/>
        </w:rPr>
        <w:t xml:space="preserve"> 2008)</w:t>
      </w:r>
    </w:p>
    <w:p w:rsidR="00D606BE" w:rsidRPr="00E824A3" w:rsidRDefault="00D606BE" w:rsidP="00E824A3">
      <w:pPr>
        <w:pStyle w:val="a3"/>
        <w:numPr>
          <w:ilvl w:val="0"/>
          <w:numId w:val="4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A3">
        <w:rPr>
          <w:rFonts w:ascii="Times New Roman" w:hAnsi="Times New Roman" w:cs="Times New Roman"/>
          <w:sz w:val="24"/>
          <w:szCs w:val="24"/>
        </w:rPr>
        <w:t xml:space="preserve">Резолюция, рассматривающая статистику труда, трудоустройства и недоиспользования рабочей </w:t>
      </w:r>
      <w:r w:rsidR="00BF3ED1" w:rsidRPr="00E824A3">
        <w:rPr>
          <w:rFonts w:ascii="Times New Roman" w:hAnsi="Times New Roman" w:cs="Times New Roman"/>
          <w:sz w:val="24"/>
          <w:szCs w:val="24"/>
        </w:rPr>
        <w:t>силы, принятая</w:t>
      </w:r>
      <w:r w:rsidRPr="00E824A3">
        <w:rPr>
          <w:rFonts w:ascii="Times New Roman" w:hAnsi="Times New Roman" w:cs="Times New Roman"/>
          <w:sz w:val="24"/>
          <w:szCs w:val="24"/>
        </w:rPr>
        <w:t xml:space="preserve"> Интернациональной Конференцией </w:t>
      </w:r>
      <w:r w:rsidR="0089524A" w:rsidRPr="00E824A3">
        <w:rPr>
          <w:rFonts w:ascii="Times New Roman" w:hAnsi="Times New Roman" w:cs="Times New Roman"/>
          <w:sz w:val="24"/>
          <w:szCs w:val="24"/>
        </w:rPr>
        <w:t>Трудовых Статистов (</w:t>
      </w:r>
      <w:r w:rsidR="0089524A" w:rsidRPr="00E824A3">
        <w:rPr>
          <w:rFonts w:ascii="Times New Roman" w:hAnsi="Times New Roman" w:cs="Times New Roman"/>
          <w:sz w:val="24"/>
          <w:szCs w:val="24"/>
          <w:lang w:val="en-US"/>
        </w:rPr>
        <w:t>ICLS</w:t>
      </w:r>
      <w:r w:rsidR="0089524A" w:rsidRPr="00E824A3">
        <w:rPr>
          <w:rFonts w:ascii="Times New Roman" w:hAnsi="Times New Roman" w:cs="Times New Roman"/>
          <w:sz w:val="24"/>
          <w:szCs w:val="24"/>
        </w:rPr>
        <w:t>) на её 19-й сессии в 2013</w:t>
      </w:r>
    </w:p>
    <w:p w:rsidR="0089524A" w:rsidRPr="00E824A3" w:rsidRDefault="0089524A" w:rsidP="00E824A3">
      <w:pPr>
        <w:pStyle w:val="a3"/>
        <w:numPr>
          <w:ilvl w:val="0"/>
          <w:numId w:val="4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A3">
        <w:rPr>
          <w:rFonts w:ascii="Times New Roman" w:hAnsi="Times New Roman" w:cs="Times New Roman"/>
          <w:sz w:val="24"/>
          <w:szCs w:val="24"/>
        </w:rPr>
        <w:t>Интернациональная классификация видов деятельности для статистики использования времени 2016 (</w:t>
      </w:r>
      <w:r w:rsidRPr="00E824A3">
        <w:rPr>
          <w:rFonts w:ascii="Times New Roman" w:hAnsi="Times New Roman" w:cs="Times New Roman"/>
          <w:sz w:val="24"/>
          <w:szCs w:val="24"/>
          <w:lang w:val="en-US"/>
        </w:rPr>
        <w:t>ICATUS</w:t>
      </w:r>
      <w:r w:rsidRPr="00E824A3">
        <w:rPr>
          <w:rFonts w:ascii="Times New Roman" w:hAnsi="Times New Roman" w:cs="Times New Roman"/>
          <w:sz w:val="24"/>
          <w:szCs w:val="24"/>
        </w:rPr>
        <w:t xml:space="preserve"> 2016)</w:t>
      </w:r>
    </w:p>
    <w:p w:rsidR="0089524A" w:rsidRPr="00A95E54" w:rsidRDefault="0089524A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Актуальные специфические концепты описаны ниже:</w:t>
      </w:r>
    </w:p>
    <w:p w:rsidR="0089524A" w:rsidRPr="00A95E54" w:rsidRDefault="0089524A" w:rsidP="00E824A3">
      <w:pPr>
        <w:pStyle w:val="a3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Деятельность считается продуктивной или попадающей в «общую границу производства», если она удовлетворяет критерию третьего лица (деятельность может быть делегирована другому лицу при достижении таких же желаемых результатов)</w:t>
      </w:r>
    </w:p>
    <w:p w:rsidR="0089524A" w:rsidRPr="00A95E54" w:rsidRDefault="0089524A" w:rsidP="00E824A3">
      <w:pPr>
        <w:pStyle w:val="a3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Производительная деятельность может быть в дальнейшем классифицированная на основе рамок </w:t>
      </w:r>
      <w:r w:rsidR="00420D3B" w:rsidRPr="00A95E54">
        <w:rPr>
          <w:rFonts w:ascii="Times New Roman" w:hAnsi="Times New Roman" w:cs="Times New Roman"/>
          <w:sz w:val="24"/>
          <w:szCs w:val="24"/>
        </w:rPr>
        <w:t>МОТ</w:t>
      </w:r>
      <w:r w:rsidRPr="00A95E54">
        <w:rPr>
          <w:rFonts w:ascii="Times New Roman" w:hAnsi="Times New Roman" w:cs="Times New Roman"/>
          <w:sz w:val="24"/>
          <w:szCs w:val="24"/>
        </w:rPr>
        <w:t xml:space="preserve"> по трудовой статистике (включая 19-ю </w:t>
      </w:r>
      <w:r w:rsidR="0091441D" w:rsidRPr="00A95E54">
        <w:rPr>
          <w:rFonts w:ascii="Times New Roman" w:hAnsi="Times New Roman" w:cs="Times New Roman"/>
          <w:sz w:val="24"/>
          <w:szCs w:val="24"/>
        </w:rPr>
        <w:t xml:space="preserve">резолюцию </w:t>
      </w:r>
      <w:r w:rsidR="0091441D" w:rsidRPr="00A95E54">
        <w:rPr>
          <w:rFonts w:ascii="Times New Roman" w:hAnsi="Times New Roman" w:cs="Times New Roman"/>
          <w:sz w:val="24"/>
          <w:szCs w:val="24"/>
          <w:lang w:val="en-US"/>
        </w:rPr>
        <w:t>ICLS</w:t>
      </w:r>
      <w:r w:rsidR="0091441D" w:rsidRPr="00A95E54">
        <w:rPr>
          <w:rFonts w:ascii="Times New Roman" w:hAnsi="Times New Roman" w:cs="Times New Roman"/>
          <w:sz w:val="24"/>
          <w:szCs w:val="24"/>
        </w:rPr>
        <w:t>) на типы:</w:t>
      </w:r>
    </w:p>
    <w:p w:rsidR="0091441D" w:rsidRPr="00A95E54" w:rsidRDefault="00BD2CE2" w:rsidP="00E824A3">
      <w:pPr>
        <w:pStyle w:val="a3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Производственная работа для собственного использования (деятельность по производству товаров и услуг для личного конечного потребления; </w:t>
      </w:r>
      <w:r w:rsidR="00B37BD3" w:rsidRPr="00A95E54">
        <w:rPr>
          <w:rFonts w:ascii="Times New Roman" w:hAnsi="Times New Roman" w:cs="Times New Roman"/>
          <w:sz w:val="24"/>
          <w:szCs w:val="24"/>
        </w:rPr>
        <w:t xml:space="preserve">выпущенная продукция главным образом предназначена для конечного </w:t>
      </w:r>
      <w:r w:rsidR="00BF3ED1" w:rsidRPr="00A95E54">
        <w:rPr>
          <w:rFonts w:ascii="Times New Roman" w:hAnsi="Times New Roman" w:cs="Times New Roman"/>
          <w:sz w:val="24"/>
          <w:szCs w:val="24"/>
        </w:rPr>
        <w:t>использования</w:t>
      </w:r>
      <w:r w:rsidR="00B37BD3" w:rsidRPr="00A95E54">
        <w:rPr>
          <w:rFonts w:ascii="Times New Roman" w:hAnsi="Times New Roman" w:cs="Times New Roman"/>
          <w:sz w:val="24"/>
          <w:szCs w:val="24"/>
        </w:rPr>
        <w:t xml:space="preserve"> производителем в форме накопления капитала, конечного потребления членами домохозяйства или членами семьи, живущими в других домохозяйствах;  в случае </w:t>
      </w:r>
      <w:r w:rsidR="00B37BD3" w:rsidRPr="00A95E54">
        <w:rPr>
          <w:rFonts w:ascii="Times New Roman" w:hAnsi="Times New Roman" w:cs="Times New Roman"/>
          <w:sz w:val="24"/>
          <w:szCs w:val="24"/>
        </w:rPr>
        <w:lastRenderedPageBreak/>
        <w:t>излишка сельскохозяйственных, рыболовных, охотничьих или сборных товаров, главным образом предназначенных для собственного потребления, часть может быть продана или обменена)</w:t>
      </w:r>
    </w:p>
    <w:p w:rsidR="00B37BD3" w:rsidRPr="00A95E54" w:rsidRDefault="00B37BD3" w:rsidP="00E824A3">
      <w:pPr>
        <w:pStyle w:val="a3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Трудоустройство (деятельность по производству товаров или предоставлению услуг за оплату или прибыль)</w:t>
      </w:r>
    </w:p>
    <w:p w:rsidR="00B37BD3" w:rsidRPr="00A95E54" w:rsidRDefault="00B37BD3" w:rsidP="00E824A3">
      <w:pPr>
        <w:pStyle w:val="a3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E54">
        <w:rPr>
          <w:rFonts w:ascii="Times New Roman" w:hAnsi="Times New Roman" w:cs="Times New Roman"/>
          <w:sz w:val="24"/>
          <w:szCs w:val="24"/>
        </w:rPr>
        <w:t>Неоплачиваемая стажировка (любая неоплачиваемая деятельность по производству товаров или предоставлению услуг для других людей с целью получения рабочего опыта или навыка в торговле или профессии</w:t>
      </w:r>
      <w:proofErr w:type="gramEnd"/>
    </w:p>
    <w:p w:rsidR="00B37BD3" w:rsidRPr="00A95E54" w:rsidRDefault="00B37BD3" w:rsidP="00E824A3">
      <w:pPr>
        <w:pStyle w:val="a3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E54">
        <w:rPr>
          <w:rFonts w:ascii="Times New Roman" w:hAnsi="Times New Roman" w:cs="Times New Roman"/>
          <w:sz w:val="24"/>
          <w:szCs w:val="24"/>
        </w:rPr>
        <w:t>Волонтерская работа (любая неоплачиваемая, необязательная деятельность по производству товаров или предоставлению услуг другим людям</w:t>
      </w:r>
      <w:proofErr w:type="gramEnd"/>
    </w:p>
    <w:p w:rsidR="00B37BD3" w:rsidRPr="00A95E54" w:rsidRDefault="00B37BD3" w:rsidP="00E824A3">
      <w:pPr>
        <w:pStyle w:val="a3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Другие формы работы</w:t>
      </w:r>
    </w:p>
    <w:p w:rsidR="00B37BD3" w:rsidRPr="00E824A3" w:rsidRDefault="00B37BD3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Производство для собственного потребления может быть классифицировано по производству товаров или услуг</w:t>
      </w:r>
      <w:r w:rsidR="00E824A3" w:rsidRPr="00E824A3">
        <w:rPr>
          <w:rFonts w:ascii="Times New Roman" w:hAnsi="Times New Roman" w:cs="Times New Roman"/>
          <w:sz w:val="24"/>
          <w:szCs w:val="24"/>
        </w:rPr>
        <w:t>.</w:t>
      </w:r>
    </w:p>
    <w:p w:rsidR="00B37BD3" w:rsidRPr="000C5A88" w:rsidRDefault="00B37BD3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E54">
        <w:rPr>
          <w:rFonts w:ascii="Times New Roman" w:hAnsi="Times New Roman" w:cs="Times New Roman"/>
          <w:sz w:val="24"/>
          <w:szCs w:val="24"/>
        </w:rPr>
        <w:t xml:space="preserve">Показатель 5.4.1 учитывает только лишь </w:t>
      </w:r>
      <w:r w:rsidR="004E59C4" w:rsidRPr="00A95E54">
        <w:rPr>
          <w:rFonts w:ascii="Times New Roman" w:hAnsi="Times New Roman" w:cs="Times New Roman"/>
          <w:sz w:val="24"/>
          <w:szCs w:val="24"/>
        </w:rPr>
        <w:t xml:space="preserve">собственноручно выполненную работу или услугу, или, другими </w:t>
      </w:r>
      <w:r w:rsidR="00BF3ED1" w:rsidRPr="00A95E54">
        <w:rPr>
          <w:rFonts w:ascii="Times New Roman" w:hAnsi="Times New Roman" w:cs="Times New Roman"/>
          <w:sz w:val="24"/>
          <w:szCs w:val="24"/>
        </w:rPr>
        <w:t>словами, деятельность</w:t>
      </w:r>
      <w:r w:rsidR="004E59C4" w:rsidRPr="00A95E54">
        <w:rPr>
          <w:rFonts w:ascii="Times New Roman" w:hAnsi="Times New Roman" w:cs="Times New Roman"/>
          <w:sz w:val="24"/>
          <w:szCs w:val="24"/>
        </w:rPr>
        <w:t xml:space="preserve">, связанную с </w:t>
      </w:r>
      <w:r w:rsidR="00BF3ED1" w:rsidRPr="00A95E54">
        <w:rPr>
          <w:rFonts w:ascii="Times New Roman" w:hAnsi="Times New Roman" w:cs="Times New Roman"/>
          <w:sz w:val="24"/>
          <w:szCs w:val="24"/>
        </w:rPr>
        <w:t>неоплачиваемыми</w:t>
      </w:r>
      <w:r w:rsidR="004E59C4" w:rsidRPr="00A95E54">
        <w:rPr>
          <w:rFonts w:ascii="Times New Roman" w:hAnsi="Times New Roman" w:cs="Times New Roman"/>
          <w:sz w:val="24"/>
          <w:szCs w:val="24"/>
        </w:rPr>
        <w:t xml:space="preserve"> домашними услугами или неоплачиваемыми услугами по уходу, произведенные домохозяйствами для личного использования.</w:t>
      </w:r>
      <w:proofErr w:type="gramEnd"/>
      <w:r w:rsidR="004E59C4" w:rsidRPr="00A95E54">
        <w:rPr>
          <w:rFonts w:ascii="Times New Roman" w:hAnsi="Times New Roman" w:cs="Times New Roman"/>
          <w:sz w:val="24"/>
          <w:szCs w:val="24"/>
        </w:rPr>
        <w:t xml:space="preserve"> Эти виды деятельность </w:t>
      </w:r>
      <w:r w:rsidR="00BF3ED1" w:rsidRPr="00A95E54">
        <w:rPr>
          <w:rFonts w:ascii="Times New Roman" w:hAnsi="Times New Roman" w:cs="Times New Roman"/>
          <w:sz w:val="24"/>
          <w:szCs w:val="24"/>
        </w:rPr>
        <w:t>перечислены</w:t>
      </w:r>
      <w:r w:rsidR="004E59C4" w:rsidRPr="00A95E54">
        <w:rPr>
          <w:rFonts w:ascii="Times New Roman" w:hAnsi="Times New Roman" w:cs="Times New Roman"/>
          <w:sz w:val="24"/>
          <w:szCs w:val="24"/>
        </w:rPr>
        <w:t xml:space="preserve"> в </w:t>
      </w:r>
      <w:r w:rsidR="004E59C4" w:rsidRPr="00A95E54">
        <w:rPr>
          <w:rFonts w:ascii="Times New Roman" w:hAnsi="Times New Roman" w:cs="Times New Roman"/>
          <w:sz w:val="24"/>
          <w:szCs w:val="24"/>
          <w:lang w:val="en-US"/>
        </w:rPr>
        <w:t>ICATUS</w:t>
      </w:r>
      <w:r w:rsidR="004E59C4" w:rsidRPr="00A95E54">
        <w:rPr>
          <w:rFonts w:ascii="Times New Roman" w:hAnsi="Times New Roman" w:cs="Times New Roman"/>
          <w:sz w:val="24"/>
          <w:szCs w:val="24"/>
        </w:rPr>
        <w:t xml:space="preserve"> 2016 в основных разделах «3. Неоплачиваемые домашние услуги для членов домохозяйств и семей» и «4. Неоплачиваемые услуги по уходу для членов домохозяйств и семей»</w:t>
      </w:r>
      <w:r w:rsidR="00E824A3" w:rsidRPr="000C5A88">
        <w:rPr>
          <w:rFonts w:ascii="Times New Roman" w:hAnsi="Times New Roman" w:cs="Times New Roman"/>
          <w:sz w:val="24"/>
          <w:szCs w:val="24"/>
        </w:rPr>
        <w:t>.</w:t>
      </w:r>
    </w:p>
    <w:p w:rsidR="004E59C4" w:rsidRPr="00E824A3" w:rsidRDefault="004E59C4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Статистика, собранная </w:t>
      </w:r>
      <w:r w:rsidR="00420D3B" w:rsidRPr="00A95E54">
        <w:rPr>
          <w:rFonts w:ascii="Times New Roman" w:hAnsi="Times New Roman" w:cs="Times New Roman"/>
          <w:sz w:val="24"/>
          <w:szCs w:val="24"/>
        </w:rPr>
        <w:t>Статистическим отделом ООН</w:t>
      </w:r>
      <w:r w:rsidRPr="00A95E54">
        <w:rPr>
          <w:rFonts w:ascii="Times New Roman" w:hAnsi="Times New Roman" w:cs="Times New Roman"/>
          <w:sz w:val="24"/>
          <w:szCs w:val="24"/>
        </w:rPr>
        <w:t>, в максимально возможной степени основана на Интернациональной классификации видов деятельности для статистики использования времени 2016 (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ICATUS</w:t>
      </w:r>
      <w:r w:rsidRPr="00A95E54">
        <w:rPr>
          <w:rFonts w:ascii="Times New Roman" w:hAnsi="Times New Roman" w:cs="Times New Roman"/>
          <w:sz w:val="24"/>
          <w:szCs w:val="24"/>
        </w:rPr>
        <w:t xml:space="preserve"> 2016), которая классифицирует выполняемую людьми деятельность на протяжении периода исследования. </w:t>
      </w:r>
      <w:proofErr w:type="gramStart"/>
      <w:r w:rsidRPr="00A95E54">
        <w:rPr>
          <w:rFonts w:ascii="Times New Roman" w:hAnsi="Times New Roman" w:cs="Times New Roman"/>
          <w:sz w:val="24"/>
          <w:szCs w:val="24"/>
          <w:lang w:val="en-US"/>
        </w:rPr>
        <w:t>ICATUS</w:t>
      </w:r>
      <w:r w:rsidRPr="00A95E54">
        <w:rPr>
          <w:rFonts w:ascii="Times New Roman" w:hAnsi="Times New Roman" w:cs="Times New Roman"/>
          <w:sz w:val="24"/>
          <w:szCs w:val="24"/>
        </w:rPr>
        <w:t xml:space="preserve"> 2016 </w:t>
      </w:r>
      <w:r w:rsidR="00885CC5" w:rsidRPr="00A95E54">
        <w:rPr>
          <w:rFonts w:ascii="Times New Roman" w:hAnsi="Times New Roman" w:cs="Times New Roman"/>
          <w:sz w:val="24"/>
          <w:szCs w:val="24"/>
        </w:rPr>
        <w:t>была принята Национальной Статистической Комиссией Соединенных Штатов для использования в качестве интернациональной статистической классификации во время 48 сессии 7-10 марта 2017</w:t>
      </w:r>
      <w:r w:rsidR="00E824A3" w:rsidRPr="00E824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CC5" w:rsidRPr="00A95E54" w:rsidRDefault="00885CC5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885CC5" w:rsidRPr="00A95E54" w:rsidRDefault="00885CC5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E54">
        <w:rPr>
          <w:rFonts w:ascii="Times New Roman" w:hAnsi="Times New Roman" w:cs="Times New Roman"/>
          <w:sz w:val="24"/>
          <w:szCs w:val="24"/>
        </w:rPr>
        <w:t xml:space="preserve">Статистика использования времени </w:t>
      </w:r>
      <w:r w:rsidR="00BF3ED1" w:rsidRPr="00A95E54">
        <w:rPr>
          <w:rFonts w:ascii="Times New Roman" w:hAnsi="Times New Roman" w:cs="Times New Roman"/>
          <w:sz w:val="24"/>
          <w:szCs w:val="24"/>
        </w:rPr>
        <w:t>использовалась</w:t>
      </w:r>
      <w:r w:rsidRPr="00A95E54">
        <w:rPr>
          <w:rFonts w:ascii="Times New Roman" w:hAnsi="Times New Roman" w:cs="Times New Roman"/>
          <w:sz w:val="24"/>
          <w:szCs w:val="24"/>
        </w:rPr>
        <w:t xml:space="preserve"> для: (а) оценки и анализа качества жизни или глобального благополучия; (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5E54">
        <w:rPr>
          <w:rFonts w:ascii="Times New Roman" w:hAnsi="Times New Roman" w:cs="Times New Roman"/>
          <w:sz w:val="24"/>
          <w:szCs w:val="24"/>
        </w:rPr>
        <w:t>) более глубокой оценке всех видов работ, включая неоплачиваемую и волонтерскую работу; (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5E54">
        <w:rPr>
          <w:rFonts w:ascii="Times New Roman" w:hAnsi="Times New Roman" w:cs="Times New Roman"/>
          <w:sz w:val="24"/>
          <w:szCs w:val="24"/>
        </w:rPr>
        <w:t xml:space="preserve">) улучшения ожиданий производства товаров и услуг с </w:t>
      </w:r>
      <w:r w:rsidR="00BF79CC" w:rsidRPr="00A95E54">
        <w:rPr>
          <w:rFonts w:ascii="Times New Roman" w:hAnsi="Times New Roman" w:cs="Times New Roman"/>
          <w:sz w:val="24"/>
          <w:szCs w:val="24"/>
        </w:rPr>
        <w:t xml:space="preserve">детальным уклоном на увеличение наглядности женской работы с </w:t>
      </w:r>
      <w:r w:rsidR="00BF3ED1" w:rsidRPr="00A95E54">
        <w:rPr>
          <w:rFonts w:ascii="Times New Roman" w:hAnsi="Times New Roman" w:cs="Times New Roman"/>
          <w:sz w:val="24"/>
          <w:szCs w:val="24"/>
        </w:rPr>
        <w:t>помощью</w:t>
      </w:r>
      <w:r w:rsidR="00BF79CC" w:rsidRPr="00A95E54">
        <w:rPr>
          <w:rFonts w:ascii="Times New Roman" w:hAnsi="Times New Roman" w:cs="Times New Roman"/>
          <w:sz w:val="24"/>
          <w:szCs w:val="24"/>
        </w:rPr>
        <w:t xml:space="preserve"> улучшенной статистики их вложений в экономику и развития дочерних направлений</w:t>
      </w:r>
      <w:proofErr w:type="gramEnd"/>
    </w:p>
    <w:p w:rsidR="00BF79CC" w:rsidRPr="00A95E54" w:rsidRDefault="00BF79CC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Интернациональная сравнимость статистики использования времени ограничена несколькими факторами, включая:</w:t>
      </w:r>
    </w:p>
    <w:p w:rsidR="00BF79CC" w:rsidRPr="00A95E54" w:rsidRDefault="00BF79CC" w:rsidP="00E824A3">
      <w:pPr>
        <w:pStyle w:val="a3"/>
        <w:numPr>
          <w:ilvl w:val="0"/>
          <w:numId w:val="2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Дневник в сравнении </w:t>
      </w:r>
      <w:proofErr w:type="gramStart"/>
      <w:r w:rsidRPr="00A95E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E54">
        <w:rPr>
          <w:rFonts w:ascii="Times New Roman" w:hAnsi="Times New Roman" w:cs="Times New Roman"/>
          <w:sz w:val="24"/>
          <w:szCs w:val="24"/>
        </w:rPr>
        <w:t xml:space="preserve"> стилизованным исследованием использования времени. Данные об использовании</w:t>
      </w:r>
      <w:r w:rsidR="003674DF" w:rsidRPr="00A95E54">
        <w:rPr>
          <w:rFonts w:ascii="Times New Roman" w:hAnsi="Times New Roman" w:cs="Times New Roman"/>
          <w:sz w:val="24"/>
          <w:szCs w:val="24"/>
        </w:rPr>
        <w:t xml:space="preserve"> времени могут быть собраны с помощью </w:t>
      </w:r>
      <w:r w:rsidR="00EE6070" w:rsidRPr="00A95E54">
        <w:rPr>
          <w:rFonts w:ascii="Times New Roman" w:hAnsi="Times New Roman" w:cs="Times New Roman"/>
          <w:sz w:val="24"/>
          <w:szCs w:val="24"/>
        </w:rPr>
        <w:t>24-часового дневника (</w:t>
      </w:r>
      <w:r w:rsidR="00EE6070" w:rsidRPr="00A95E54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EE6070" w:rsidRPr="00A95E54">
        <w:rPr>
          <w:rFonts w:ascii="Times New Roman" w:hAnsi="Times New Roman" w:cs="Times New Roman"/>
          <w:sz w:val="24"/>
          <w:szCs w:val="24"/>
        </w:rPr>
        <w:t xml:space="preserve"> </w:t>
      </w:r>
      <w:r w:rsidR="00EE6070" w:rsidRPr="00A95E54">
        <w:rPr>
          <w:rFonts w:ascii="Times New Roman" w:hAnsi="Times New Roman" w:cs="Times New Roman"/>
          <w:sz w:val="24"/>
          <w:szCs w:val="24"/>
          <w:lang w:val="en-US"/>
        </w:rPr>
        <w:t>diary</w:t>
      </w:r>
      <w:r w:rsidR="00EE6070" w:rsidRPr="00A95E54">
        <w:rPr>
          <w:rFonts w:ascii="Times New Roman" w:hAnsi="Times New Roman" w:cs="Times New Roman"/>
          <w:sz w:val="24"/>
          <w:szCs w:val="24"/>
        </w:rPr>
        <w:t xml:space="preserve">) или стилизованного опросного листа. В дневниках респондентам предлагается сообщать о том, какую деятельность они выполняли, когда начался их день, какую деятельность они выполняли далее, время начала и окончания этой деятельности, и так далее на протяжении 24 часов. Стилизованные </w:t>
      </w:r>
      <w:proofErr w:type="spellStart"/>
      <w:r w:rsidR="00EE6070" w:rsidRPr="00A95E54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="00EE6070" w:rsidRPr="00A95E54">
        <w:rPr>
          <w:rFonts w:ascii="Times New Roman" w:hAnsi="Times New Roman" w:cs="Times New Roman"/>
          <w:sz w:val="24"/>
          <w:szCs w:val="24"/>
        </w:rPr>
        <w:t xml:space="preserve"> об использовании времени предлагают респондентам вспомнить, какое количество времени они потратили на конкретную деятельность на протяжении определенного периода, например, дня или недели. Обычно стилизованные </w:t>
      </w:r>
      <w:proofErr w:type="spellStart"/>
      <w:r w:rsidR="009E7197" w:rsidRPr="00A95E54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="009E7197" w:rsidRPr="00A95E54">
        <w:rPr>
          <w:rFonts w:ascii="Times New Roman" w:hAnsi="Times New Roman" w:cs="Times New Roman"/>
          <w:sz w:val="24"/>
          <w:szCs w:val="24"/>
        </w:rPr>
        <w:t xml:space="preserve"> использования времени прилагаются как часть многоцелевого </w:t>
      </w:r>
      <w:r w:rsidR="009E7197" w:rsidRPr="00A95E54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 домохозяйств. Метод 24-х часового дневника предполагает лучшие результаты в сравнении </w:t>
      </w:r>
      <w:proofErr w:type="gramStart"/>
      <w:r w:rsidR="009E7197" w:rsidRPr="00A95E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7197" w:rsidRPr="00A95E54">
        <w:rPr>
          <w:rFonts w:ascii="Times New Roman" w:hAnsi="Times New Roman" w:cs="Times New Roman"/>
          <w:sz w:val="24"/>
          <w:szCs w:val="24"/>
        </w:rPr>
        <w:t xml:space="preserve"> стилизованным методом, однако, это более дорогой способ сбора данных. Данные, полученные с помощью этих двух способов обычно несопоставимы, и даже данные, собранные с помощью разных стилизованных опросов могут быть несопоставимы, учитывая, что уровень детализации опроса о произведенной деятельности могут отличаться на разных инструментах, что может влиять на общее время, потраченное на данную деятельность</w:t>
      </w:r>
    </w:p>
    <w:p w:rsidR="009E7197" w:rsidRPr="00A95E54" w:rsidRDefault="009E7197" w:rsidP="00E824A3">
      <w:pPr>
        <w:pStyle w:val="a3"/>
        <w:numPr>
          <w:ilvl w:val="0"/>
          <w:numId w:val="2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Классификация использования времени. </w:t>
      </w:r>
      <w:r w:rsidR="00D75836" w:rsidRPr="00A95E54">
        <w:rPr>
          <w:rFonts w:ascii="Times New Roman" w:hAnsi="Times New Roman" w:cs="Times New Roman"/>
          <w:sz w:val="24"/>
          <w:szCs w:val="24"/>
        </w:rPr>
        <w:t xml:space="preserve">Региональная и национальная классификация использования времени может отличаться от </w:t>
      </w:r>
      <w:r w:rsidR="00D75836" w:rsidRPr="00A95E54">
        <w:rPr>
          <w:rFonts w:ascii="Times New Roman" w:hAnsi="Times New Roman" w:cs="Times New Roman"/>
          <w:sz w:val="24"/>
          <w:szCs w:val="24"/>
          <w:lang w:val="en-US"/>
        </w:rPr>
        <w:t>ICATUS</w:t>
      </w:r>
      <w:r w:rsidR="00D75836" w:rsidRPr="00A95E54">
        <w:rPr>
          <w:rFonts w:ascii="Times New Roman" w:hAnsi="Times New Roman" w:cs="Times New Roman"/>
          <w:sz w:val="24"/>
          <w:szCs w:val="24"/>
        </w:rPr>
        <w:t xml:space="preserve"> 2016, в результате этого, данные могут быть </w:t>
      </w:r>
      <w:r w:rsidR="00BF3ED1" w:rsidRPr="00A95E54">
        <w:rPr>
          <w:rFonts w:ascii="Times New Roman" w:hAnsi="Times New Roman" w:cs="Times New Roman"/>
          <w:sz w:val="24"/>
          <w:szCs w:val="24"/>
        </w:rPr>
        <w:t>несопоставимы</w:t>
      </w:r>
      <w:r w:rsidR="00D75836" w:rsidRPr="00A95E54">
        <w:rPr>
          <w:rFonts w:ascii="Times New Roman" w:hAnsi="Times New Roman" w:cs="Times New Roman"/>
          <w:sz w:val="24"/>
          <w:szCs w:val="24"/>
        </w:rPr>
        <w:t xml:space="preserve"> с данными других стран</w:t>
      </w:r>
    </w:p>
    <w:p w:rsidR="00D75836" w:rsidRPr="00A95E54" w:rsidRDefault="00BF3ED1" w:rsidP="00E824A3">
      <w:pPr>
        <w:pStyle w:val="a3"/>
        <w:numPr>
          <w:ilvl w:val="0"/>
          <w:numId w:val="2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Данные</w:t>
      </w:r>
      <w:r w:rsidR="00D75836" w:rsidRPr="00A95E54">
        <w:rPr>
          <w:rFonts w:ascii="Times New Roman" w:hAnsi="Times New Roman" w:cs="Times New Roman"/>
          <w:sz w:val="24"/>
          <w:szCs w:val="24"/>
        </w:rPr>
        <w:t xml:space="preserve"> об использовании времени представляют отсылку только к «главной деятельности». Любая «вторичная деятельность», выполняемая одновременно с главной активностью, не отражается в указанном среднем времени. Например, женщина может одновременно готовить и присматривать за ребенком. Для стран, которые установили готовку главной деятельностью, время, потраченное на присмотр за ребенком, не засчитывается и не влияет на статистику. Это может повлиять на интернациональную сопоставимость данных о потраченном времени на уход за ребенком; также это может привести </w:t>
      </w:r>
      <w:proofErr w:type="gramStart"/>
      <w:r w:rsidR="00D75836" w:rsidRPr="00A95E54">
        <w:rPr>
          <w:rFonts w:ascii="Times New Roman" w:hAnsi="Times New Roman" w:cs="Times New Roman"/>
          <w:sz w:val="24"/>
          <w:szCs w:val="24"/>
        </w:rPr>
        <w:t>к недооцениваю</w:t>
      </w:r>
      <w:proofErr w:type="gramEnd"/>
      <w:r w:rsidR="00D75836" w:rsidRPr="00A95E54">
        <w:rPr>
          <w:rFonts w:ascii="Times New Roman" w:hAnsi="Times New Roman" w:cs="Times New Roman"/>
          <w:sz w:val="24"/>
          <w:szCs w:val="24"/>
        </w:rPr>
        <w:t xml:space="preserve"> времени, которое женщины тратят на эту деятельность</w:t>
      </w:r>
    </w:p>
    <w:p w:rsidR="00D75836" w:rsidRPr="00A95E54" w:rsidRDefault="00D75836" w:rsidP="00E824A3">
      <w:pPr>
        <w:pStyle w:val="a3"/>
        <w:numPr>
          <w:ilvl w:val="0"/>
          <w:numId w:val="2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Разный возраст целевой аудитории, устанавливаемый странами, а также разные используемые возрастные группы могут таким же образом привести к сложностям в сравнении данных между странами</w:t>
      </w:r>
    </w:p>
    <w:p w:rsidR="00D75836" w:rsidRPr="003A023B" w:rsidRDefault="00D7583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3B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C1BB6" w:rsidRPr="00A95E54" w:rsidRDefault="00BF3ED1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Метод расчёта</w:t>
      </w:r>
    </w:p>
    <w:p w:rsidR="004C1BB6" w:rsidRPr="00A95E54" w:rsidRDefault="004C1BB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E54">
        <w:rPr>
          <w:rFonts w:ascii="Times New Roman" w:hAnsi="Times New Roman" w:cs="Times New Roman"/>
          <w:sz w:val="24"/>
          <w:szCs w:val="24"/>
        </w:rPr>
        <w:t>Данные, представляемые для этого показателя выражены</w:t>
      </w:r>
      <w:proofErr w:type="gramEnd"/>
      <w:r w:rsidRPr="00A95E54">
        <w:rPr>
          <w:rFonts w:ascii="Times New Roman" w:hAnsi="Times New Roman" w:cs="Times New Roman"/>
          <w:sz w:val="24"/>
          <w:szCs w:val="24"/>
        </w:rPr>
        <w:t xml:space="preserve"> в виде пропорции времени и дня. Недельные данные являются усредненными показателями за семь дней недели для получения среднего дневного времени</w:t>
      </w:r>
    </w:p>
    <w:p w:rsidR="004C1BB6" w:rsidRPr="00A95E54" w:rsidRDefault="004C1BB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Соотношение времени, потраченного на неоплачиваемую работу по дому и уходу, рассчитывается с помощью деления среднего дневного количества часов, потраченного на неоплачиваемую работу по дому и уходу, на 24 часа</w:t>
      </w:r>
    </w:p>
    <w:p w:rsidR="004C1BB6" w:rsidRPr="000C5A88" w:rsidRDefault="004C1BB6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Среднее количество часов, потраченного на неоплачиваемую работу по дому и уходу, получается</w:t>
      </w:r>
      <w:r w:rsidR="000843BF" w:rsidRPr="00A95E54">
        <w:rPr>
          <w:rFonts w:ascii="Times New Roman" w:hAnsi="Times New Roman" w:cs="Times New Roman"/>
          <w:sz w:val="24"/>
          <w:szCs w:val="24"/>
        </w:rPr>
        <w:t xml:space="preserve"> из статистики использования времени, которая собрана с помощью самостоятельного исследования использования времени или модуля использования времени в системе многоцелевого исследования домашних хозяйств. Данные об использовании времени могут быть суммированы и представлены как (1) среднее время, потраченное на данную деятельность только участниками, так и (2) среднее время, потраченное всеми людьми определенного возраста (общее целевое население). В прошлом</w:t>
      </w:r>
      <w:r w:rsidR="00907D59" w:rsidRPr="00A95E54">
        <w:rPr>
          <w:rFonts w:ascii="Times New Roman" w:hAnsi="Times New Roman" w:cs="Times New Roman"/>
          <w:sz w:val="24"/>
          <w:szCs w:val="24"/>
        </w:rPr>
        <w:t xml:space="preserve"> типе средних значений общее время, потраченное лицами, которые выполняли деятельность, делится на количество лиц, которые ее выполняли (участников). В более позднем типе средних значений, общее время делится на об</w:t>
      </w:r>
      <w:r w:rsidR="00561E19" w:rsidRPr="00A95E54">
        <w:rPr>
          <w:rFonts w:ascii="Times New Roman" w:hAnsi="Times New Roman" w:cs="Times New Roman"/>
          <w:sz w:val="24"/>
          <w:szCs w:val="24"/>
        </w:rPr>
        <w:t>щую аудиторию (или подгруппу), независимо от того, выполняли ли эти люди деятельность или нет</w:t>
      </w:r>
    </w:p>
    <w:p w:rsidR="00E824A3" w:rsidRPr="00E824A3" w:rsidRDefault="00E824A3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 w:rsidRPr="00E824A3">
        <w:rPr>
          <w:rFonts w:ascii="Times New Roman" w:hAnsi="Times New Roman" w:cs="Times New Roman"/>
          <w:i/>
          <w:sz w:val="24"/>
          <w:szCs w:val="24"/>
        </w:rPr>
        <w:t xml:space="preserve">5.4.1 рассчитывается на основе среднего количества часов, потраченных на неоплачиваемую внутреннюю и неоплачиваемую работу по уходу за всем соответствующим населением. Этот тип мер может использоваться для сравнения групп и оценки изменений с течением времени. Различия между группами или временем могут быть связаны с различием </w:t>
      </w:r>
      <w:r w:rsidRPr="00E824A3">
        <w:rPr>
          <w:rFonts w:ascii="Times New Roman" w:hAnsi="Times New Roman" w:cs="Times New Roman"/>
          <w:i/>
          <w:sz w:val="24"/>
          <w:szCs w:val="24"/>
        </w:rPr>
        <w:lastRenderedPageBreak/>
        <w:t>(или изменением) доли тех, кто участвует в конкретном действии, или различием (или изменением) в количестве времени, затрачиваемом участниками, или обоих.</w:t>
      </w:r>
    </w:p>
    <w:p w:rsidR="00A55D19" w:rsidRPr="00A95E54" w:rsidRDefault="00BF3ED1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E54">
        <w:rPr>
          <w:rFonts w:ascii="Times New Roman" w:hAnsi="Times New Roman" w:cs="Times New Roman"/>
          <w:b/>
          <w:sz w:val="24"/>
          <w:szCs w:val="24"/>
        </w:rPr>
        <w:t>Дезегрегация</w:t>
      </w:r>
      <w:proofErr w:type="spellEnd"/>
    </w:p>
    <w:p w:rsidR="00A55D19" w:rsidRPr="00A95E54" w:rsidRDefault="00A55D19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Доступные данные на текущий момент разделены только по полу</w:t>
      </w:r>
    </w:p>
    <w:p w:rsidR="00A55D19" w:rsidRPr="00A95E54" w:rsidRDefault="00A55D19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Обработка отсутствующих</w:t>
      </w:r>
      <w:r w:rsidR="00BF3ED1" w:rsidRPr="00A95E54">
        <w:rPr>
          <w:rFonts w:ascii="Times New Roman" w:hAnsi="Times New Roman" w:cs="Times New Roman"/>
          <w:b/>
          <w:sz w:val="24"/>
          <w:szCs w:val="24"/>
        </w:rPr>
        <w:t xml:space="preserve"> значений</w:t>
      </w:r>
    </w:p>
    <w:p w:rsidR="00A55D19" w:rsidRPr="00E824A3" w:rsidRDefault="00A55D19" w:rsidP="00E824A3">
      <w:pPr>
        <w:pStyle w:val="a3"/>
        <w:numPr>
          <w:ilvl w:val="0"/>
          <w:numId w:val="5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4A3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A55D19" w:rsidRPr="00A95E54" w:rsidRDefault="00420D3B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Статистический отдел ООН</w:t>
      </w:r>
      <w:r w:rsidR="00A55D19" w:rsidRPr="00A95E54">
        <w:rPr>
          <w:rFonts w:ascii="Times New Roman" w:hAnsi="Times New Roman" w:cs="Times New Roman"/>
          <w:sz w:val="24"/>
          <w:szCs w:val="24"/>
        </w:rPr>
        <w:t xml:space="preserve"> в данный момент не производит оценки отсутствующих значений</w:t>
      </w:r>
    </w:p>
    <w:p w:rsidR="00A55D19" w:rsidRPr="00E824A3" w:rsidRDefault="00A55D19" w:rsidP="00E824A3">
      <w:pPr>
        <w:pStyle w:val="a3"/>
        <w:numPr>
          <w:ilvl w:val="0"/>
          <w:numId w:val="5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4A3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A55D19" w:rsidRPr="00A95E54" w:rsidRDefault="00A55D19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Вменение не производится</w:t>
      </w:r>
    </w:p>
    <w:p w:rsidR="00A55D19" w:rsidRPr="00A95E54" w:rsidRDefault="00A55D19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</w:p>
    <w:p w:rsidR="00A55D19" w:rsidRPr="00A95E54" w:rsidRDefault="00A55D19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BF3ED1" w:rsidRPr="00A95E54">
        <w:rPr>
          <w:rFonts w:ascii="Times New Roman" w:hAnsi="Times New Roman" w:cs="Times New Roman"/>
          <w:sz w:val="24"/>
          <w:szCs w:val="24"/>
        </w:rPr>
        <w:t>стран, проводящих</w:t>
      </w:r>
      <w:r w:rsidR="00CD7E7B" w:rsidRPr="00A95E54">
        <w:rPr>
          <w:rFonts w:ascii="Times New Roman" w:hAnsi="Times New Roman" w:cs="Times New Roman"/>
          <w:sz w:val="24"/>
          <w:szCs w:val="24"/>
        </w:rPr>
        <w:t xml:space="preserve"> такие исследования, является недоста</w:t>
      </w:r>
      <w:r w:rsidR="0023216F" w:rsidRPr="00A95E54">
        <w:rPr>
          <w:rFonts w:ascii="Times New Roman" w:hAnsi="Times New Roman" w:cs="Times New Roman"/>
          <w:sz w:val="24"/>
          <w:szCs w:val="24"/>
        </w:rPr>
        <w:t>точным для того, чтобы можно было бы вычислить региональные показатели. Кроме того, ограниченная сопоставимость данных разных стран препятствует вычислению региональных показателей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Не используются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Методы и правила, доступные странам для сбора данных на национальном уровне</w:t>
      </w:r>
    </w:p>
    <w:p w:rsidR="00F074FE" w:rsidRDefault="00BF3ED1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Международная классификация видов деятельности для статистики использования времени</w:t>
      </w:r>
      <w:r w:rsidR="0023216F"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2016:</w:t>
      </w:r>
    </w:p>
    <w:p w:rsidR="00F074FE" w:rsidRDefault="000C1B3E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unstats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unsd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demographic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time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icatus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-2016/</w:t>
        </w:r>
      </w:hyperlink>
    </w:p>
    <w:p w:rsidR="00F074FE" w:rsidRDefault="00BF3ED1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Руководство по составлению статистики использования времени: измерение оплачиваемой и неоплачиваемой работы</w:t>
      </w:r>
      <w:r w:rsidR="0023216F"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:</w:t>
      </w:r>
    </w:p>
    <w:p w:rsidR="00F074FE" w:rsidRDefault="000C1B3E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unstats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unsd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SeriesF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SeriesF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_93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F074FE" w:rsidRDefault="00BF3ED1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Система национальных счетов</w:t>
      </w:r>
      <w:r w:rsidR="0023216F"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2008 (</w:t>
      </w:r>
      <w:r w:rsidR="0023216F"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SNA</w:t>
      </w:r>
      <w:r w:rsidR="0023216F"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2008):</w:t>
      </w:r>
    </w:p>
    <w:p w:rsidR="00F074FE" w:rsidRDefault="000C1B3E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unstats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unsd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nationalaccount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sna</w:t>
        </w:r>
        <w:proofErr w:type="spellEnd"/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</w:rPr>
          <w:t>2008.</w:t>
        </w:r>
        <w:r w:rsidR="00F074FE" w:rsidRPr="00C44F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</w:p>
    <w:p w:rsidR="00F074FE" w:rsidRDefault="00BF3ED1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E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Резолюция, касающаяся статистики работы, трудоустройства и неполного использования трудовых ресурсов</w:t>
      </w:r>
    </w:p>
    <w:p w:rsidR="0023216F" w:rsidRPr="00F074FE" w:rsidRDefault="000C1B3E" w:rsidP="00E824A3">
      <w:pPr>
        <w:tabs>
          <w:tab w:val="left" w:pos="3900"/>
        </w:tabs>
        <w:spacing w:line="276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ilo</w:t>
        </w:r>
        <w:proofErr w:type="spellEnd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global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statistics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databases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standards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guidelines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resolutions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adoptedby</w:t>
        </w:r>
        <w:proofErr w:type="spellEnd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international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conferences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labour</w:t>
        </w:r>
        <w:proofErr w:type="spellEnd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statisticians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WCMS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_230304/</w:t>
        </w:r>
        <w:proofErr w:type="spellStart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lang</w:t>
        </w:r>
        <w:proofErr w:type="spellEnd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--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index</w:t>
        </w:r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3216F" w:rsidRPr="00A95E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  <w:proofErr w:type="spellEnd"/>
      </w:hyperlink>
      <w:r w:rsidR="00F074F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Гарантии качества</w:t>
      </w:r>
    </w:p>
    <w:p w:rsidR="0023216F" w:rsidRPr="00A95E54" w:rsidRDefault="00420D3B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Статистический отдел ООН</w:t>
      </w:r>
      <w:r w:rsidR="0023216F" w:rsidRPr="00A95E54">
        <w:rPr>
          <w:rFonts w:ascii="Times New Roman" w:hAnsi="Times New Roman" w:cs="Times New Roman"/>
          <w:sz w:val="24"/>
          <w:szCs w:val="24"/>
        </w:rPr>
        <w:t xml:space="preserve"> подробно изучает методологии проведения исследований для того, чтобы собирать данные об использовании времени и классификации деятельности странами, для оценки уровня сопоставимости данных между разными странами и в разное время в пределах одной страны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Процесс консультации/</w:t>
      </w:r>
      <w:proofErr w:type="spellStart"/>
      <w:r w:rsidRPr="00A95E54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A95E54">
        <w:rPr>
          <w:rFonts w:ascii="Times New Roman" w:hAnsi="Times New Roman" w:cs="Times New Roman"/>
          <w:b/>
          <w:sz w:val="24"/>
          <w:szCs w:val="24"/>
        </w:rPr>
        <w:t xml:space="preserve"> со странами для корректировок и оценок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данных предоставляются национальными статистическими агентствами или извлекаются из национальных баз данных и публикаций. </w:t>
      </w:r>
      <w:r w:rsidR="00420D3B" w:rsidRPr="00A95E54">
        <w:rPr>
          <w:rFonts w:ascii="Times New Roman" w:hAnsi="Times New Roman" w:cs="Times New Roman"/>
          <w:sz w:val="24"/>
          <w:szCs w:val="24"/>
        </w:rPr>
        <w:t>Статистический отдел ООН</w:t>
      </w:r>
      <w:r w:rsidRPr="00A95E54">
        <w:rPr>
          <w:rFonts w:ascii="Times New Roman" w:hAnsi="Times New Roman" w:cs="Times New Roman"/>
          <w:sz w:val="24"/>
          <w:szCs w:val="24"/>
        </w:rPr>
        <w:t xml:space="preserve"> сотрудничает со странами в случаях, если возможны несоответствия или ошибки в данных</w:t>
      </w:r>
    </w:p>
    <w:p w:rsidR="0023216F" w:rsidRPr="00F074FE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FE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23216F" w:rsidRPr="00A95E54" w:rsidRDefault="0023216F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23216F" w:rsidRPr="00A95E54" w:rsidRDefault="001F6548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Большинство данных об использовании времени собраны с помощью специализированных исследований использования времени или модулей использования времени в системах многоцелевого исследования домашних хозяйств, проводимых на национальном уровне</w:t>
      </w:r>
    </w:p>
    <w:p w:rsidR="001F6548" w:rsidRPr="00A95E54" w:rsidRDefault="001F6548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Данные об использовании времени могут быть собраны с помощью 24-часового дневника (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A95E54">
        <w:rPr>
          <w:rFonts w:ascii="Times New Roman" w:hAnsi="Times New Roman" w:cs="Times New Roman"/>
          <w:sz w:val="24"/>
          <w:szCs w:val="24"/>
        </w:rPr>
        <w:t xml:space="preserve"> 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diary</w:t>
      </w:r>
      <w:r w:rsidRPr="00A95E54">
        <w:rPr>
          <w:rFonts w:ascii="Times New Roman" w:hAnsi="Times New Roman" w:cs="Times New Roman"/>
          <w:sz w:val="24"/>
          <w:szCs w:val="24"/>
        </w:rPr>
        <w:t xml:space="preserve">) или стилизованного опросного листа. В дневниках респондентам предлагается сообщать о том, какую деятельность они выполняли, когда начался их день, какую деятельность они выполняли далее, время начала и окончания этой деятельности, и так далее на протяжении 24 часов. Стилизованные </w:t>
      </w:r>
      <w:proofErr w:type="spellStart"/>
      <w:r w:rsidRPr="00A95E54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A95E54">
        <w:rPr>
          <w:rFonts w:ascii="Times New Roman" w:hAnsi="Times New Roman" w:cs="Times New Roman"/>
          <w:sz w:val="24"/>
          <w:szCs w:val="24"/>
        </w:rPr>
        <w:t xml:space="preserve"> об использовании времени предлагают респондентам вспомнить, какое количество времени они потратили на конкретную деятельность на протяжении определенного периода, например, дня или недели. Обычно стилизованные </w:t>
      </w:r>
      <w:proofErr w:type="spellStart"/>
      <w:r w:rsidRPr="00A95E54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A95E54">
        <w:rPr>
          <w:rFonts w:ascii="Times New Roman" w:hAnsi="Times New Roman" w:cs="Times New Roman"/>
          <w:sz w:val="24"/>
          <w:szCs w:val="24"/>
        </w:rPr>
        <w:t xml:space="preserve"> использования времени прилагаются как часть многоцелевого исследования домохозяйств. Метод 24-х часового дневника предполагает лучшие результаты в сравнении </w:t>
      </w:r>
      <w:proofErr w:type="gramStart"/>
      <w:r w:rsidRPr="00A95E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E54">
        <w:rPr>
          <w:rFonts w:ascii="Times New Roman" w:hAnsi="Times New Roman" w:cs="Times New Roman"/>
          <w:sz w:val="24"/>
          <w:szCs w:val="24"/>
        </w:rPr>
        <w:t xml:space="preserve"> стилизованным методом, однако, это более дорогой способ сбора данных.</w:t>
      </w:r>
    </w:p>
    <w:p w:rsidR="001F6548" w:rsidRPr="00A95E54" w:rsidRDefault="001F6548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Процесс сбора</w:t>
      </w:r>
    </w:p>
    <w:p w:rsidR="001F6548" w:rsidRPr="00A95E54" w:rsidRDefault="001F6548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На уровне стран официальными партнерами являются национальные статистические </w:t>
      </w:r>
      <w:r w:rsidR="00BF3ED1" w:rsidRPr="00A95E54">
        <w:rPr>
          <w:rFonts w:ascii="Times New Roman" w:hAnsi="Times New Roman" w:cs="Times New Roman"/>
          <w:sz w:val="24"/>
          <w:szCs w:val="24"/>
        </w:rPr>
        <w:t>агентства</w:t>
      </w:r>
      <w:r w:rsidRPr="00A95E54">
        <w:rPr>
          <w:rFonts w:ascii="Times New Roman" w:hAnsi="Times New Roman" w:cs="Times New Roman"/>
          <w:sz w:val="24"/>
          <w:szCs w:val="24"/>
        </w:rPr>
        <w:t>. Данные собраны и подтверждены</w:t>
      </w:r>
      <w:r w:rsidR="00272351" w:rsidRPr="00A95E54">
        <w:rPr>
          <w:rFonts w:ascii="Times New Roman" w:hAnsi="Times New Roman" w:cs="Times New Roman"/>
          <w:sz w:val="24"/>
          <w:szCs w:val="24"/>
        </w:rPr>
        <w:t xml:space="preserve">. Если имеются несоответствия или ошибки в данных, </w:t>
      </w:r>
      <w:r w:rsidR="00420D3B" w:rsidRPr="00A95E54">
        <w:rPr>
          <w:rFonts w:ascii="Times New Roman" w:hAnsi="Times New Roman" w:cs="Times New Roman"/>
          <w:sz w:val="24"/>
          <w:szCs w:val="24"/>
        </w:rPr>
        <w:t>Статистический отдел ООН</w:t>
      </w:r>
      <w:r w:rsidR="00272351" w:rsidRPr="00A95E54">
        <w:rPr>
          <w:rFonts w:ascii="Times New Roman" w:hAnsi="Times New Roman" w:cs="Times New Roman"/>
          <w:sz w:val="24"/>
          <w:szCs w:val="24"/>
        </w:rPr>
        <w:t xml:space="preserve"> консультируется с координационным центром в национальном статистическом </w:t>
      </w:r>
      <w:r w:rsidR="00BF3ED1" w:rsidRPr="00A95E54">
        <w:rPr>
          <w:rFonts w:ascii="Times New Roman" w:hAnsi="Times New Roman" w:cs="Times New Roman"/>
          <w:sz w:val="24"/>
          <w:szCs w:val="24"/>
        </w:rPr>
        <w:t>агентстве</w:t>
      </w:r>
      <w:r w:rsidR="00272351" w:rsidRPr="00A95E54">
        <w:rPr>
          <w:rFonts w:ascii="Times New Roman" w:hAnsi="Times New Roman" w:cs="Times New Roman"/>
          <w:sz w:val="24"/>
          <w:szCs w:val="24"/>
        </w:rPr>
        <w:t xml:space="preserve">. Данные для </w:t>
      </w:r>
      <w:r w:rsidR="00272351" w:rsidRPr="00A95E54">
        <w:rPr>
          <w:rFonts w:ascii="Times New Roman" w:hAnsi="Times New Roman" w:cs="Times New Roman"/>
          <w:sz w:val="24"/>
          <w:szCs w:val="24"/>
          <w:lang w:val="en-US"/>
        </w:rPr>
        <w:t>SDG</w:t>
      </w:r>
      <w:r w:rsidR="00272351" w:rsidRPr="00A95E54">
        <w:rPr>
          <w:rFonts w:ascii="Times New Roman" w:hAnsi="Times New Roman" w:cs="Times New Roman"/>
          <w:sz w:val="24"/>
          <w:szCs w:val="24"/>
        </w:rPr>
        <w:t xml:space="preserve"> 5.4.1</w:t>
      </w:r>
      <w:r w:rsidR="00E83397" w:rsidRPr="00A95E54">
        <w:rPr>
          <w:rFonts w:ascii="Times New Roman" w:hAnsi="Times New Roman" w:cs="Times New Roman"/>
          <w:sz w:val="24"/>
          <w:szCs w:val="24"/>
        </w:rPr>
        <w:t xml:space="preserve"> в максимально возможной степени соответствуют актуальным международным стандартам, или описаны максимально подробно. Международные стандарты включают</w:t>
      </w:r>
    </w:p>
    <w:p w:rsidR="00D55DE2" w:rsidRPr="00A95E54" w:rsidRDefault="00D55DE2" w:rsidP="00E824A3">
      <w:pPr>
        <w:pStyle w:val="a3"/>
        <w:numPr>
          <w:ilvl w:val="0"/>
          <w:numId w:val="3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5901901"/>
      <w:r w:rsidRPr="00A95E54">
        <w:rPr>
          <w:rFonts w:ascii="Times New Roman" w:hAnsi="Times New Roman" w:cs="Times New Roman"/>
          <w:sz w:val="24"/>
          <w:szCs w:val="24"/>
        </w:rPr>
        <w:t>Руководство по составлению статистики использования времени: измерение оплачиваемой и неоплачиваемой работы</w:t>
      </w:r>
    </w:p>
    <w:bookmarkEnd w:id="0"/>
    <w:p w:rsidR="00D55DE2" w:rsidRPr="00A95E54" w:rsidRDefault="00D55DE2" w:rsidP="00E824A3">
      <w:pPr>
        <w:pStyle w:val="a3"/>
        <w:numPr>
          <w:ilvl w:val="0"/>
          <w:numId w:val="3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Международная классификация видов деятельности для статистики использования времени 2016 (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ICATUS</w:t>
      </w:r>
      <w:r w:rsidRPr="00A95E54">
        <w:rPr>
          <w:rFonts w:ascii="Times New Roman" w:hAnsi="Times New Roman" w:cs="Times New Roman"/>
          <w:sz w:val="24"/>
          <w:szCs w:val="24"/>
        </w:rPr>
        <w:t xml:space="preserve"> 2016)</w:t>
      </w:r>
    </w:p>
    <w:p w:rsidR="00D55DE2" w:rsidRPr="00A95E54" w:rsidRDefault="00D55DE2" w:rsidP="00E824A3">
      <w:pPr>
        <w:pStyle w:val="a3"/>
        <w:numPr>
          <w:ilvl w:val="0"/>
          <w:numId w:val="3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Система национальных счетов 2008 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(SNA 2008)</w:t>
      </w:r>
    </w:p>
    <w:p w:rsidR="00D55DE2" w:rsidRPr="00A95E54" w:rsidRDefault="00D55DE2" w:rsidP="00E824A3">
      <w:pPr>
        <w:pStyle w:val="a3"/>
        <w:numPr>
          <w:ilvl w:val="0"/>
          <w:numId w:val="3"/>
        </w:num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5901938"/>
      <w:r w:rsidRPr="00A95E54">
        <w:rPr>
          <w:rFonts w:ascii="Times New Roman" w:hAnsi="Times New Roman" w:cs="Times New Roman"/>
          <w:sz w:val="24"/>
          <w:szCs w:val="24"/>
        </w:rPr>
        <w:t>Резолюция, касающаяся статистики работы, трудоустройства и неполного использования трудовых ресурсов</w:t>
      </w:r>
    </w:p>
    <w:bookmarkEnd w:id="1"/>
    <w:p w:rsidR="00D55DE2" w:rsidRPr="003A023B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3B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83 стран с данными за период с 2000 по 2016 год</w:t>
      </w:r>
    </w:p>
    <w:p w:rsidR="00D55DE2" w:rsidRPr="003A023B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3B">
        <w:rPr>
          <w:rFonts w:ascii="Times New Roman" w:hAnsi="Times New Roman" w:cs="Times New Roman"/>
          <w:i/>
          <w:sz w:val="24"/>
          <w:szCs w:val="24"/>
        </w:rPr>
        <w:t>По годам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2000-2004: 42 страны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2005-2009: 40 стран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lastRenderedPageBreak/>
        <w:t>С 2010 года – 51 страна</w:t>
      </w:r>
    </w:p>
    <w:p w:rsidR="00D55DE2" w:rsidRPr="003A023B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3B">
        <w:rPr>
          <w:rFonts w:ascii="Times New Roman" w:hAnsi="Times New Roman" w:cs="Times New Roman"/>
          <w:i/>
          <w:sz w:val="24"/>
          <w:szCs w:val="24"/>
        </w:rPr>
        <w:t>По регионам (2000-2016)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Африка: 13 стран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Сев</w:t>
      </w:r>
      <w:r w:rsidR="00BF3ED1" w:rsidRPr="00A95E54">
        <w:rPr>
          <w:rFonts w:ascii="Times New Roman" w:hAnsi="Times New Roman" w:cs="Times New Roman"/>
          <w:sz w:val="24"/>
          <w:szCs w:val="24"/>
        </w:rPr>
        <w:t>,</w:t>
      </w:r>
      <w:r w:rsidRPr="00A95E54">
        <w:rPr>
          <w:rFonts w:ascii="Times New Roman" w:hAnsi="Times New Roman" w:cs="Times New Roman"/>
          <w:sz w:val="24"/>
          <w:szCs w:val="24"/>
        </w:rPr>
        <w:t xml:space="preserve"> и </w:t>
      </w:r>
      <w:r w:rsidR="00BF3ED1" w:rsidRPr="00A95E54">
        <w:rPr>
          <w:rFonts w:ascii="Times New Roman" w:hAnsi="Times New Roman" w:cs="Times New Roman"/>
          <w:sz w:val="24"/>
          <w:szCs w:val="24"/>
        </w:rPr>
        <w:t>Ю. Америка</w:t>
      </w:r>
      <w:r w:rsidRPr="00A95E54">
        <w:rPr>
          <w:rFonts w:ascii="Times New Roman" w:hAnsi="Times New Roman" w:cs="Times New Roman"/>
          <w:sz w:val="24"/>
          <w:szCs w:val="24"/>
        </w:rPr>
        <w:t>: 17 стран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Азия: 21 страна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Европа: 30 стран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Океания: 2 страны</w:t>
      </w:r>
    </w:p>
    <w:p w:rsidR="00D55DE2" w:rsidRPr="00A95E54" w:rsidRDefault="00BF3ED1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Временные ряды</w:t>
      </w:r>
    </w:p>
    <w:p w:rsidR="00D55DE2" w:rsidRPr="00A95E54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 2000 по 2016</w:t>
      </w:r>
    </w:p>
    <w:p w:rsidR="008A079A" w:rsidRPr="003A023B" w:rsidRDefault="00D55DE2" w:rsidP="00E824A3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3B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8A079A" w:rsidRPr="00A95E54" w:rsidRDefault="008A079A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:rsidR="008A079A" w:rsidRPr="00A95E54" w:rsidRDefault="008A079A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Как только национальные данные об использовании времени становятся доступными, они сразу добавляются в базу данных </w:t>
      </w:r>
      <w:r w:rsidR="00420D3B" w:rsidRPr="00A95E54">
        <w:rPr>
          <w:rFonts w:ascii="Times New Roman" w:hAnsi="Times New Roman" w:cs="Times New Roman"/>
          <w:sz w:val="24"/>
          <w:szCs w:val="24"/>
        </w:rPr>
        <w:t>Статистического отдела ООН</w:t>
      </w:r>
    </w:p>
    <w:p w:rsidR="006B5559" w:rsidRPr="00A95E54" w:rsidRDefault="00BF3ED1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54">
        <w:rPr>
          <w:rFonts w:ascii="Times New Roman" w:hAnsi="Times New Roman" w:cs="Times New Roman"/>
          <w:b/>
          <w:sz w:val="24"/>
          <w:szCs w:val="24"/>
        </w:rPr>
        <w:t>Выпуск</w:t>
      </w:r>
      <w:r w:rsidR="006B5559" w:rsidRPr="00A95E54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6B5559" w:rsidRPr="00A95E54" w:rsidRDefault="006B5559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Апрель/Май 2018</w:t>
      </w:r>
    </w:p>
    <w:p w:rsidR="006B5559" w:rsidRPr="003A023B" w:rsidRDefault="006B5559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3B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  <w:bookmarkStart w:id="2" w:name="_GoBack"/>
      <w:bookmarkEnd w:id="2"/>
    </w:p>
    <w:p w:rsidR="006B5559" w:rsidRPr="00A95E54" w:rsidRDefault="006B5559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</w:t>
      </w:r>
      <w:r w:rsidR="00BF3ED1" w:rsidRPr="00A95E54">
        <w:rPr>
          <w:rFonts w:ascii="Times New Roman" w:hAnsi="Times New Roman" w:cs="Times New Roman"/>
          <w:sz w:val="24"/>
          <w:szCs w:val="24"/>
        </w:rPr>
        <w:t>агентства</w:t>
      </w:r>
    </w:p>
    <w:p w:rsidR="006B5559" w:rsidRPr="003A023B" w:rsidRDefault="00BF3ED1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3B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BF3ED1" w:rsidRPr="00A95E54" w:rsidRDefault="006B5559" w:rsidP="00E824A3">
      <w:pPr>
        <w:tabs>
          <w:tab w:val="left" w:pos="25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54">
        <w:rPr>
          <w:rFonts w:ascii="Times New Roman" w:hAnsi="Times New Roman" w:cs="Times New Roman"/>
          <w:sz w:val="24"/>
          <w:szCs w:val="24"/>
        </w:rPr>
        <w:t>Статистически</w:t>
      </w:r>
      <w:r w:rsidR="00BF3ED1" w:rsidRPr="00A95E54">
        <w:rPr>
          <w:rFonts w:ascii="Times New Roman" w:hAnsi="Times New Roman" w:cs="Times New Roman"/>
          <w:sz w:val="24"/>
          <w:szCs w:val="24"/>
        </w:rPr>
        <w:t>й</w:t>
      </w:r>
      <w:r w:rsidRPr="00A95E54">
        <w:rPr>
          <w:rFonts w:ascii="Times New Roman" w:hAnsi="Times New Roman" w:cs="Times New Roman"/>
          <w:sz w:val="24"/>
          <w:szCs w:val="24"/>
        </w:rPr>
        <w:t xml:space="preserve"> отдел Соединённых Штатов</w:t>
      </w:r>
    </w:p>
    <w:p w:rsidR="00BF3ED1" w:rsidRPr="003A023B" w:rsidRDefault="00BF3ED1" w:rsidP="00F074FE">
      <w:pPr>
        <w:tabs>
          <w:tab w:val="left" w:pos="2579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023B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BF3ED1" w:rsidRPr="00A95E54" w:rsidRDefault="00BF3ED1" w:rsidP="00F074FE">
      <w:pPr>
        <w:tabs>
          <w:tab w:val="left" w:pos="2579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5E54">
        <w:rPr>
          <w:rFonts w:ascii="Times New Roman" w:hAnsi="Times New Roman" w:cs="Times New Roman"/>
          <w:b/>
          <w:bCs/>
          <w:sz w:val="24"/>
          <w:szCs w:val="24"/>
          <w:lang w:val="en-US"/>
        </w:rPr>
        <w:t>URL:</w:t>
      </w:r>
      <w:r w:rsidRPr="00A95E54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http://unstats.un.org/unsd/gender/default.html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  <w:t>Last updated: 27 December 2017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</w:r>
      <w:r w:rsidR="00420D3B" w:rsidRPr="00A95E54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Pr="00A95E5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A95E54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t>▪ Guide to Producing Statistics on Time-Use: Measuring Paid and Unpaid Work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  <w:t>(https://unstats.un.org/unsd/publication/SeriesF/SeriesF_93E.pdf)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  <w:t>▪ International Classification of Activities for Time Use Statistics 2016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  <w:t>(https://unstats.un.org/unsd/demographic-social/time-use/icatus-2016/)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  <w:t>▪ Minimum Set of Gender Indicators (http://genderstats.un.org)</w:t>
      </w:r>
      <w:r w:rsidRPr="00A95E54">
        <w:rPr>
          <w:rFonts w:ascii="Times New Roman" w:hAnsi="Times New Roman" w:cs="Times New Roman"/>
          <w:sz w:val="24"/>
          <w:szCs w:val="24"/>
          <w:lang w:val="en-US"/>
        </w:rPr>
        <w:br/>
        <w:t>▪ Data and metadata portal for time use indicators (https://unstats.un.org/unsd/gender/timeuse/)</w:t>
      </w:r>
    </w:p>
    <w:sectPr w:rsidR="00BF3ED1" w:rsidRPr="00A95E54" w:rsidSect="000C5A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1361"/>
    <w:multiLevelType w:val="hybridMultilevel"/>
    <w:tmpl w:val="5B84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22A0C"/>
    <w:multiLevelType w:val="hybridMultilevel"/>
    <w:tmpl w:val="792851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04EA"/>
    <w:multiLevelType w:val="hybridMultilevel"/>
    <w:tmpl w:val="4390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C7862"/>
    <w:multiLevelType w:val="hybridMultilevel"/>
    <w:tmpl w:val="295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97E7E"/>
    <w:multiLevelType w:val="hybridMultilevel"/>
    <w:tmpl w:val="D3F6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F5D2F"/>
    <w:rsid w:val="000843BF"/>
    <w:rsid w:val="000C1B3E"/>
    <w:rsid w:val="000C5A88"/>
    <w:rsid w:val="0015016D"/>
    <w:rsid w:val="001F6548"/>
    <w:rsid w:val="0023216F"/>
    <w:rsid w:val="00272351"/>
    <w:rsid w:val="003674DF"/>
    <w:rsid w:val="003A023B"/>
    <w:rsid w:val="00420D3B"/>
    <w:rsid w:val="0047734D"/>
    <w:rsid w:val="004C1BB6"/>
    <w:rsid w:val="004E59C4"/>
    <w:rsid w:val="00561E19"/>
    <w:rsid w:val="00561FDA"/>
    <w:rsid w:val="00573109"/>
    <w:rsid w:val="005D2550"/>
    <w:rsid w:val="006B43D2"/>
    <w:rsid w:val="006B5559"/>
    <w:rsid w:val="006D49CC"/>
    <w:rsid w:val="00711037"/>
    <w:rsid w:val="00885CC5"/>
    <w:rsid w:val="0089524A"/>
    <w:rsid w:val="008A079A"/>
    <w:rsid w:val="008F5D2F"/>
    <w:rsid w:val="00907D59"/>
    <w:rsid w:val="0091441D"/>
    <w:rsid w:val="00965066"/>
    <w:rsid w:val="009E7197"/>
    <w:rsid w:val="00A55D19"/>
    <w:rsid w:val="00A95E54"/>
    <w:rsid w:val="00B37BD3"/>
    <w:rsid w:val="00B5461C"/>
    <w:rsid w:val="00BD2CE2"/>
    <w:rsid w:val="00BF3ED1"/>
    <w:rsid w:val="00BF79CC"/>
    <w:rsid w:val="00CD7E7B"/>
    <w:rsid w:val="00D55DE2"/>
    <w:rsid w:val="00D606BE"/>
    <w:rsid w:val="00D75836"/>
    <w:rsid w:val="00E824A3"/>
    <w:rsid w:val="00E83397"/>
    <w:rsid w:val="00EE6070"/>
    <w:rsid w:val="00F0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A"/>
    <w:pPr>
      <w:ind w:left="720"/>
      <w:contextualSpacing/>
    </w:pPr>
  </w:style>
  <w:style w:type="character" w:customStyle="1" w:styleId="fontstyle01">
    <w:name w:val="fontstyle01"/>
    <w:basedOn w:val="a0"/>
    <w:rsid w:val="0023216F"/>
    <w:rPr>
      <w:rFonts w:ascii="Calibri" w:hAnsi="Calibri" w:cs="Calibri" w:hint="default"/>
      <w:b w:val="0"/>
      <w:bCs w:val="0"/>
      <w:i w:val="0"/>
      <w:iCs w:val="0"/>
      <w:color w:val="4A4A4A"/>
      <w:sz w:val="22"/>
      <w:szCs w:val="22"/>
    </w:rPr>
  </w:style>
  <w:style w:type="character" w:styleId="a4">
    <w:name w:val="Hyperlink"/>
    <w:basedOn w:val="a0"/>
    <w:uiPriority w:val="99"/>
    <w:unhideWhenUsed/>
    <w:rsid w:val="002321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16F"/>
    <w:rPr>
      <w:color w:val="808080"/>
      <w:shd w:val="clear" w:color="auto" w:fill="E6E6E6"/>
    </w:rPr>
  </w:style>
  <w:style w:type="character" w:customStyle="1" w:styleId="fontstyle11">
    <w:name w:val="fontstyle11"/>
    <w:basedOn w:val="a0"/>
    <w:rsid w:val="00BF3ED1"/>
    <w:rPr>
      <w:rFonts w:ascii="Calibri-Bold" w:hAnsi="Calibri-Bold" w:hint="default"/>
      <w:b/>
      <w:bCs/>
      <w:i w:val="0"/>
      <w:iCs w:val="0"/>
      <w:color w:val="4A4A4A"/>
      <w:sz w:val="22"/>
      <w:szCs w:val="22"/>
    </w:rPr>
  </w:style>
  <w:style w:type="character" w:customStyle="1" w:styleId="fontstyle31">
    <w:name w:val="fontstyle31"/>
    <w:basedOn w:val="a0"/>
    <w:rsid w:val="00BF3ED1"/>
    <w:rPr>
      <w:rFonts w:ascii="Wingdings-Regular" w:hAnsi="Wingdings-Regular" w:hint="default"/>
      <w:b w:val="0"/>
      <w:bCs w:val="0"/>
      <w:i w:val="0"/>
      <w:iCs w:val="0"/>
      <w:color w:val="4A4A4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A"/>
    <w:pPr>
      <w:ind w:left="720"/>
      <w:contextualSpacing/>
    </w:pPr>
  </w:style>
  <w:style w:type="character" w:customStyle="1" w:styleId="fontstyle01">
    <w:name w:val="fontstyle01"/>
    <w:basedOn w:val="a0"/>
    <w:rsid w:val="0023216F"/>
    <w:rPr>
      <w:rFonts w:ascii="Calibri" w:hAnsi="Calibri" w:cs="Calibri" w:hint="default"/>
      <w:b w:val="0"/>
      <w:bCs w:val="0"/>
      <w:i w:val="0"/>
      <w:iCs w:val="0"/>
      <w:color w:val="4A4A4A"/>
      <w:sz w:val="22"/>
      <w:szCs w:val="22"/>
    </w:rPr>
  </w:style>
  <w:style w:type="character" w:styleId="a4">
    <w:name w:val="Hyperlink"/>
    <w:basedOn w:val="a0"/>
    <w:uiPriority w:val="99"/>
    <w:unhideWhenUsed/>
    <w:rsid w:val="002321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16F"/>
    <w:rPr>
      <w:color w:val="808080"/>
      <w:shd w:val="clear" w:color="auto" w:fill="E6E6E6"/>
    </w:rPr>
  </w:style>
  <w:style w:type="character" w:customStyle="1" w:styleId="fontstyle11">
    <w:name w:val="fontstyle11"/>
    <w:basedOn w:val="a0"/>
    <w:rsid w:val="00BF3ED1"/>
    <w:rPr>
      <w:rFonts w:ascii="Calibri-Bold" w:hAnsi="Calibri-Bold" w:hint="default"/>
      <w:b/>
      <w:bCs/>
      <w:i w:val="0"/>
      <w:iCs w:val="0"/>
      <w:color w:val="4A4A4A"/>
      <w:sz w:val="22"/>
      <w:szCs w:val="22"/>
    </w:rPr>
  </w:style>
  <w:style w:type="character" w:customStyle="1" w:styleId="fontstyle31">
    <w:name w:val="fontstyle31"/>
    <w:basedOn w:val="a0"/>
    <w:rsid w:val="00BF3ED1"/>
    <w:rPr>
      <w:rFonts w:ascii="Wingdings-Regular" w:hAnsi="Wingdings-Regular" w:hint="default"/>
      <w:b w:val="0"/>
      <w:bCs w:val="0"/>
      <w:i w:val="0"/>
      <w:iCs w:val="0"/>
      <w:color w:val="4A4A4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global/statistics-and-databases/standards-and-guidelines/resolutions-adoptedby-international-conferences-of-labour-statisticians/WCMS_230304/lang--en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tats.un.org/unsd/nationalaccount/sna2008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tats.un.org/unsd/publication/SeriesF/SeriesF_93E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nstats.un.org/unsd/demographic-social/time-use/icatus-20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sh.iskakova</cp:lastModifiedBy>
  <cp:revision>3</cp:revision>
  <cp:lastPrinted>2018-10-12T09:51:00Z</cp:lastPrinted>
  <dcterms:created xsi:type="dcterms:W3CDTF">2018-05-08T12:56:00Z</dcterms:created>
  <dcterms:modified xsi:type="dcterms:W3CDTF">2018-10-12T09:51:00Z</dcterms:modified>
</cp:coreProperties>
</file>