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107A08">
        <w:rPr>
          <w:rFonts w:eastAsia="Arial Unicode MS"/>
          <w:szCs w:val="24"/>
          <w:bdr w:val="nil"/>
          <w:lang w:eastAsia="ru-RU"/>
        </w:rPr>
        <w:t>6</w:t>
      </w:r>
      <w:r w:rsidR="00780F08" w:rsidRPr="00BD29EC">
        <w:rPr>
          <w:rFonts w:eastAsia="Arial Unicode MS"/>
          <w:szCs w:val="24"/>
          <w:bdr w:val="nil"/>
          <w:lang w:eastAsia="ru-RU"/>
        </w:rPr>
        <w:t xml:space="preserve">: </w:t>
      </w:r>
      <w:r w:rsidR="00107A08">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A4670">
      <w:pPr>
        <w:rPr>
          <w:szCs w:val="24"/>
        </w:rPr>
      </w:pPr>
      <w:r>
        <w:rPr>
          <w:szCs w:val="24"/>
        </w:rPr>
        <w:t>1</w:t>
      </w:r>
      <w:r w:rsidR="00107A08">
        <w:rPr>
          <w:szCs w:val="24"/>
        </w:rPr>
        <w:t>6</w:t>
      </w:r>
      <w:r w:rsidR="00780F08" w:rsidRPr="00BD29EC">
        <w:rPr>
          <w:szCs w:val="24"/>
        </w:rPr>
        <w:t>.</w:t>
      </w:r>
      <w:r w:rsidR="006D5488">
        <w:rPr>
          <w:szCs w:val="24"/>
        </w:rPr>
        <w:t>1</w:t>
      </w:r>
      <w:r w:rsidR="00780F08" w:rsidRPr="00BD29EC">
        <w:rPr>
          <w:szCs w:val="24"/>
        </w:rPr>
        <w:t xml:space="preserve">.  </w:t>
      </w:r>
      <w:r w:rsidR="007A4670">
        <w:t>Значительно сократить распространенность всех форм насилия и уменьшить показатели смертности от этого явления во всем мире.</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szCs w:val="24"/>
        </w:rPr>
      </w:pPr>
      <w:r w:rsidRPr="00BD29EC">
        <w:rPr>
          <w:szCs w:val="24"/>
        </w:rPr>
        <w:t xml:space="preserve">Показатель </w:t>
      </w:r>
      <w:r w:rsidR="00741A39">
        <w:rPr>
          <w:szCs w:val="24"/>
        </w:rPr>
        <w:t>1</w:t>
      </w:r>
      <w:r w:rsidR="00107A08">
        <w:rPr>
          <w:szCs w:val="24"/>
        </w:rPr>
        <w:t>6</w:t>
      </w:r>
      <w:r w:rsidR="00780F08" w:rsidRPr="00BD29EC">
        <w:rPr>
          <w:szCs w:val="24"/>
        </w:rPr>
        <w:t>.</w:t>
      </w:r>
      <w:r w:rsidR="006D5488">
        <w:rPr>
          <w:szCs w:val="24"/>
        </w:rPr>
        <w:t>1</w:t>
      </w:r>
      <w:r w:rsidR="002064C4">
        <w:rPr>
          <w:szCs w:val="24"/>
        </w:rPr>
        <w:t>.</w:t>
      </w:r>
      <w:r w:rsidR="001822FC">
        <w:rPr>
          <w:szCs w:val="24"/>
        </w:rPr>
        <w:t>2</w:t>
      </w:r>
      <w:r w:rsidR="00C95AB2">
        <w:rPr>
          <w:szCs w:val="24"/>
        </w:rPr>
        <w:t>.</w:t>
      </w:r>
      <w:r w:rsidR="007A4670" w:rsidRPr="007A4670">
        <w:t>Число связанных с конфликтами смертей на 100 000 человек в разбивке по полу, возрасту и причине</w:t>
      </w:r>
      <w:r w:rsidR="007A4670">
        <w:t>.</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3A325C" w:rsidP="00004BE3">
      <w:pPr>
        <w:pBdr>
          <w:top w:val="nil"/>
          <w:left w:val="nil"/>
          <w:bottom w:val="nil"/>
          <w:right w:val="nil"/>
          <w:between w:val="nil"/>
          <w:bar w:val="nil"/>
        </w:pBdr>
        <w:tabs>
          <w:tab w:val="left" w:pos="284"/>
        </w:tabs>
        <w:spacing w:after="0"/>
      </w:pPr>
    </w:p>
    <w:p w:rsidR="00004BE3" w:rsidRP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7A4670" w:rsidRPr="007A4670" w:rsidRDefault="007A4670" w:rsidP="007A4670">
      <w:pPr>
        <w:rPr>
          <w:lang w:val="en-US"/>
        </w:rPr>
      </w:pPr>
      <w:r w:rsidRPr="007A4670">
        <w:rPr>
          <w:lang w:val="en-US"/>
        </w:rPr>
        <w:t>2018-12-03</w:t>
      </w:r>
    </w:p>
    <w:p w:rsidR="00C8596F" w:rsidRPr="007A4670" w:rsidRDefault="00C8596F" w:rsidP="00853C09">
      <w:pPr>
        <w:pBdr>
          <w:top w:val="nil"/>
          <w:left w:val="nil"/>
          <w:bottom w:val="nil"/>
          <w:right w:val="nil"/>
          <w:between w:val="nil"/>
          <w:bar w:val="nil"/>
        </w:pBdr>
        <w:tabs>
          <w:tab w:val="left" w:pos="284"/>
        </w:tabs>
        <w:spacing w:after="0"/>
        <w:rPr>
          <w:rFonts w:eastAsia="Arial Unicode MS"/>
          <w:b/>
          <w:szCs w:val="24"/>
          <w:bdr w:val="nil"/>
          <w:lang w:val="en-US" w:eastAsia="ru-RU"/>
        </w:rPr>
      </w:pPr>
      <w:r w:rsidRPr="007A4670">
        <w:rPr>
          <w:rFonts w:eastAsia="Arial Unicode MS"/>
          <w:b/>
          <w:szCs w:val="24"/>
          <w:bdr w:val="nil"/>
          <w:lang w:val="en-US" w:eastAsia="ru-RU"/>
        </w:rPr>
        <w:t>0.</w:t>
      </w:r>
      <w:r w:rsidRPr="00BD29EC">
        <w:rPr>
          <w:rFonts w:eastAsia="Arial Unicode MS"/>
          <w:b/>
          <w:szCs w:val="24"/>
          <w:bdr w:val="nil"/>
          <w:lang w:val="en-US" w:eastAsia="ru-RU"/>
        </w:rPr>
        <w:t>f</w:t>
      </w:r>
      <w:r w:rsidRPr="007A4670">
        <w:rPr>
          <w:rFonts w:eastAsia="Arial Unicode MS"/>
          <w:b/>
          <w:szCs w:val="24"/>
          <w:bdr w:val="nil"/>
          <w:lang w:val="en-US" w:eastAsia="ru-RU"/>
        </w:rPr>
        <w:t xml:space="preserve">. </w:t>
      </w:r>
      <w:r w:rsidRPr="00BD29EC">
        <w:rPr>
          <w:rFonts w:eastAsia="Arial Unicode MS"/>
          <w:b/>
          <w:szCs w:val="24"/>
          <w:bdr w:val="nil"/>
          <w:lang w:eastAsia="ru-RU"/>
        </w:rPr>
        <w:t>Связанныепоказатели</w:t>
      </w:r>
    </w:p>
    <w:p w:rsidR="007A4670" w:rsidRDefault="007A4670" w:rsidP="007A4670">
      <w:r>
        <w:t>•</w:t>
      </w:r>
      <w:r>
        <w:tab/>
        <w:t>16.1.1 Число жертв умышленных убийств на 100 000 человек в разбивке по полу и возрасту;</w:t>
      </w:r>
    </w:p>
    <w:p w:rsidR="007A4670" w:rsidRDefault="007A4670" w:rsidP="007A4670">
      <w:r>
        <w:t>•</w:t>
      </w:r>
      <w:r>
        <w:tab/>
        <w:t>16.1.3 Доля населения, в последние 12 месяцев подвергшегося a) физическому, b) психологическому и c) сексуальному насилию;</w:t>
      </w:r>
    </w:p>
    <w:p w:rsidR="007A4670" w:rsidRDefault="007A4670" w:rsidP="007A4670">
      <w:r w:rsidRPr="007A4670">
        <w:t>•</w:t>
      </w:r>
      <w:r w:rsidRPr="007A4670">
        <w:tab/>
        <w:t xml:space="preserve">16.1.4 </w:t>
      </w:r>
      <w:r>
        <w:t>Долялиц</w:t>
      </w:r>
      <w:r w:rsidRPr="007A4670">
        <w:t xml:space="preserve">, </w:t>
      </w:r>
      <w:r>
        <w:t>считающих</w:t>
      </w:r>
      <w:r w:rsidRPr="007A4670">
        <w:t xml:space="preserve">, </w:t>
      </w:r>
      <w:r>
        <w:t>чтовихрайоненаходитьсянаулицеводиночествепослезаходасолнцабезопасно;</w:t>
      </w:r>
    </w:p>
    <w:p w:rsidR="007A4670" w:rsidRPr="007A4670" w:rsidRDefault="007A4670" w:rsidP="007A4670">
      <w:r w:rsidRPr="007A4670">
        <w:t>•</w:t>
      </w:r>
      <w:r w:rsidRPr="007A4670">
        <w:tab/>
        <w:t xml:space="preserve">16.4.2 </w:t>
      </w:r>
      <w:r>
        <w:t>Доля изъятого, обнаруженного или сданного оружия, незаконное происхождение или обстоятельства приобретения которого было отслежено или установлено компетентным органом в соответствии с международными документами;</w:t>
      </w:r>
    </w:p>
    <w:p w:rsidR="007A4670" w:rsidRDefault="007A4670" w:rsidP="007A4670">
      <w:r>
        <w:t>•</w:t>
      </w:r>
      <w:r>
        <w:tab/>
        <w:t>16.a.1 Наличие независимых национальных правозащитных институтов, действующих в соответствии с Парижскими принципами;</w:t>
      </w:r>
    </w:p>
    <w:p w:rsidR="007A4670" w:rsidRDefault="007A4670" w:rsidP="007A4670">
      <w:r>
        <w:t>•</w:t>
      </w:r>
      <w:r>
        <w:tab/>
        <w:t>10.3.1 и 16.b.1: Доля лиц, сообщивших о том, что в последние 12 месяцев они лично подвергались дискриминации или преследованиям на основаниях, дискриминация по которым запрещена в соответствии с международными стандартами в области прав человека;</w:t>
      </w:r>
    </w:p>
    <w:p w:rsidR="00E95C02" w:rsidRPr="007A4670" w:rsidRDefault="007A4670" w:rsidP="007A4670">
      <w:r>
        <w:t>•</w:t>
      </w:r>
      <w:r>
        <w:tab/>
        <w:t>5.2.2: Доля женщин и девочек в возрасте 15 лет и старше, подвергавшихся сексуальному насилию со стороны кого-либо, кроме интимных партнеров, в последние 12 месяцев, в разбивке по возрасту и месту происшествия.</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lastRenderedPageBreak/>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CF21BA" w:rsidRDefault="00CF21BA" w:rsidP="00CF21BA">
      <w:pPr>
        <w:rPr>
          <w:bdr w:val="nil"/>
          <w:lang w:eastAsia="ru-RU"/>
        </w:rPr>
      </w:pPr>
      <w:r w:rsidRPr="00CF21BA">
        <w:rPr>
          <w:bdr w:val="nil"/>
          <w:lang w:eastAsia="ru-RU"/>
        </w:rPr>
        <w:t>Управление Верховного комиссара Организации Объединенных Наций по правам человека (УВКПЧ)</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CF21BA" w:rsidRPr="00CF21BA" w:rsidRDefault="00CF21BA" w:rsidP="00CF21BA">
      <w:pPr>
        <w:rPr>
          <w:bdr w:val="nil"/>
          <w:lang w:eastAsia="ru-RU"/>
        </w:rPr>
      </w:pPr>
      <w:r w:rsidRPr="00CF21BA">
        <w:rPr>
          <w:bdr w:val="nil"/>
          <w:lang w:eastAsia="ru-RU"/>
        </w:rPr>
        <w:t>Управление Верховного комиссара Организации Объединенных Наций по правам человека (УВКПЧ)</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C65CB2" w:rsidRPr="00BA4B55" w:rsidRDefault="00C65CB2" w:rsidP="00C65CB2">
      <w:r w:rsidRPr="00BA4B55">
        <w:t>Данный показатель определяется как отношение общего числа связанных с конфликтами смертей к числу населения, на 100 000 человек.</w:t>
      </w:r>
    </w:p>
    <w:p w:rsidR="00C65CB2" w:rsidRPr="00C65CB2" w:rsidRDefault="00C65CB2" w:rsidP="00C65CB2">
      <w:r w:rsidRPr="00BA4B55">
        <w:t>“Конфликт” определяется как “вооруженный конфликт” в соответствии с терминологией, закрепленной в Международном Гуманитароном Праве (МГП), и применяется к ситуациям, основанным на оценке Организации Объедененных Наций (ООН) и других уполномоченных на международном уровне организаций. Под термином “Связанная с конфликтом смерть” подразумевается прямая и косвенная смерть, связанная с вооруженным конфликтом. Под термином “Население” понимается общее число постоянного населения в ситуации вооруженного конфликта, включенное в показатель, в данный год. Данные о населении получены из ежегодных оценок, проведенных Отделом народонаселения ООН.</w:t>
      </w:r>
    </w:p>
    <w:p w:rsidR="00DA19D7" w:rsidRDefault="003859BD" w:rsidP="00DA19D7">
      <w:pPr>
        <w:pStyle w:val="MText"/>
        <w:rPr>
          <w:color w:val="000000"/>
          <w:sz w:val="24"/>
          <w:szCs w:val="24"/>
          <w:lang w:val="ru-RU"/>
        </w:rPr>
      </w:pPr>
      <w:r>
        <w:rPr>
          <w:color w:val="000000"/>
          <w:sz w:val="24"/>
          <w:szCs w:val="24"/>
          <w:lang w:val="ru-RU"/>
        </w:rPr>
        <w:t>Основные понятия</w:t>
      </w:r>
    </w:p>
    <w:p w:rsidR="00C65CB2" w:rsidRPr="00BA4B55" w:rsidRDefault="00C65CB2" w:rsidP="00C65CB2">
      <w:r w:rsidRPr="00BA4B55">
        <w:t>“Конфликт”</w:t>
      </w:r>
    </w:p>
    <w:p w:rsidR="00C65CB2" w:rsidRPr="00BA4B55" w:rsidRDefault="00C65CB2" w:rsidP="00C65CB2">
      <w:r w:rsidRPr="00BA4B55">
        <w:t>Согласно МГП, ветви международного права, которая специализируется на вооруженных конфликтах, существует два вида вооруженных конфликтов: международный вооруженный конфликт (МВК) и немеждународный вооруженный конфликт (НВК).</w:t>
      </w:r>
    </w:p>
    <w:p w:rsidR="00C65CB2" w:rsidRPr="00BA4B55" w:rsidRDefault="00C65CB2" w:rsidP="00C65CB2">
      <w:r w:rsidRPr="00BA4B55">
        <w:t>МВК имеют место всякий раз, когда прибегают к вооруженной силе между двумя или более государствами. МВК не возникают в тех случаях, когда применение силы является результатом ошибки (например, при недобровольном вторжении на чужую территорию, ошибочном определении цели); и когда территориальное государство дало согласие на вмешательство.</w:t>
      </w:r>
    </w:p>
    <w:p w:rsidR="00C65CB2" w:rsidRPr="00BA4B55" w:rsidRDefault="00C65CB2" w:rsidP="00C65CB2">
      <w:r w:rsidRPr="00BA4B55">
        <w:t>НВК это длительные вооруженные столкновения, возникающие между правительственными вооруженными силами и силами одной или нескольких вооруженных групп или между такими группами, возникающими на территории государства. Вооруженное противостояние должно достигать «минимального уровня интенсивности», а стороны, вовлеченные в конфликт, должны демонстрировать «минимум организации».</w:t>
      </w:r>
    </w:p>
    <w:p w:rsidR="00C65CB2" w:rsidRPr="00BA4B55" w:rsidRDefault="00C65CB2" w:rsidP="00C65CB2">
      <w:r w:rsidRPr="00BA4B55">
        <w:t>“Связанные с конфликтами смертельные случаи”</w:t>
      </w:r>
    </w:p>
    <w:p w:rsidR="00C65CB2" w:rsidRPr="00BA4B55" w:rsidRDefault="00C65CB2" w:rsidP="00C65CB2">
      <w:r w:rsidRPr="00BA4B55">
        <w:lastRenderedPageBreak/>
        <w:t>Прямые смертельные случаи это случаи гибели людей, для которых есть разумные основания полагать, что они явились результатом военных действий и что действия, решения и/или цели, которые привели к этим смертям, были вызваны вооруженным конфликтом или под его предлогом.</w:t>
      </w:r>
    </w:p>
    <w:p w:rsidR="00C65CB2" w:rsidRPr="00BA4B55" w:rsidRDefault="00C65CB2" w:rsidP="00C65CB2">
      <w:r w:rsidRPr="00BA4B55">
        <w:t>Эти смерти могли быть вызваны (i) применением оружия или (ii) другими средствами и методами. Смертельные случаи, вызванные применением оружия, включают, помимо прочего, смертельные случаи, вызванные огнестрельным оружием, ракетами, минами и холодным оружием. Это может также включать гибель людей в результате воздушных атак и бомбардировок (например, военных баз, городов и деревень), перекрестного огня, взрывоопасных пережитков войны, целенаправленных убийств или заказных убийств, инцидентов, св</w:t>
      </w:r>
      <w:r>
        <w:t>я</w:t>
      </w:r>
      <w:r w:rsidRPr="00BA4B55">
        <w:t>занных с защитой сил. Смертность, вызванная другими средствами и методами, может включать смерть от пыток или сексуального и гендерного насилия, преднамеренное убийство методом голодной смерти, лишение заключенных доступа к медицинскому обслуживанию или отказ в доступе к основным товарам и услугам (например, машина скорой помощи, остановленная на контрольно-пропускном пункте).</w:t>
      </w:r>
    </w:p>
    <w:p w:rsidR="00C65CB2" w:rsidRPr="00BA4B55" w:rsidRDefault="00C65CB2" w:rsidP="00C65CB2">
      <w:r w:rsidRPr="00BA4B55">
        <w:t xml:space="preserve">Косвенные смертельные случаи - это случаи гибели людей, вызванные потерей доступа к основным товарам и услугам (например, замедление экономического роста, нехватка лекарств или снижение потенциала сельского хозяйства, что приводит к отсутствию доступа к достаточному питанию, водоснабжению, санитарии, здравоохранению и безопасным условиям труда), которые вызваны или усугублены ситуацией вооруженного конфликта. </w:t>
      </w:r>
    </w:p>
    <w:p w:rsidR="00C65CB2" w:rsidRPr="00BA4B55" w:rsidRDefault="00C65CB2" w:rsidP="00C65CB2">
      <w:r w:rsidRPr="00BA4B55">
        <w:t>По определению, эти смерти должны быть отделены от других насильственных смертей, которые, в принципе, не связаны с ситуацией вооруженного конфликта (например, умышленные и неумышленные убийства, самооборона, самоубийства), но все же имеют отношение к осуществлению и измерению Задачи 16.1ЦУР. Международная классификация преступлений для статистических целей (ICCS) предусматривает определения и классификацию насильственных смертей, как связанных, так и не связанных с вооруженным конфликтом. ICCS предоставляет признаки, указывающие на то, как проводить различие между умышленными убийствами, убийствами, непосредственно связанными с войной / вооруженным конфликтом, и убийствами, которые равносильны военным преступлениям.</w:t>
      </w:r>
    </w:p>
    <w:p w:rsidR="00C65CB2" w:rsidRPr="00C65CB2" w:rsidRDefault="00C65CB2" w:rsidP="00C65CB2">
      <w:r w:rsidRPr="00BA4B55">
        <w:t xml:space="preserve"> “Причина” относится к оружию, средствам и методам, которые привели к гибели людей в результате конфликта. Категории для разбивки «причин смерти» по прямым смертельным случаям основаны на Международной классификации болезней ВОЗ (ICD-11), ICCS, обзоре оружия, регулируемого МГП, Международным комитетом Красного Креста (МККК), практике ООН и записях жертв УВКПЧ. </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407E4E" w:rsidP="0075371E">
      <w:pPr>
        <w:pBdr>
          <w:top w:val="nil"/>
          <w:left w:val="nil"/>
          <w:bottom w:val="nil"/>
          <w:right w:val="nil"/>
          <w:between w:val="nil"/>
          <w:bar w:val="nil"/>
        </w:pBdr>
        <w:spacing w:after="0"/>
        <w:rPr>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C65CB2" w:rsidRPr="00BD29EC" w:rsidRDefault="00C65CB2" w:rsidP="00C65CB2">
      <w:r w:rsidRPr="00C65CB2">
        <w:t>Примеры источников включают очевидцев; больничные записи; общинные старейшины, религиозные и гражданские лидеры; силы безопасности и конфликтующие стороны; местные органы власти; прокуратура, полиция и другие правоохранительные органы, органы здравоохранения; правительственные ведомства и должностные лица; ООН и другие международные организации; подробные отчеты СМИ и других соответствующих организаций гражданского общества.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C65CB2" w:rsidRPr="00BA4B55" w:rsidRDefault="00C65CB2" w:rsidP="00C65CB2">
      <w:r w:rsidRPr="00BA4B55">
        <w:t>Данные будут собираться от поставщиков данных, которые систематически оценивались УВКПЧ на предмет применения их методологии для показателя, включая их способность предоставлять достоверные и надежные данные и применять стандарт проверки, основанный на техническом руководстве.</w:t>
      </w:r>
    </w:p>
    <w:p w:rsidR="00C65CB2" w:rsidRPr="00C65CB2" w:rsidRDefault="00C65CB2" w:rsidP="00C65CB2">
      <w:r w:rsidRPr="00BA4B55">
        <w:t xml:space="preserve">Механизмы, органы и учреждения, обладающие мандатом, возможностями и независимостью для документирования и расследования предполагаемых убийств, связанных с конфликтом, будут иметь приоритетное значение. С этой точки зрения организации ООН, занимающиеся регистрацией жертв в рамках своих операций (например, операции по поддержанию мира, комиссии по расследованию, гуманитарные операции и управления по правам человека), национальные правозащитные учреждения и национальные статистические </w:t>
      </w:r>
      <w:r>
        <w:t>организации</w:t>
      </w:r>
      <w:r w:rsidRPr="00BA4B55">
        <w:t>, как правило, получают приоритет. УВКПЧ будет проводить мероприятия по наращиванию потенциала и сотрудничать, в том числе в проверке данных, с соответствующими заинтересованными сторонами на национальном, региональном и международном уровнях.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C65CB2" w:rsidRPr="00BD29EC" w:rsidRDefault="00C65CB2" w:rsidP="00C65CB2">
      <w:r w:rsidRPr="00C65CB2">
        <w:t>В 2019 г. УВКПЧ планирует собрать данные о задокументированных смертях гражданских лиц, непосредственно связанных с конфликтом, за 2015, 2016, 2017 гг.</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C65CB2" w:rsidRPr="00BD29EC" w:rsidRDefault="00C65CB2" w:rsidP="00C65CB2">
      <w:r w:rsidRPr="00C65CB2">
        <w:t>В 2020 г. УВКПЧ планирует представить данные о документально подтвержденных случаях гибели гражданских лиц, непосредственно связанных с конфликтом, за 2015, 2016, 2017 гг.</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C65CB2" w:rsidRPr="00A71EC6" w:rsidRDefault="00C65CB2" w:rsidP="00C65CB2">
      <w:r w:rsidRPr="00C65CB2">
        <w:t>Национальные и международные поставщики данных, которые были оценены УВКПЧ на предмет применения связанной с показателем методологии, включая организации ООН, занимающиеся регистрацией несчастных случаев в рамках своих операций (например, операции по поддержанию мира, комиссии по расследованию, гуманитарные операции и отделения по правам человека), национальные правозащитные учреждения, национальные статистические управления и соответствующие организации гражданского общества.</w:t>
      </w:r>
    </w:p>
    <w:p w:rsidR="000A229E" w:rsidRPr="00BD29EC" w:rsidRDefault="000A229E" w:rsidP="0075371E">
      <w:pPr>
        <w:pStyle w:val="MHeader2"/>
        <w:rPr>
          <w:color w:val="auto"/>
          <w:sz w:val="24"/>
          <w:szCs w:val="24"/>
          <w:lang w:val="ru-RU"/>
        </w:rPr>
      </w:pPr>
      <w:r w:rsidRPr="00BD29EC">
        <w:rPr>
          <w:color w:val="auto"/>
          <w:sz w:val="24"/>
          <w:szCs w:val="24"/>
          <w:lang w:val="ru-RU"/>
        </w:rPr>
        <w:lastRenderedPageBreak/>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C65CB2" w:rsidRDefault="00C65CB2" w:rsidP="00C65CB2">
      <w:r w:rsidRPr="00C65CB2">
        <w:t>Управление Верховного комиссара Организации Объединенных Наций по правам человека (УВКПЧ)</w:t>
      </w:r>
      <w:r>
        <w:t>.</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C65CB2" w:rsidRPr="00BA4B55" w:rsidRDefault="00C65CB2" w:rsidP="00C65CB2">
      <w:r w:rsidRPr="00BA4B55">
        <w:t xml:space="preserve">Данный показатель измеряет уровень распространенности вооруженных конфликтов и их влияние с точки зрения гибели людей. Вместе с показателем 16.1.1 умышленных убийств, они измеряют насильственные смерти, которые происходят во всех странах мира (умышленные убийства) и в ситуациях вооруженного конфликта (смертельные случаи, связанные с конфликтом). </w:t>
      </w:r>
    </w:p>
    <w:p w:rsidR="002E15F9" w:rsidRPr="00C65CB2" w:rsidRDefault="00C65CB2" w:rsidP="00C65CB2">
      <w:r w:rsidRPr="00BA4B55">
        <w:t>Повестка дня в области устойчивого развития на период до 2030 года направлена на укрепление всеобщего мира и обязуется удвоить усилия по разрешению или предотвращению конфликтов. Признается, что не может быть устойчивого развития без мира и мира без устойчивого развития. Поэтому подсчет смертей, происходящих в ситуациях вооруженного конфликта, имеет важное значение для измерения Повестки дня, в том числе и после достижения Цели 16. Мониторинг смертей, связанных с конфликтом, также необходим чтобы помочь защитить гражданских лиц и других потенциальных жертв, обеспечить соблюдение гуманитарных стандартов и стандартов в области прав человека и понять закономерности и последствия вооруженных конфликтов, чтобы предотвратить</w:t>
      </w:r>
      <w:r>
        <w:t xml:space="preserve"> будущие вооруженные конфликты.</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C65CB2" w:rsidRPr="00C65CB2" w:rsidRDefault="00C65CB2" w:rsidP="00C65CB2">
      <w:r w:rsidRPr="00BA4B55">
        <w:t>В ситуациях вооруженного конфликта о большей части смертей может не сообщаться. Зачастую наличие вооруженного конфликта в значительной степени влияет на обычные системы регистрации. Кроме того, субъекты на обеих сторонах вооруженного конфликта могут иметь стимулы для предоставления недостоверной информации, снижения или завышения числа жертв. В большинстве случаев число зарегистрированных случаев будет зависеть от доступа к зонам конфликта, доступа к информации, мотивации и настойчивости как международных, так и национальных субъектов, таких как миротворческие миссии ООН и другие уполномоченные на международном уровне структуры, национальные учреждения (например, национальные статистические управления, национальные правозащитные учреждения) и соответствующие организации гражданского общества.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C65CB2" w:rsidRPr="00BA4B55" w:rsidRDefault="00C65CB2" w:rsidP="00C65CB2">
      <w:r w:rsidRPr="00BA4B55">
        <w:t xml:space="preserve">Показатель рассчитывается как отношение общего числа смертей, связанных с конфликтом, к общему количеству постоянного населения в данной ситуации вооруженного конфликта за год, на 100 000 человек населения, произошедших за последние 12 месяцев. </w:t>
      </w:r>
    </w:p>
    <w:p w:rsidR="00C65CB2" w:rsidRPr="00BA4B55" w:rsidRDefault="00C65CB2" w:rsidP="00C65CB2">
      <w:r w:rsidRPr="00BA4B55">
        <w:lastRenderedPageBreak/>
        <w:t>Общее число связанных с конфликтами смертей включает, в первую очередь, общее число зарегистрированных прямых смертей с использованием всех потенциально важных источников данных (например, миротворческие миссии ООН, национальные статистические управления, национальные правозащитные учреждения, организации гражданского общества). Док</w:t>
      </w:r>
      <w:r>
        <w:t>ументально подтвержденные случа</w:t>
      </w:r>
      <w:r w:rsidRPr="00BA4B55">
        <w:t xml:space="preserve">и предоставляют информацию о каждой смерти, связанной с прямым конфликтом. </w:t>
      </w:r>
    </w:p>
    <w:p w:rsidR="00C65CB2" w:rsidRPr="00C65CB2" w:rsidRDefault="00C65CB2" w:rsidP="00C65CB2">
      <w:r w:rsidRPr="00BA4B55">
        <w:t>В зависимости от масштабов связанных с конфликтом смертей, возможностей поставщиков данных и других контекстуальных и практических соображений, методология будет стремиться к получению статистических оценок незарегистрированных смертей, непосредственно связанных с вооруженным конфликтом. Дальнейшая работа будет необходима для охвата смертей, косвенно связанных с вооруженным конфликтом, например, с потерей доступа к основным товарам и услугам. Существующие данные должны регулярно и ретроспективно обновляться, отражая появление новых данных с течением времени.</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2E15F9" w:rsidP="00C65CB2">
      <w:r w:rsidRPr="00BD29EC">
        <w:t>•</w:t>
      </w:r>
      <w:r w:rsidRPr="00BD29EC">
        <w:tab/>
      </w:r>
      <w:r w:rsidR="00694160" w:rsidRPr="00BD29EC">
        <w:t>На уровне страны</w:t>
      </w:r>
    </w:p>
    <w:p w:rsidR="00C65CB2" w:rsidRPr="00BA4B55" w:rsidRDefault="00C65CB2" w:rsidP="00C65CB2">
      <w:r w:rsidRPr="00BA4B55">
        <w:t xml:space="preserve">В качестве отправной точки </w:t>
      </w:r>
      <w:r>
        <w:t>показатель</w:t>
      </w:r>
      <w:r w:rsidRPr="00BA4B55">
        <w:t xml:space="preserve"> будет включать только документально подтвержденные случаи прямой смерти, связанные с конфликтом. Если для конкретной ситуации вооруженного конфликта не задокументированы случаи прямой смерти, связанные с конфликтом, оценка недостающих значений не будет производиться. Стоит отметить, что в связи со спецификой этого показателя, в зависимости от наличия и качества данных в ходе вооруженного конфликта, статистические </w:t>
      </w:r>
      <w:r>
        <w:t>об</w:t>
      </w:r>
      <w:r w:rsidRPr="00BA4B55">
        <w:t>следования и методы могут использоваться для оценки недокументированных случаев смерти, связанных с непосредственными конфликтами, добавляя статистических оценок к документированным случаям.</w:t>
      </w:r>
    </w:p>
    <w:p w:rsidR="00C65CB2" w:rsidRPr="00BA4B55" w:rsidRDefault="00C65CB2" w:rsidP="00C65CB2">
      <w:r w:rsidRPr="00BA4B55">
        <w:t xml:space="preserve">Национальные базы данных с достаточно хорошо документированными прямыми смертельными случаями составляют существенный источник для дальнейшего статистического анализа и оценки недокументированных прямых смертельных случаев. Поскольку косвенные причины смерти, как правило, выходят за рамки обычной практики регистрации несчастных случаев (которая скорее фокусируется на прямых смертях), они могут регистрироваться с использованием дополнительных административных записей и / или статистических </w:t>
      </w:r>
      <w:r>
        <w:t>об</w:t>
      </w:r>
      <w:r w:rsidRPr="00BA4B55">
        <w:t>следований, позволяющих измерить избыточную смертность, а именно всех смертей (прямых и косвенных), что не произошли бы в мирное время, как это определено и измерено эпидемиологами.</w:t>
      </w:r>
    </w:p>
    <w:p w:rsidR="002E15F9" w:rsidRPr="00C65CB2" w:rsidRDefault="00C65CB2" w:rsidP="00C65CB2">
      <w:r w:rsidRPr="00BA4B55">
        <w:t xml:space="preserve">Методология этих оценок будет в дальнейшем доработана в сотрудничестве с национальными статистическими </w:t>
      </w:r>
      <w:r>
        <w:t>организациями</w:t>
      </w:r>
      <w:r w:rsidRPr="00BA4B55">
        <w:t>, национальными правозащитными учреждениями, подразделениями ООН и организациями гражданского общества.</w:t>
      </w:r>
    </w:p>
    <w:p w:rsidR="002E15F9" w:rsidRPr="00BD29EC" w:rsidRDefault="002E15F9" w:rsidP="0075371E">
      <w:pPr>
        <w:pStyle w:val="MText"/>
        <w:rPr>
          <w:color w:val="auto"/>
          <w:sz w:val="24"/>
          <w:szCs w:val="24"/>
          <w:lang w:val="ru-RU"/>
        </w:rPr>
      </w:pPr>
      <w:r w:rsidRPr="00BD29EC">
        <w:rPr>
          <w:color w:val="auto"/>
          <w:sz w:val="24"/>
          <w:szCs w:val="24"/>
          <w:lang w:val="ru-RU"/>
        </w:rPr>
        <w:lastRenderedPageBreak/>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CB7240" w:rsidP="00CB7240">
      <w:r>
        <w:t xml:space="preserve">См. выше.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CB7240" w:rsidP="00CB7240">
      <w:r w:rsidRPr="00CB7240">
        <w:t>Агрегированные данные по регионам рассчитываются как общее количество документально подтвержденных смертей, непосредственно связанных с конфликтом, деленное на общую численность постоянного населения в результате вооруженного конфликта в регионе, выраженное в 100 000 человек населения. Глобальный агрегат рассчитывается как общее число задокументированных смертей, непосредственно связанных с конфликтом, для всех ситуаций вооруженного конфликта, разделенное на общую численность постоянного населения во всех ситуациях вооруженного конфликта, включенного в показатель, выраженный в 100 000 человек населения.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CB7240" w:rsidRPr="00BD29EC" w:rsidRDefault="00CB7240" w:rsidP="00CB7240">
      <w:r w:rsidRPr="00CB7240">
        <w:t>• ссылка на техническое руководство</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CB7240" w:rsidRPr="00CB7240" w:rsidRDefault="00CB7240" w:rsidP="00CB7240">
      <w:r w:rsidRPr="00CB7240">
        <w:t>• ссылка на техническое руководство</w:t>
      </w:r>
    </w:p>
    <w:p w:rsidR="00CB7240" w:rsidRPr="00040034" w:rsidRDefault="00CB7240" w:rsidP="00CB7240">
      <w:r w:rsidRPr="00CB7240">
        <w:t>• УВКПЧ будет проводить процесс проверки списка ситуаций вооруженного конфликта, которые необходимо учитывать для определения показателя каждый год. УВКПЧ будет систематически оценивать каждого потенциально релевантного поставщика данных на предмет применения им методологии для показателя, включая его способность предоставлять достоверные и надежные данные и применять стандарты проверки. Это будет осуществляться посредством обмена метаданными, наращивания потенциала и постоянного обмена с поставщиками данных.</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CB7240">
      <w:r w:rsidRPr="00BD29EC">
        <w:t>Доступность данных:</w:t>
      </w:r>
    </w:p>
    <w:p w:rsidR="00CB7240" w:rsidRPr="00BD29EC" w:rsidRDefault="00CB7240" w:rsidP="00CB7240">
      <w:r w:rsidRPr="00CB7240">
        <w:t xml:space="preserve">На момент составления настоящих метаданных для запроса о реклассификации в адрес </w:t>
      </w:r>
      <w:r>
        <w:t>МЭГ-ЦУР</w:t>
      </w:r>
      <w:r w:rsidRPr="00CB7240">
        <w:t xml:space="preserve"> были собраны данные, документально подтвержденные гибелью гражданских лиц, непосредственно связанными с конфликтом, для большинства наиболее смертоносных ситуаций вооруженного конфликта в регионах ЦУР Южной Азии, Западной Азии, Африка к югу от Сахары, Северная Африка, Латинская Америка и Европа. Однако не все эти данные были сопоставлены для целей отчетности по глобальным показателям ЦУР.</w:t>
      </w:r>
    </w:p>
    <w:p w:rsidR="0075371E" w:rsidRDefault="0075371E" w:rsidP="00CB7240">
      <w:r w:rsidRPr="00BD29EC">
        <w:t>Временные ряды:</w:t>
      </w:r>
    </w:p>
    <w:p w:rsidR="00CB7240" w:rsidRPr="00BD29EC" w:rsidRDefault="00CB7240" w:rsidP="00CB7240">
      <w:r>
        <w:t>2015-2017</w:t>
      </w:r>
    </w:p>
    <w:p w:rsidR="00CB7240" w:rsidRDefault="00CB7240" w:rsidP="00CB7240"/>
    <w:p w:rsidR="0075371E" w:rsidRDefault="0075371E" w:rsidP="00CB7240">
      <w:r w:rsidRPr="00BD29EC">
        <w:lastRenderedPageBreak/>
        <w:t>Разбивка:</w:t>
      </w:r>
    </w:p>
    <w:p w:rsidR="00CB7240" w:rsidRPr="00BA4B55" w:rsidRDefault="00CB7240" w:rsidP="00CB7240">
      <w:r w:rsidRPr="00BA4B55">
        <w:t>•</w:t>
      </w:r>
      <w:r w:rsidRPr="00BA4B55">
        <w:tab/>
        <w:t>Пол убитого человека (Мужчина, Женщина, Неизвестно)</w:t>
      </w:r>
    </w:p>
    <w:p w:rsidR="00CB7240" w:rsidRPr="00BA4B55" w:rsidRDefault="00CB7240" w:rsidP="00CB7240">
      <w:r w:rsidRPr="00BA4B55">
        <w:t>•</w:t>
      </w:r>
      <w:r w:rsidRPr="00BA4B55">
        <w:tab/>
        <w:t>Возрастная группа убитого (Взрослый (18 лет и старше), Ребенок (младше 18 лет), Неизвестно)</w:t>
      </w:r>
    </w:p>
    <w:p w:rsidR="00CB7240" w:rsidRPr="00BA4B55" w:rsidRDefault="00CB7240" w:rsidP="00CB7240">
      <w:r w:rsidRPr="00BA4B55">
        <w:t>•</w:t>
      </w:r>
      <w:r w:rsidRPr="00BA4B55">
        <w:tab/>
        <w:t>Причина смерти (Тяжелое оружие и взрывчатые боеприпасы; Заложенные взрывчатые вещества и неразорвавшиеся боеприпасы (НРБ); Стрелковое оружие и легкое оружие; Зажигательное оружие; Химическое, Биологическое, Радиологическое, Ядерное оружие (CBRN); Электромагнитное оружие; Менее смертоносное оружие; Отказ в доступе / уничтожение объектов, необходимых для выживания; Несчастные случаи, связанные с конфликтом; Использование объектов и других средств; Неизвестно)</w:t>
      </w:r>
    </w:p>
    <w:p w:rsidR="00CB7240" w:rsidRPr="00CB7240" w:rsidRDefault="00CB7240" w:rsidP="00CB7240">
      <w:r w:rsidRPr="00BA4B55">
        <w:t>•</w:t>
      </w:r>
      <w:r w:rsidRPr="00BA4B55">
        <w:tab/>
        <w:t>Статус убитого (Гражданское лицо, Другое защищаемое лицо, Военнослужащий, Лицо, непосредственно участвующее в боевых действиях, Неизвестно)</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1372ED" w:rsidRPr="001372ED" w:rsidRDefault="001372ED" w:rsidP="001372ED">
      <w:r w:rsidRPr="001372ED">
        <w:t>Источники расхождений:</w:t>
      </w:r>
    </w:p>
    <w:p w:rsidR="002E15F9" w:rsidRDefault="001372ED" w:rsidP="001372ED">
      <w:r w:rsidRPr="001372ED">
        <w:t>Могут существовать расхождения между национальными определениями, международными статистическими и правовыми стандартами, охватом и качеством данных в зависимости от мандата, методов и возможностей поставщиков данных. Наращивание потенциала для внедрения методологии для этого показателя поставщиками данных повысит качество и согласованность наборов данных.</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040034">
        <w:rPr>
          <w:rFonts w:eastAsia="Times New Roman"/>
          <w:b/>
          <w:szCs w:val="24"/>
          <w:lang w:val="en-US" w:eastAsia="en-GB"/>
        </w:rPr>
        <w:t xml:space="preserve">7. </w:t>
      </w:r>
      <w:r>
        <w:rPr>
          <w:rFonts w:eastAsia="Times New Roman"/>
          <w:b/>
          <w:szCs w:val="24"/>
          <w:lang w:eastAsia="en-GB"/>
        </w:rPr>
        <w:t>Ссылкиидокументы</w:t>
      </w:r>
    </w:p>
    <w:p w:rsidR="001372ED" w:rsidRPr="00573631" w:rsidRDefault="001372ED" w:rsidP="001372ED">
      <w:pPr>
        <w:rPr>
          <w:lang w:eastAsia="en-GB"/>
        </w:rPr>
      </w:pPr>
      <w:r w:rsidRPr="00573631">
        <w:rPr>
          <w:lang w:eastAsia="en-GB"/>
        </w:rPr>
        <w:t>URL:</w:t>
      </w:r>
    </w:p>
    <w:p w:rsidR="001372ED" w:rsidRDefault="001372ED" w:rsidP="001372ED">
      <w:pPr>
        <w:rPr>
          <w:lang w:eastAsia="en-GB"/>
        </w:rPr>
      </w:pPr>
      <w:r w:rsidRPr="00994BA3">
        <w:rPr>
          <w:lang w:eastAsia="en-GB"/>
        </w:rPr>
        <w:t>http://www.ohchr.org/EN/Issues/Indicators/Pages/HRIndicatorsIndex.aspx</w:t>
      </w:r>
    </w:p>
    <w:p w:rsidR="001372ED" w:rsidRPr="001372ED" w:rsidRDefault="001372ED" w:rsidP="001372ED">
      <w:pPr>
        <w:rPr>
          <w:lang w:eastAsia="en-GB"/>
        </w:rPr>
      </w:pPr>
      <w:r>
        <w:rPr>
          <w:lang w:eastAsia="en-GB"/>
        </w:rPr>
        <w:t>Использованные документы</w:t>
      </w:r>
      <w:r w:rsidRPr="001372ED">
        <w:rPr>
          <w:lang w:val="en-US" w:eastAsia="en-GB"/>
        </w:rPr>
        <w:t>:</w:t>
      </w:r>
    </w:p>
    <w:p w:rsidR="001372ED" w:rsidRPr="001372ED" w:rsidRDefault="001372ED" w:rsidP="001372ED">
      <w:pPr>
        <w:rPr>
          <w:lang w:val="en-US" w:eastAsia="en-GB"/>
        </w:rPr>
      </w:pPr>
      <w:r w:rsidRPr="001372ED">
        <w:rPr>
          <w:lang w:val="en-US" w:eastAsia="en-GB"/>
        </w:rPr>
        <w:t xml:space="preserve">INTERNATIONAL COMMITTEE OF THE RED CROSS (2009). Typology of Armed Conflicts in International Humanitarian Law: Legal Concepts and Actual Situations. Volume 91 Numbers 873.Available from </w:t>
      </w:r>
      <w:hyperlink r:id="rId8" w:history="1">
        <w:r w:rsidRPr="001372ED">
          <w:rPr>
            <w:rStyle w:val="ac"/>
            <w:rFonts w:eastAsia="Times New Roman"/>
            <w:sz w:val="21"/>
            <w:szCs w:val="21"/>
            <w:lang w:val="en-US" w:eastAsia="en-GB"/>
          </w:rPr>
          <w:t>https://www.icrc.org/en/doc/assets/files/other/irrc-873-vite.pdf</w:t>
        </w:r>
      </w:hyperlink>
      <w:r w:rsidRPr="001372ED">
        <w:rPr>
          <w:lang w:val="en-US" w:eastAsia="en-GB"/>
        </w:rPr>
        <w:t>.</w:t>
      </w:r>
    </w:p>
    <w:p w:rsidR="001372ED" w:rsidRPr="001372ED" w:rsidRDefault="001372ED" w:rsidP="001372ED">
      <w:pPr>
        <w:rPr>
          <w:lang w:val="en-US" w:eastAsia="en-GB"/>
        </w:rPr>
      </w:pPr>
      <w:r w:rsidRPr="001372ED">
        <w:rPr>
          <w:lang w:val="en-US" w:eastAsia="en-GB"/>
        </w:rPr>
        <w:t xml:space="preserve">INTERNATIONAL COMMITTEE OF THE RED CROSS (2008). How is the Term ‘Armed Conflict’ Defined in International Humanitarian Law? Opinion Paper.  Available from </w:t>
      </w:r>
      <w:hyperlink r:id="rId9" w:history="1">
        <w:r w:rsidRPr="001372ED">
          <w:rPr>
            <w:rStyle w:val="ac"/>
            <w:rFonts w:eastAsia="Times New Roman"/>
            <w:sz w:val="21"/>
            <w:szCs w:val="21"/>
            <w:lang w:val="en-US" w:eastAsia="en-GB"/>
          </w:rPr>
          <w:t>https://www.icrc.org/en/doc/resources/documents/article/other/armed-conflict-article-170308.htm</w:t>
        </w:r>
      </w:hyperlink>
    </w:p>
    <w:p w:rsidR="001372ED" w:rsidRPr="001372ED" w:rsidRDefault="001372ED" w:rsidP="001372ED">
      <w:pPr>
        <w:rPr>
          <w:lang w:val="en-US" w:eastAsia="en-GB"/>
        </w:rPr>
      </w:pPr>
      <w:r w:rsidRPr="001372ED">
        <w:rPr>
          <w:lang w:val="en-US" w:eastAsia="en-GB"/>
        </w:rPr>
        <w:t xml:space="preserve">INTERNATIONAL COMMITTEE OF THE RED CROSS (2015).Report of the 32nd International Conference of the Red Cross and the Red Crescent, International Humanitarian Law and the Challenges of Contemporary Armed Conflicts. Geneva. Available from </w:t>
      </w:r>
      <w:hyperlink r:id="rId10" w:history="1">
        <w:r w:rsidRPr="001372ED">
          <w:rPr>
            <w:rStyle w:val="ac"/>
            <w:rFonts w:eastAsia="Times New Roman"/>
            <w:sz w:val="21"/>
            <w:szCs w:val="21"/>
            <w:lang w:val="en-US" w:eastAsia="en-GB"/>
          </w:rPr>
          <w:t>http://rcrcconference.org/wp-content/uploads/2015/10/32IC-Report-on-IHL-and-challenges-of-armed-conflicts.pdf</w:t>
        </w:r>
      </w:hyperlink>
    </w:p>
    <w:p w:rsidR="001372ED" w:rsidRPr="001372ED" w:rsidRDefault="001372ED" w:rsidP="001372ED">
      <w:pPr>
        <w:rPr>
          <w:lang w:val="en-US" w:eastAsia="en-GB"/>
        </w:rPr>
      </w:pPr>
    </w:p>
    <w:p w:rsidR="001372ED" w:rsidRPr="001372ED" w:rsidRDefault="001372ED" w:rsidP="001372ED">
      <w:pPr>
        <w:rPr>
          <w:lang w:eastAsia="en-GB"/>
        </w:rPr>
      </w:pPr>
      <w:r w:rsidRPr="001372ED">
        <w:rPr>
          <w:lang w:val="en-US" w:eastAsia="en-GB"/>
        </w:rPr>
        <w:lastRenderedPageBreak/>
        <w:t xml:space="preserve">INTERNATIONAL COMMITTEE OF THE RED CROSS (2011).Overview of Weapons Regulated by IHL.Available from </w:t>
      </w:r>
      <w:hyperlink r:id="rId11" w:history="1">
        <w:r w:rsidRPr="001372ED">
          <w:rPr>
            <w:rStyle w:val="ac"/>
            <w:rFonts w:eastAsia="Times New Roman"/>
            <w:sz w:val="21"/>
            <w:szCs w:val="21"/>
            <w:lang w:val="en-US" w:eastAsia="en-GB"/>
          </w:rPr>
          <w:t>https://www.icrc.org/en/document/weapons</w:t>
        </w:r>
      </w:hyperlink>
      <w:r w:rsidRPr="001372ED">
        <w:rPr>
          <w:lang w:val="en-US" w:eastAsia="en-GB"/>
        </w:rPr>
        <w:t xml:space="preserve"> .</w:t>
      </w:r>
    </w:p>
    <w:p w:rsidR="001372ED" w:rsidRPr="001372ED" w:rsidRDefault="001372ED" w:rsidP="001372ED">
      <w:pPr>
        <w:rPr>
          <w:lang w:val="en-US" w:eastAsia="en-GB"/>
        </w:rPr>
      </w:pPr>
      <w:r w:rsidRPr="001372ED">
        <w:rPr>
          <w:lang w:val="en-US" w:eastAsia="en-GB"/>
        </w:rPr>
        <w:t xml:space="preserve">UNITED NATIONS (2015). International Classification of Crime for Statistical Purposes (ICCS), Version 1.0. Vienna. Available from: </w:t>
      </w:r>
      <w:hyperlink r:id="rId12" w:history="1">
        <w:r w:rsidRPr="001372ED">
          <w:rPr>
            <w:rStyle w:val="ac"/>
            <w:rFonts w:eastAsia="Times New Roman"/>
            <w:sz w:val="21"/>
            <w:szCs w:val="21"/>
            <w:lang w:val="en-US" w:eastAsia="en-GB"/>
          </w:rPr>
          <w:t>https://www.unodc.org/unodc/en/data-and-analysis/statistics/iccs.html</w:t>
        </w:r>
      </w:hyperlink>
      <w:r w:rsidRPr="001372ED">
        <w:rPr>
          <w:lang w:val="en-US" w:eastAsia="en-GB"/>
        </w:rPr>
        <w:t xml:space="preserve"> .</w:t>
      </w:r>
    </w:p>
    <w:p w:rsidR="001372ED" w:rsidRPr="001372ED" w:rsidRDefault="001372ED" w:rsidP="001372ED">
      <w:pPr>
        <w:rPr>
          <w:lang w:eastAsia="en-GB"/>
        </w:rPr>
      </w:pPr>
      <w:r w:rsidRPr="001372ED">
        <w:rPr>
          <w:lang w:val="en-US" w:eastAsia="en-GB"/>
        </w:rPr>
        <w:t>UNITED NATIONS.Guidance on Casualty Recording.Upcoming publication.</w:t>
      </w:r>
    </w:p>
    <w:p w:rsidR="001372ED" w:rsidRPr="001372ED" w:rsidRDefault="001372ED" w:rsidP="001372ED">
      <w:pPr>
        <w:rPr>
          <w:lang w:eastAsia="en-GB"/>
        </w:rPr>
      </w:pPr>
      <w:r w:rsidRPr="001372ED">
        <w:rPr>
          <w:lang w:val="en-US" w:eastAsia="en-GB"/>
        </w:rPr>
        <w:t>WORLD HEALTH ORGANIZATION (2018).International Classification of Diseases 11</w:t>
      </w:r>
      <w:r w:rsidRPr="001372ED">
        <w:rPr>
          <w:vertAlign w:val="superscript"/>
          <w:lang w:val="en-US" w:eastAsia="en-GB"/>
        </w:rPr>
        <w:t>th</w:t>
      </w:r>
      <w:r w:rsidRPr="001372ED">
        <w:rPr>
          <w:lang w:val="en-US" w:eastAsia="en-GB"/>
        </w:rPr>
        <w:t xml:space="preserve"> Revision.Available from </w:t>
      </w:r>
      <w:hyperlink r:id="rId13" w:history="1">
        <w:r w:rsidRPr="001372ED">
          <w:rPr>
            <w:rStyle w:val="ac"/>
            <w:rFonts w:eastAsia="Times New Roman"/>
            <w:sz w:val="21"/>
            <w:szCs w:val="21"/>
            <w:lang w:val="en-US" w:eastAsia="en-GB"/>
          </w:rPr>
          <w:t>https://icd.who.int/</w:t>
        </w:r>
      </w:hyperlink>
      <w:r w:rsidRPr="001372ED">
        <w:rPr>
          <w:lang w:val="en-US" w:eastAsia="en-GB"/>
        </w:rPr>
        <w:t xml:space="preserve"> .</w:t>
      </w:r>
    </w:p>
    <w:p w:rsidR="001372ED" w:rsidRPr="001372ED" w:rsidRDefault="001372ED" w:rsidP="001372ED">
      <w:pPr>
        <w:rPr>
          <w:lang w:val="en-US" w:eastAsia="en-GB"/>
        </w:rPr>
      </w:pPr>
      <w:r w:rsidRPr="001372ED">
        <w:rPr>
          <w:lang w:val="en-US" w:eastAsia="en-GB"/>
        </w:rPr>
        <w:t xml:space="preserve">UNITED NATIONS (2012). Human Rights Indicators: A Guide to Measurement and Implementation. New York and Geneva. Available from </w:t>
      </w:r>
      <w:hyperlink r:id="rId14" w:history="1">
        <w:r w:rsidRPr="001372ED">
          <w:rPr>
            <w:rStyle w:val="ac"/>
            <w:rFonts w:eastAsia="Times New Roman"/>
            <w:sz w:val="21"/>
            <w:szCs w:val="21"/>
            <w:lang w:val="en-US" w:eastAsia="en-GB"/>
          </w:rPr>
          <w:t>http://www.ohchr.org/EN/Issues/Indicators/Pages/HRIndicatorsIndex.aspx</w:t>
        </w:r>
      </w:hyperlink>
      <w:r w:rsidRPr="001372ED">
        <w:rPr>
          <w:lang w:val="en-US" w:eastAsia="en-GB"/>
        </w:rPr>
        <w:t xml:space="preserve"> .</w:t>
      </w:r>
      <w:bookmarkStart w:id="5" w:name="_GoBack"/>
      <w:bookmarkEnd w:id="5"/>
    </w:p>
    <w:p w:rsidR="001372ED" w:rsidRPr="00040034" w:rsidRDefault="001372ED" w:rsidP="001372ED">
      <w:pPr>
        <w:rPr>
          <w:szCs w:val="24"/>
          <w:lang w:val="en-US" w:eastAsia="en-GB"/>
        </w:rPr>
      </w:pPr>
      <w:r w:rsidRPr="001372ED">
        <w:rPr>
          <w:lang w:val="en-US" w:eastAsia="en-GB"/>
        </w:rPr>
        <w:t xml:space="preserve">HUMAN RIGHTS DATA AND ANALYSIS GROUP (2014). Updated Statistical Analysis of Documentation of Killings in the Syrian Arab Republic, Commissioned by the Office of the UN High Commissioner for Human Rights.  Available from </w:t>
      </w:r>
      <w:hyperlink r:id="rId15" w:history="1">
        <w:r w:rsidRPr="001372ED">
          <w:rPr>
            <w:rStyle w:val="ac"/>
            <w:rFonts w:eastAsia="Times New Roman"/>
            <w:sz w:val="21"/>
            <w:szCs w:val="21"/>
            <w:lang w:val="en-US" w:eastAsia="en-GB"/>
          </w:rPr>
          <w:t>https://www.ohchr.org/Documents/Countries/SY/HRDAGUpdatedReportAug2014.pdf</w:t>
        </w:r>
      </w:hyperlink>
    </w:p>
    <w:sectPr w:rsidR="001372ED" w:rsidRPr="00040034" w:rsidSect="004450BA">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A4" w:rsidRDefault="003100A4" w:rsidP="00F73DBC">
      <w:pPr>
        <w:spacing w:after="0" w:line="240" w:lineRule="auto"/>
      </w:pPr>
      <w:r>
        <w:separator/>
      </w:r>
    </w:p>
  </w:endnote>
  <w:endnote w:type="continuationSeparator" w:id="1">
    <w:p w:rsidR="003100A4" w:rsidRDefault="003100A4"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A4" w:rsidRDefault="003100A4" w:rsidP="00F73DBC">
      <w:pPr>
        <w:spacing w:after="0" w:line="240" w:lineRule="auto"/>
      </w:pPr>
      <w:r>
        <w:separator/>
      </w:r>
    </w:p>
  </w:footnote>
  <w:footnote w:type="continuationSeparator" w:id="1">
    <w:p w:rsidR="003100A4" w:rsidRDefault="003100A4"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e"/>
      <w:jc w:val="right"/>
      <w:rPr>
        <w:i/>
      </w:rPr>
    </w:pPr>
    <w:r w:rsidRPr="00087B96">
      <w:rPr>
        <w:i/>
      </w:rPr>
      <w:t xml:space="preserve">Неофициальный перевод </w:t>
    </w:r>
  </w:p>
  <w:p w:rsidR="009508D1" w:rsidRPr="00087B96" w:rsidRDefault="009508D1" w:rsidP="009508D1">
    <w:pPr>
      <w:pStyle w:val="ae"/>
      <w:jc w:val="right"/>
    </w:pPr>
    <w:r w:rsidRPr="00087B96">
      <w:t xml:space="preserve">Последнее обновление: </w:t>
    </w:r>
    <w:r w:rsidR="009D4322">
      <w:t xml:space="preserve">август </w:t>
    </w:r>
    <w:r w:rsidR="00781DE7" w:rsidRPr="00087B96">
      <w:t>2022</w:t>
    </w:r>
  </w:p>
  <w:p w:rsidR="009508D1" w:rsidRDefault="009508D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618FC"/>
    <w:rsid w:val="00004BE3"/>
    <w:rsid w:val="00040034"/>
    <w:rsid w:val="000476F9"/>
    <w:rsid w:val="00053D20"/>
    <w:rsid w:val="000821C6"/>
    <w:rsid w:val="00087B96"/>
    <w:rsid w:val="000A210D"/>
    <w:rsid w:val="000A229E"/>
    <w:rsid w:val="000C5EF5"/>
    <w:rsid w:val="000F3B83"/>
    <w:rsid w:val="00107A08"/>
    <w:rsid w:val="00116248"/>
    <w:rsid w:val="00130B3E"/>
    <w:rsid w:val="001372ED"/>
    <w:rsid w:val="001470A2"/>
    <w:rsid w:val="00147D8F"/>
    <w:rsid w:val="001612F6"/>
    <w:rsid w:val="00165896"/>
    <w:rsid w:val="001762D0"/>
    <w:rsid w:val="001822FC"/>
    <w:rsid w:val="001A163A"/>
    <w:rsid w:val="001C4663"/>
    <w:rsid w:val="001E2FC9"/>
    <w:rsid w:val="002064C4"/>
    <w:rsid w:val="002306F8"/>
    <w:rsid w:val="00291FA0"/>
    <w:rsid w:val="002C7BF9"/>
    <w:rsid w:val="002E122C"/>
    <w:rsid w:val="002E15F9"/>
    <w:rsid w:val="002F63E5"/>
    <w:rsid w:val="00303D71"/>
    <w:rsid w:val="003100A4"/>
    <w:rsid w:val="003143BC"/>
    <w:rsid w:val="003746BC"/>
    <w:rsid w:val="003859BD"/>
    <w:rsid w:val="003A325C"/>
    <w:rsid w:val="003D33FA"/>
    <w:rsid w:val="003D58DC"/>
    <w:rsid w:val="003D7A38"/>
    <w:rsid w:val="00407AF0"/>
    <w:rsid w:val="00407E4E"/>
    <w:rsid w:val="004143B4"/>
    <w:rsid w:val="00421928"/>
    <w:rsid w:val="004344AC"/>
    <w:rsid w:val="004450BA"/>
    <w:rsid w:val="00456E71"/>
    <w:rsid w:val="00467B9B"/>
    <w:rsid w:val="004D2413"/>
    <w:rsid w:val="004E087E"/>
    <w:rsid w:val="00503B4A"/>
    <w:rsid w:val="00532D98"/>
    <w:rsid w:val="00587D0B"/>
    <w:rsid w:val="005E47BD"/>
    <w:rsid w:val="005F2C0B"/>
    <w:rsid w:val="00655F55"/>
    <w:rsid w:val="006704C2"/>
    <w:rsid w:val="00682107"/>
    <w:rsid w:val="00694160"/>
    <w:rsid w:val="006B260E"/>
    <w:rsid w:val="006B3939"/>
    <w:rsid w:val="006C43F8"/>
    <w:rsid w:val="006D5488"/>
    <w:rsid w:val="006D7049"/>
    <w:rsid w:val="00702333"/>
    <w:rsid w:val="00705161"/>
    <w:rsid w:val="00741A39"/>
    <w:rsid w:val="0075371E"/>
    <w:rsid w:val="00753F18"/>
    <w:rsid w:val="00780F08"/>
    <w:rsid w:val="00781DE7"/>
    <w:rsid w:val="007A4670"/>
    <w:rsid w:val="007B07B2"/>
    <w:rsid w:val="007B0CFD"/>
    <w:rsid w:val="007B32CE"/>
    <w:rsid w:val="007C27E0"/>
    <w:rsid w:val="007D1185"/>
    <w:rsid w:val="007D1FD7"/>
    <w:rsid w:val="007F06DF"/>
    <w:rsid w:val="008138AD"/>
    <w:rsid w:val="00836F3E"/>
    <w:rsid w:val="00853C09"/>
    <w:rsid w:val="00864C1A"/>
    <w:rsid w:val="0092739E"/>
    <w:rsid w:val="009508D1"/>
    <w:rsid w:val="00957A62"/>
    <w:rsid w:val="00963238"/>
    <w:rsid w:val="009655B4"/>
    <w:rsid w:val="009737AE"/>
    <w:rsid w:val="00980F79"/>
    <w:rsid w:val="00982FE8"/>
    <w:rsid w:val="009C064B"/>
    <w:rsid w:val="009D4322"/>
    <w:rsid w:val="009F43A6"/>
    <w:rsid w:val="00A110F9"/>
    <w:rsid w:val="00A53D4B"/>
    <w:rsid w:val="00A618FC"/>
    <w:rsid w:val="00A71EC6"/>
    <w:rsid w:val="00A82CD3"/>
    <w:rsid w:val="00A91FDE"/>
    <w:rsid w:val="00AC1A97"/>
    <w:rsid w:val="00B0378B"/>
    <w:rsid w:val="00B518DC"/>
    <w:rsid w:val="00B72F77"/>
    <w:rsid w:val="00BD29EC"/>
    <w:rsid w:val="00BE2C5D"/>
    <w:rsid w:val="00BE415C"/>
    <w:rsid w:val="00C47A4A"/>
    <w:rsid w:val="00C515AF"/>
    <w:rsid w:val="00C65CB2"/>
    <w:rsid w:val="00C8596F"/>
    <w:rsid w:val="00C90708"/>
    <w:rsid w:val="00C95AB2"/>
    <w:rsid w:val="00CA1CB1"/>
    <w:rsid w:val="00CA53CA"/>
    <w:rsid w:val="00CB7240"/>
    <w:rsid w:val="00CF21BA"/>
    <w:rsid w:val="00D05466"/>
    <w:rsid w:val="00D2619D"/>
    <w:rsid w:val="00DA19D7"/>
    <w:rsid w:val="00DC18AA"/>
    <w:rsid w:val="00E123F7"/>
    <w:rsid w:val="00E21B43"/>
    <w:rsid w:val="00E27922"/>
    <w:rsid w:val="00E33CA8"/>
    <w:rsid w:val="00E559F9"/>
    <w:rsid w:val="00E90BD4"/>
    <w:rsid w:val="00E95C02"/>
    <w:rsid w:val="00EA206F"/>
    <w:rsid w:val="00EB362A"/>
    <w:rsid w:val="00EB389E"/>
    <w:rsid w:val="00EE0900"/>
    <w:rsid w:val="00F07B76"/>
    <w:rsid w:val="00F374B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u w:val="single"/>
    </w:rPr>
  </w:style>
  <w:style w:type="table" w:customStyle="1" w:styleId="ad">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imes New Roman"/>
      <w:sz w:val="20"/>
      <w:szCs w:val="20"/>
      <w:lang w:val="en-GB" w:eastAsia="zh-CN"/>
    </w:rPr>
  </w:style>
  <w:style w:type="character" w:customStyle="1" w:styleId="af3">
    <w:name w:val="Текст примечания Знак"/>
    <w:basedOn w:val="a0"/>
    <w:link w:val="af2"/>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paragraph" w:customStyle="1" w:styleId="MGTHeader">
    <w:name w:val="M.G+T.Header"/>
    <w:basedOn w:val="a"/>
    <w:link w:val="MGTHeaderChar"/>
    <w:qFormat/>
    <w:rsid w:val="007A4670"/>
    <w:pPr>
      <w:shd w:val="clear" w:color="auto" w:fill="F5F5F5"/>
      <w:spacing w:after="100" w:line="240" w:lineRule="auto"/>
      <w:jc w:val="left"/>
      <w:outlineLvl w:val="4"/>
    </w:pPr>
    <w:rPr>
      <w:rFonts w:ascii="Calibri" w:eastAsia="Times New Roman" w:hAnsi="Calibri"/>
      <w:color w:val="333333"/>
      <w:sz w:val="21"/>
      <w:szCs w:val="21"/>
      <w:lang w:val="en-GB" w:eastAsia="en-GB"/>
    </w:rPr>
  </w:style>
  <w:style w:type="character" w:customStyle="1" w:styleId="MGTHeaderChar">
    <w:name w:val="M.G+T.Header Char"/>
    <w:basedOn w:val="a0"/>
    <w:link w:val="MGTHeader"/>
    <w:rsid w:val="007A4670"/>
    <w:rPr>
      <w:rFonts w:eastAsia="Times New Roman" w:cs="Times New Roman"/>
      <w:color w:val="333333"/>
      <w:sz w:val="21"/>
      <w:szCs w:val="21"/>
      <w:shd w:val="clear" w:color="auto" w:fill="F5F5F5"/>
      <w:lang w:val="en-GB" w:eastAsia="en-GB"/>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c.org/en/doc/assets/files/other/irrc-873-vite.pdf" TargetMode="External"/><Relationship Id="rId13" Type="http://schemas.openxmlformats.org/officeDocument/2006/relationships/hyperlink" Target="https://icd.who.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dc.org/unodc/en/data-and-analysis/statistics/icc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rc.org/en/document/weapons" TargetMode="External"/><Relationship Id="rId5" Type="http://schemas.openxmlformats.org/officeDocument/2006/relationships/webSettings" Target="webSettings.xml"/><Relationship Id="rId15" Type="http://schemas.openxmlformats.org/officeDocument/2006/relationships/hyperlink" Target="https://www.ohchr.org/Documents/Countries/SY/HRDAGUpdatedReportAug2014.pdf" TargetMode="External"/><Relationship Id="rId10" Type="http://schemas.openxmlformats.org/officeDocument/2006/relationships/hyperlink" Target="http://rcrcconference.org/wp-content/uploads/2015/10/32IC-Report-on-IHL-and-challenges-of-armed-conflicts.pdf" TargetMode="External"/><Relationship Id="rId4" Type="http://schemas.openxmlformats.org/officeDocument/2006/relationships/settings" Target="settings.xml"/><Relationship Id="rId9" Type="http://schemas.openxmlformats.org/officeDocument/2006/relationships/hyperlink" Target="https://www.icrc.org/en/doc/resources/documents/article/other/armed-conflict-article-170308.htm" TargetMode="External"/><Relationship Id="rId14" Type="http://schemas.openxmlformats.org/officeDocument/2006/relationships/hyperlink" Target="http://www.ohchr.org/EN/Issues/Indicators/Pages/HRIndicatorsIndex.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4437-22DC-41C8-9B71-ED30F5ED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20039</CharactersWithSpaces>
  <SharedDoc>false</SharedDoc>
  <HLinks>
    <vt:vector size="48" baseType="variant">
      <vt:variant>
        <vt:i4>2359349</vt:i4>
      </vt:variant>
      <vt:variant>
        <vt:i4>21</vt:i4>
      </vt:variant>
      <vt:variant>
        <vt:i4>0</vt:i4>
      </vt:variant>
      <vt:variant>
        <vt:i4>5</vt:i4>
      </vt:variant>
      <vt:variant>
        <vt:lpwstr>https://www.ohchr.org/Documents/Countries/SY/HRDAGUpdatedReportAug2014.pdf</vt:lpwstr>
      </vt:variant>
      <vt:variant>
        <vt:lpwstr/>
      </vt:variant>
      <vt:variant>
        <vt:i4>2621543</vt:i4>
      </vt:variant>
      <vt:variant>
        <vt:i4>18</vt:i4>
      </vt:variant>
      <vt:variant>
        <vt:i4>0</vt:i4>
      </vt:variant>
      <vt:variant>
        <vt:i4>5</vt:i4>
      </vt:variant>
      <vt:variant>
        <vt:lpwstr>http://www.ohchr.org/EN/Issues/Indicators/Pages/HRIndicatorsIndex.aspx</vt:lpwstr>
      </vt:variant>
      <vt:variant>
        <vt:lpwstr/>
      </vt:variant>
      <vt:variant>
        <vt:i4>5963848</vt:i4>
      </vt:variant>
      <vt:variant>
        <vt:i4>15</vt:i4>
      </vt:variant>
      <vt:variant>
        <vt:i4>0</vt:i4>
      </vt:variant>
      <vt:variant>
        <vt:i4>5</vt:i4>
      </vt:variant>
      <vt:variant>
        <vt:lpwstr>https://icd.who.int/</vt:lpwstr>
      </vt:variant>
      <vt:variant>
        <vt:lpwstr/>
      </vt:variant>
      <vt:variant>
        <vt:i4>5242881</vt:i4>
      </vt:variant>
      <vt:variant>
        <vt:i4>12</vt:i4>
      </vt:variant>
      <vt:variant>
        <vt:i4>0</vt:i4>
      </vt:variant>
      <vt:variant>
        <vt:i4>5</vt:i4>
      </vt:variant>
      <vt:variant>
        <vt:lpwstr>https://www.unodc.org/unodc/en/data-and-analysis/statistics/iccs.html</vt:lpwstr>
      </vt:variant>
      <vt:variant>
        <vt:lpwstr/>
      </vt:variant>
      <vt:variant>
        <vt:i4>720918</vt:i4>
      </vt:variant>
      <vt:variant>
        <vt:i4>9</vt:i4>
      </vt:variant>
      <vt:variant>
        <vt:i4>0</vt:i4>
      </vt:variant>
      <vt:variant>
        <vt:i4>5</vt:i4>
      </vt:variant>
      <vt:variant>
        <vt:lpwstr>https://www.icrc.org/en/document/weapons</vt:lpwstr>
      </vt:variant>
      <vt:variant>
        <vt:lpwstr/>
      </vt:variant>
      <vt:variant>
        <vt:i4>5439515</vt:i4>
      </vt:variant>
      <vt:variant>
        <vt:i4>6</vt:i4>
      </vt:variant>
      <vt:variant>
        <vt:i4>0</vt:i4>
      </vt:variant>
      <vt:variant>
        <vt:i4>5</vt:i4>
      </vt:variant>
      <vt:variant>
        <vt:lpwstr>http://rcrcconference.org/wp-content/uploads/2015/10/32IC-Report-on-IHL-and-challenges-of-armed-conflicts.pdf</vt:lpwstr>
      </vt:variant>
      <vt:variant>
        <vt:lpwstr/>
      </vt:variant>
      <vt:variant>
        <vt:i4>7078013</vt:i4>
      </vt:variant>
      <vt:variant>
        <vt:i4>3</vt:i4>
      </vt:variant>
      <vt:variant>
        <vt:i4>0</vt:i4>
      </vt:variant>
      <vt:variant>
        <vt:i4>5</vt:i4>
      </vt:variant>
      <vt:variant>
        <vt:lpwstr>https://www.icrc.org/en/doc/resources/documents/article/other/armed-conflict-article-170308.htm</vt:lpwstr>
      </vt:variant>
      <vt:variant>
        <vt:lpwstr/>
      </vt:variant>
      <vt:variant>
        <vt:i4>1376327</vt:i4>
      </vt:variant>
      <vt:variant>
        <vt:i4>0</vt:i4>
      </vt:variant>
      <vt:variant>
        <vt:i4>0</vt:i4>
      </vt:variant>
      <vt:variant>
        <vt:i4>5</vt:i4>
      </vt:variant>
      <vt:variant>
        <vt:lpwstr>https://www.icrc.org/en/doc/assets/files/other/irrc-873-vite.pdf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2023-02-02T04:40:00Z</dcterms:created>
  <dcterms:modified xsi:type="dcterms:W3CDTF">2023-02-02T04:40:00Z</dcterms:modified>
</cp:coreProperties>
</file>