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BC" w:rsidRPr="00BD29EC" w:rsidRDefault="003143BC" w:rsidP="007872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Метаданные показателя ЦУР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(Гармонизированный шаблон метаданных - версия формата 1.0)</w:t>
      </w:r>
    </w:p>
    <w:p w:rsidR="003143BC" w:rsidRPr="00A343D5" w:rsidRDefault="003143BC" w:rsidP="00393B97">
      <w:pPr>
        <w:pStyle w:val="ac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a</w:t>
      </w:r>
      <w:r w:rsidRPr="00A343D5">
        <w:rPr>
          <w:rFonts w:eastAsia="Arial Unicode MS"/>
          <w:b/>
          <w:szCs w:val="24"/>
          <w:bdr w:val="nil"/>
          <w:lang w:eastAsia="ru-RU"/>
        </w:rPr>
        <w:t>. Цель</w:t>
      </w:r>
    </w:p>
    <w:p w:rsidR="00067E3E" w:rsidRPr="0020339C" w:rsidRDefault="00780F08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 w:rsidRPr="00A343D5">
        <w:rPr>
          <w:rFonts w:eastAsia="Arial Unicode MS"/>
          <w:szCs w:val="24"/>
          <w:bdr w:val="nil"/>
          <w:lang w:eastAsia="ru-RU"/>
        </w:rPr>
        <w:t xml:space="preserve">Цель </w:t>
      </w:r>
      <w:r w:rsidR="00935B97">
        <w:rPr>
          <w:rFonts w:eastAsia="Arial Unicode MS"/>
          <w:szCs w:val="24"/>
          <w:bdr w:val="nil"/>
          <w:lang w:eastAsia="ru-RU"/>
        </w:rPr>
        <w:t>1</w:t>
      </w:r>
      <w:r w:rsidR="00147D02" w:rsidRPr="00147D02">
        <w:rPr>
          <w:rFonts w:eastAsia="Arial Unicode MS"/>
          <w:szCs w:val="24"/>
          <w:bdr w:val="nil"/>
          <w:lang w:eastAsia="ru-RU"/>
        </w:rPr>
        <w:t>2</w:t>
      </w:r>
      <w:r w:rsidRPr="00A343D5">
        <w:rPr>
          <w:rFonts w:eastAsia="Arial Unicode MS"/>
          <w:szCs w:val="24"/>
          <w:bdr w:val="nil"/>
          <w:lang w:eastAsia="ru-RU"/>
        </w:rPr>
        <w:t xml:space="preserve">: </w:t>
      </w:r>
      <w:r w:rsidR="00147D02" w:rsidRPr="00147D02">
        <w:t>Обеспечение перехода к рациональным моделям потребления и производства</w:t>
      </w:r>
    </w:p>
    <w:p w:rsidR="003143BC" w:rsidRPr="00A343D5" w:rsidRDefault="003143BC" w:rsidP="001674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b</w:t>
      </w:r>
      <w:r w:rsidRPr="00A343D5">
        <w:rPr>
          <w:rFonts w:eastAsia="Arial Unicode MS"/>
          <w:b/>
          <w:szCs w:val="24"/>
          <w:bdr w:val="nil"/>
          <w:lang w:eastAsia="ru-RU"/>
        </w:rPr>
        <w:t>. Задача</w:t>
      </w:r>
    </w:p>
    <w:p w:rsidR="002F63E5" w:rsidRPr="00F8384B" w:rsidRDefault="00935B97" w:rsidP="00A343D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>
        <w:rPr>
          <w:szCs w:val="24"/>
        </w:rPr>
        <w:t>1</w:t>
      </w:r>
      <w:r w:rsidR="00147D02" w:rsidRPr="00147D02">
        <w:rPr>
          <w:szCs w:val="24"/>
        </w:rPr>
        <w:t>2</w:t>
      </w:r>
      <w:r w:rsidR="00780F08" w:rsidRPr="00A343D5">
        <w:rPr>
          <w:szCs w:val="24"/>
        </w:rPr>
        <w:t>.</w:t>
      </w:r>
      <w:r w:rsidR="00F8384B" w:rsidRPr="00F8384B">
        <w:rPr>
          <w:szCs w:val="24"/>
        </w:rPr>
        <w:t>5</w:t>
      </w:r>
      <w:r w:rsidR="00780F08" w:rsidRPr="00A343D5">
        <w:rPr>
          <w:szCs w:val="24"/>
        </w:rPr>
        <w:t xml:space="preserve">.  </w:t>
      </w:r>
      <w:r w:rsidR="00F8384B" w:rsidRPr="00F8384B">
        <w:rPr>
          <w:szCs w:val="24"/>
        </w:rPr>
        <w:t>К 2030 году существенно уменьшить объем отходов путем принятия мер по предотвращению их образования, их сокращению, переработке и повторному использованию.</w:t>
      </w:r>
    </w:p>
    <w:p w:rsidR="003143BC" w:rsidRPr="00A343D5" w:rsidRDefault="003143BC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0.с. Показатель</w:t>
      </w:r>
    </w:p>
    <w:p w:rsidR="00067E3E" w:rsidRPr="00F8384B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szCs w:val="24"/>
        </w:rPr>
      </w:pPr>
      <w:r w:rsidRPr="00A343D5">
        <w:rPr>
          <w:szCs w:val="24"/>
        </w:rPr>
        <w:t xml:space="preserve">Показатель </w:t>
      </w:r>
      <w:r w:rsidR="00935B97">
        <w:rPr>
          <w:szCs w:val="24"/>
        </w:rPr>
        <w:t>1</w:t>
      </w:r>
      <w:r w:rsidR="00147D02" w:rsidRPr="00147D02">
        <w:rPr>
          <w:szCs w:val="24"/>
        </w:rPr>
        <w:t>2</w:t>
      </w:r>
      <w:r w:rsidR="00780F08" w:rsidRPr="00A343D5">
        <w:rPr>
          <w:szCs w:val="24"/>
        </w:rPr>
        <w:t>.</w:t>
      </w:r>
      <w:r w:rsidR="00F8384B" w:rsidRPr="00F8384B">
        <w:rPr>
          <w:szCs w:val="24"/>
        </w:rPr>
        <w:t>5</w:t>
      </w:r>
      <w:r w:rsidR="00465587">
        <w:rPr>
          <w:szCs w:val="24"/>
        </w:rPr>
        <w:t>.</w:t>
      </w:r>
      <w:r w:rsidR="00067E3E" w:rsidRPr="00067E3E">
        <w:rPr>
          <w:szCs w:val="24"/>
        </w:rPr>
        <w:t>1</w:t>
      </w:r>
      <w:r w:rsidR="006677B0">
        <w:rPr>
          <w:szCs w:val="24"/>
        </w:rPr>
        <w:t>.</w:t>
      </w:r>
      <w:r w:rsidR="00F8384B" w:rsidRPr="00F8384B">
        <w:rPr>
          <w:szCs w:val="24"/>
        </w:rPr>
        <w:t>Национальный уровень переработки отходов, масса утилизированных материалов в тоннах.</w:t>
      </w:r>
    </w:p>
    <w:p w:rsidR="003143BC" w:rsidRDefault="003143BC" w:rsidP="006677B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d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</w:t>
      </w:r>
      <w:r w:rsidR="00A41B68" w:rsidRPr="00A343D5">
        <w:rPr>
          <w:rFonts w:eastAsia="Arial Unicode MS"/>
          <w:b/>
          <w:szCs w:val="24"/>
          <w:bdr w:val="nil"/>
          <w:lang w:eastAsia="ru-RU"/>
        </w:rPr>
        <w:t>Ряд</w:t>
      </w:r>
      <w:r w:rsidR="00704A8D" w:rsidRPr="00A343D5">
        <w:rPr>
          <w:rFonts w:eastAsia="Arial Unicode MS"/>
          <w:b/>
          <w:szCs w:val="24"/>
          <w:bdr w:val="nil"/>
          <w:lang w:eastAsia="ru-RU"/>
        </w:rPr>
        <w:t xml:space="preserve"> данных</w:t>
      </w:r>
    </w:p>
    <w:p w:rsidR="002540B1" w:rsidRPr="002540B1" w:rsidRDefault="002540B1" w:rsidP="002540B1">
      <w:pPr>
        <w:pStyle w:val="a0"/>
        <w:rPr>
          <w:lang w:eastAsia="ru-RU"/>
        </w:rPr>
      </w:pPr>
    </w:p>
    <w:p w:rsidR="00C8596F" w:rsidRPr="00A343D5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e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Обновление данных </w:t>
      </w:r>
    </w:p>
    <w:p w:rsidR="00C8596F" w:rsidRPr="00A343D5" w:rsidRDefault="00F212F5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szCs w:val="24"/>
          <w:bdr w:val="nil"/>
          <w:lang w:eastAsia="ru-RU"/>
        </w:rPr>
      </w:pPr>
      <w:r w:rsidRPr="007655D4">
        <w:rPr>
          <w:rFonts w:eastAsia="Arial Unicode MS"/>
          <w:szCs w:val="24"/>
          <w:bdr w:val="nil"/>
          <w:lang w:eastAsia="ru-RU"/>
        </w:rPr>
        <w:t>4</w:t>
      </w:r>
      <w:r w:rsidR="00147D02">
        <w:rPr>
          <w:rFonts w:eastAsia="Arial Unicode MS"/>
          <w:szCs w:val="24"/>
          <w:bdr w:val="nil"/>
          <w:lang w:eastAsia="ru-RU"/>
        </w:rPr>
        <w:t>Февраля</w:t>
      </w:r>
      <w:r w:rsidR="008501F4">
        <w:rPr>
          <w:rFonts w:eastAsia="Arial Unicode MS"/>
          <w:szCs w:val="24"/>
          <w:bdr w:val="nil"/>
          <w:lang w:eastAsia="ru-RU"/>
        </w:rPr>
        <w:t xml:space="preserve"> 2021</w:t>
      </w:r>
    </w:p>
    <w:p w:rsidR="00C8596F" w:rsidRDefault="00C8596F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b/>
          <w:szCs w:val="24"/>
          <w:bdr w:val="nil"/>
          <w:lang w:eastAsia="ru-RU"/>
        </w:rPr>
      </w:pPr>
      <w:r w:rsidRPr="00A343D5">
        <w:rPr>
          <w:rFonts w:eastAsia="Arial Unicode MS"/>
          <w:b/>
          <w:szCs w:val="24"/>
          <w:bdr w:val="nil"/>
          <w:lang w:eastAsia="ru-RU"/>
        </w:rPr>
        <w:t>0.</w:t>
      </w:r>
      <w:r w:rsidRPr="00A343D5">
        <w:rPr>
          <w:rFonts w:eastAsia="Arial Unicode MS"/>
          <w:b/>
          <w:szCs w:val="24"/>
          <w:bdr w:val="nil"/>
          <w:lang w:val="en-US" w:eastAsia="ru-RU"/>
        </w:rPr>
        <w:t>f</w:t>
      </w:r>
      <w:r w:rsidRPr="00A343D5">
        <w:rPr>
          <w:rFonts w:eastAsia="Arial Unicode MS"/>
          <w:b/>
          <w:szCs w:val="24"/>
          <w:bdr w:val="nil"/>
          <w:lang w:eastAsia="ru-RU"/>
        </w:rPr>
        <w:t xml:space="preserve">. Связанные показатели </w:t>
      </w:r>
    </w:p>
    <w:p w:rsidR="00A91FDE" w:rsidRPr="008501F4" w:rsidRDefault="00032707" w:rsidP="00A343D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/>
          <w:szCs w:val="24"/>
          <w:bdr w:val="nil"/>
          <w:lang w:eastAsia="ru-RU"/>
        </w:rPr>
      </w:pPr>
      <w:r>
        <w:rPr>
          <w:rStyle w:val="tlid-translation"/>
          <w:szCs w:val="24"/>
        </w:rPr>
        <w:t xml:space="preserve">Показатели </w:t>
      </w:r>
      <w:r w:rsidR="00F212F5" w:rsidRPr="00F212F5">
        <w:rPr>
          <w:rStyle w:val="tlid-translation"/>
          <w:szCs w:val="24"/>
        </w:rPr>
        <w:t>11.6.1, 12.4.2, 12.3.1(a)</w:t>
      </w:r>
      <w:r w:rsidR="00F212F5" w:rsidRPr="00F212F5">
        <w:rPr>
          <w:rStyle w:val="tlid-translation"/>
          <w:szCs w:val="24"/>
        </w:rPr>
        <w:cr/>
      </w:r>
      <w:r w:rsidR="00E33CA8" w:rsidRPr="00A343D5">
        <w:rPr>
          <w:rFonts w:eastAsia="Arial Unicode MS"/>
          <w:b/>
          <w:szCs w:val="24"/>
          <w:bdr w:val="nil"/>
          <w:lang w:eastAsia="ru-RU"/>
        </w:rPr>
        <w:t>0.</w:t>
      </w:r>
      <w:r w:rsidR="00E33CA8" w:rsidRPr="00A343D5">
        <w:rPr>
          <w:rFonts w:eastAsia="Arial Unicode MS"/>
          <w:b/>
          <w:szCs w:val="24"/>
          <w:bdr w:val="nil"/>
          <w:lang w:val="en-US" w:eastAsia="ru-RU"/>
        </w:rPr>
        <w:t>g</w:t>
      </w:r>
      <w:r w:rsidR="00E33CA8" w:rsidRPr="00A343D5">
        <w:rPr>
          <w:rFonts w:eastAsia="Arial Unicode MS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032707" w:rsidRPr="00F212F5" w:rsidRDefault="00032707" w:rsidP="00032707"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032707">
        <w:t>Программа ООН по окружающей среде (ЮНЕП)</w:t>
      </w:r>
      <w:r w:rsidR="00F212F5">
        <w:t xml:space="preserve">и </w:t>
      </w:r>
      <w:r w:rsidR="00F212F5" w:rsidRPr="00F212F5">
        <w:t>Статистический отдел ООН (СОООН)</w:t>
      </w:r>
    </w:p>
    <w:p w:rsidR="00957A62" w:rsidRPr="00162B33" w:rsidRDefault="00957A62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162B33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162B33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162B33" w:rsidRPr="00162B33" w:rsidRDefault="00957A62" w:rsidP="00162B33">
      <w:r w:rsidRPr="00162B33">
        <w:t>1.a. Организация</w:t>
      </w:r>
    </w:p>
    <w:p w:rsidR="00F212F5" w:rsidRDefault="00F212F5" w:rsidP="00F212F5">
      <w:pPr>
        <w:rPr>
          <w:rStyle w:val="tlid-translation"/>
          <w:szCs w:val="24"/>
        </w:rPr>
      </w:pPr>
      <w:r w:rsidRPr="00F212F5">
        <w:rPr>
          <w:rStyle w:val="tlid-translation"/>
          <w:szCs w:val="24"/>
        </w:rPr>
        <w:t>Программа ООН по окружающей среде (ЮНЕП) и Статистический отдел ООН (СОООН)</w:t>
      </w:r>
    </w:p>
    <w:p w:rsidR="0018458D" w:rsidRPr="0053082C" w:rsidRDefault="00957A62" w:rsidP="0018458D">
      <w:pPr>
        <w:pStyle w:val="MHeader"/>
        <w:rPr>
          <w:b/>
          <w:color w:val="auto"/>
          <w:sz w:val="24"/>
          <w:lang w:val="ru-RU"/>
        </w:rPr>
      </w:pPr>
      <w:r w:rsidRPr="0053082C">
        <w:rPr>
          <w:b/>
          <w:color w:val="auto"/>
          <w:sz w:val="24"/>
          <w:lang w:val="ru-RU"/>
        </w:rPr>
        <w:t xml:space="preserve">2. Определения, </w:t>
      </w:r>
      <w:r w:rsidR="00A41B68" w:rsidRPr="0053082C">
        <w:rPr>
          <w:b/>
          <w:color w:val="auto"/>
          <w:sz w:val="24"/>
          <w:lang w:val="ru-RU"/>
        </w:rPr>
        <w:t>понятия</w:t>
      </w:r>
      <w:r w:rsidRPr="0053082C">
        <w:rPr>
          <w:b/>
          <w:color w:val="auto"/>
          <w:sz w:val="24"/>
          <w:lang w:val="ru-RU"/>
        </w:rPr>
        <w:t xml:space="preserve"> и классификации</w:t>
      </w:r>
    </w:p>
    <w:p w:rsidR="004C5B65" w:rsidRDefault="004C5B65" w:rsidP="004C5B65">
      <w:r>
        <w:t>Определения:</w:t>
      </w:r>
    </w:p>
    <w:p w:rsidR="00F44343" w:rsidRDefault="004C5B65" w:rsidP="004C5B65">
      <w:r>
        <w:t>Для целей этого показателя национальный коэффициент переработки будет определяться как количество материала, переработанного в стране, плюс количества, экспортированн</w:t>
      </w:r>
      <w:r w:rsidR="006C3D0C">
        <w:t>ого</w:t>
      </w:r>
      <w:r>
        <w:t xml:space="preserve"> для переработки, из общего объема отходов, образующихся в стране, за вычетом импортированного материала, предназначенного для переработки. Обратите внимание, что</w:t>
      </w:r>
      <w:r w:rsidR="00D86D78">
        <w:t xml:space="preserve"> переработка включает</w:t>
      </w:r>
      <w:r>
        <w:t xml:space="preserve"> переваривание / анаэробное сбраживание и компостирование / аэробный процесс, но не регулируемое сжигание или внесение в землю.</w:t>
      </w:r>
    </w:p>
    <w:tbl>
      <w:tblPr>
        <w:tblW w:w="9326" w:type="dxa"/>
        <w:jc w:val="center"/>
        <w:tblBorders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insideH w:val="single" w:sz="8" w:space="0" w:color="2D75B6"/>
          <w:insideV w:val="single" w:sz="6" w:space="0" w:color="4F81BD"/>
        </w:tblBorders>
        <w:tblLook w:val="04A0"/>
      </w:tblPr>
      <w:tblGrid>
        <w:gridCol w:w="4014"/>
        <w:gridCol w:w="5312"/>
      </w:tblGrid>
      <w:tr w:rsidR="00AC50FA" w:rsidRPr="00D45782" w:rsidTr="00D45782">
        <w:trPr>
          <w:jc w:val="center"/>
        </w:trPr>
        <w:tc>
          <w:tcPr>
            <w:tcW w:w="9326" w:type="dxa"/>
            <w:gridSpan w:val="2"/>
            <w:tcBorders>
              <w:bottom w:val="single" w:sz="8" w:space="0" w:color="2D75B6"/>
            </w:tcBorders>
            <w:shd w:val="clear" w:color="auto" w:fill="95B3D7"/>
          </w:tcPr>
          <w:p w:rsidR="00AC50FA" w:rsidRPr="00D45782" w:rsidRDefault="00AC50FA" w:rsidP="00D45782">
            <w:pPr>
              <w:spacing w:line="240" w:lineRule="auto"/>
              <w:rPr>
                <w:b/>
                <w:color w:val="4F81BD"/>
                <w:sz w:val="22"/>
              </w:rPr>
            </w:pPr>
            <w:r w:rsidRPr="00D45782">
              <w:rPr>
                <w:b/>
                <w:color w:val="000000"/>
                <w:sz w:val="22"/>
              </w:rPr>
              <w:t>Уровень 1 Индикаторы</w:t>
            </w:r>
          </w:p>
        </w:tc>
      </w:tr>
      <w:tr w:rsidR="00AC50FA" w:rsidRPr="00D45782" w:rsidTr="00D45782">
        <w:trPr>
          <w:jc w:val="center"/>
        </w:trPr>
        <w:tc>
          <w:tcPr>
            <w:tcW w:w="4014" w:type="dxa"/>
            <w:tcBorders>
              <w:top w:val="single" w:sz="8" w:space="0" w:color="2D75B6"/>
              <w:bottom w:val="single" w:sz="8" w:space="0" w:color="2D75B6"/>
              <w:right w:val="single" w:sz="8" w:space="0" w:color="2D75B6"/>
            </w:tcBorders>
          </w:tcPr>
          <w:p w:rsidR="00AC50FA" w:rsidRPr="00D45782" w:rsidRDefault="00AC50FA" w:rsidP="00D45782">
            <w:pPr>
              <w:spacing w:line="240" w:lineRule="auto"/>
              <w:rPr>
                <w:i/>
                <w:color w:val="5B9BD6"/>
                <w:sz w:val="22"/>
              </w:rPr>
            </w:pPr>
            <w:r w:rsidRPr="00D45782">
              <w:rPr>
                <w:i/>
                <w:color w:val="5B9BD6"/>
                <w:sz w:val="22"/>
              </w:rPr>
              <w:t>Национальная скорость переработки</w:t>
            </w:r>
          </w:p>
        </w:tc>
        <w:tc>
          <w:tcPr>
            <w:tcW w:w="5312" w:type="dxa"/>
            <w:tcBorders>
              <w:top w:val="single" w:sz="8" w:space="0" w:color="2D75B6"/>
              <w:left w:val="single" w:sz="8" w:space="0" w:color="2D75B6"/>
              <w:bottom w:val="single" w:sz="8" w:space="0" w:color="2D75B6"/>
            </w:tcBorders>
          </w:tcPr>
          <w:p w:rsidR="00AC50FA" w:rsidRPr="00D45782" w:rsidRDefault="00AC50FA" w:rsidP="00D45782">
            <w:pPr>
              <w:spacing w:line="240" w:lineRule="auto"/>
              <w:rPr>
                <w:sz w:val="22"/>
              </w:rPr>
            </w:pPr>
            <w:r w:rsidRPr="00D45782">
              <w:rPr>
                <w:sz w:val="22"/>
              </w:rPr>
              <w:t>(Вторичный материал + материал, экспортированный для вторичной переработки - материал, импортированный для вторичной переработки) / общее количество образовавшихся отходов</w:t>
            </w:r>
          </w:p>
          <w:p w:rsidR="00AC50FA" w:rsidRPr="00D45782" w:rsidRDefault="00AC50FA" w:rsidP="00D45782">
            <w:pPr>
              <w:spacing w:line="240" w:lineRule="auto"/>
              <w:rPr>
                <w:sz w:val="22"/>
              </w:rPr>
            </w:pPr>
            <w:r w:rsidRPr="00D45782">
              <w:rPr>
                <w:sz w:val="22"/>
              </w:rPr>
              <w:t>(с заполнением пробелов для региональных и глобальных агрегатов)</w:t>
            </w:r>
          </w:p>
        </w:tc>
      </w:tr>
      <w:tr w:rsidR="00AC50FA" w:rsidRPr="00D45782" w:rsidTr="00D45782">
        <w:trPr>
          <w:jc w:val="center"/>
        </w:trPr>
        <w:tc>
          <w:tcPr>
            <w:tcW w:w="9326" w:type="dxa"/>
            <w:gridSpan w:val="2"/>
            <w:tcBorders>
              <w:bottom w:val="single" w:sz="8" w:space="0" w:color="2D75B6"/>
            </w:tcBorders>
            <w:shd w:val="clear" w:color="auto" w:fill="95B3D7"/>
          </w:tcPr>
          <w:p w:rsidR="00AC50FA" w:rsidRPr="00D45782" w:rsidRDefault="00AC50FA" w:rsidP="00D45782">
            <w:pPr>
              <w:spacing w:line="240" w:lineRule="auto"/>
              <w:rPr>
                <w:b/>
                <w:color w:val="4F81BD"/>
                <w:sz w:val="22"/>
              </w:rPr>
            </w:pPr>
            <w:r w:rsidRPr="00D45782">
              <w:rPr>
                <w:b/>
                <w:color w:val="000000"/>
                <w:sz w:val="22"/>
              </w:rPr>
              <w:t>Уровень 2 Индикаторы</w:t>
            </w:r>
          </w:p>
        </w:tc>
      </w:tr>
      <w:tr w:rsidR="00AC50FA" w:rsidRPr="00D45782" w:rsidTr="00D45782">
        <w:trPr>
          <w:jc w:val="center"/>
        </w:trPr>
        <w:tc>
          <w:tcPr>
            <w:tcW w:w="4014" w:type="dxa"/>
            <w:tcBorders>
              <w:top w:val="single" w:sz="8" w:space="0" w:color="2D75B6"/>
              <w:bottom w:val="single" w:sz="8" w:space="0" w:color="2D75B6"/>
              <w:right w:val="single" w:sz="8" w:space="0" w:color="2D75B6"/>
            </w:tcBorders>
          </w:tcPr>
          <w:p w:rsidR="00AC50FA" w:rsidRPr="00D45782" w:rsidRDefault="00AC50FA" w:rsidP="00D45782">
            <w:pPr>
              <w:spacing w:line="240" w:lineRule="auto"/>
              <w:rPr>
                <w:i/>
                <w:color w:val="5B9BD6"/>
                <w:sz w:val="22"/>
              </w:rPr>
            </w:pPr>
            <w:r w:rsidRPr="00D45782">
              <w:rPr>
                <w:i/>
                <w:color w:val="5B9BD6"/>
                <w:sz w:val="22"/>
              </w:rPr>
              <w:t xml:space="preserve">Общее количество образовавшихся отходов (исключая строительство, </w:t>
            </w:r>
            <w:r w:rsidRPr="00D45782">
              <w:rPr>
                <w:i/>
                <w:color w:val="5B9BD6"/>
                <w:sz w:val="22"/>
              </w:rPr>
              <w:lastRenderedPageBreak/>
              <w:t>горнодобывающую промышленность и сельское хозяйство) по типу, включая электронные отходы</w:t>
            </w:r>
          </w:p>
        </w:tc>
        <w:tc>
          <w:tcPr>
            <w:tcW w:w="5312" w:type="dxa"/>
            <w:tcBorders>
              <w:top w:val="single" w:sz="8" w:space="0" w:color="2D75B6"/>
              <w:left w:val="single" w:sz="8" w:space="0" w:color="2D75B6"/>
              <w:bottom w:val="single" w:sz="8" w:space="0" w:color="2D75B6"/>
            </w:tcBorders>
          </w:tcPr>
          <w:p w:rsidR="00AC50FA" w:rsidRPr="00D45782" w:rsidRDefault="00AC50FA" w:rsidP="00D45782">
            <w:pPr>
              <w:spacing w:line="240" w:lineRule="auto"/>
              <w:rPr>
                <w:sz w:val="22"/>
              </w:rPr>
            </w:pPr>
            <w:r w:rsidRPr="00D45782">
              <w:rPr>
                <w:sz w:val="22"/>
              </w:rPr>
              <w:lastRenderedPageBreak/>
              <w:t>Это знаменатель рециркуляции и полезен для понимания задачи 12.5 по сокращению отходов.</w:t>
            </w:r>
          </w:p>
        </w:tc>
      </w:tr>
      <w:tr w:rsidR="00AC50FA" w:rsidRPr="00D45782" w:rsidTr="00D45782">
        <w:trPr>
          <w:jc w:val="center"/>
        </w:trPr>
        <w:tc>
          <w:tcPr>
            <w:tcW w:w="4014" w:type="dxa"/>
            <w:tcBorders>
              <w:top w:val="single" w:sz="8" w:space="0" w:color="2D75B6"/>
              <w:bottom w:val="single" w:sz="8" w:space="0" w:color="2D75B6"/>
              <w:right w:val="single" w:sz="8" w:space="0" w:color="2D75B6"/>
            </w:tcBorders>
          </w:tcPr>
          <w:p w:rsidR="00AC50FA" w:rsidRPr="00D45782" w:rsidRDefault="00AC50FA" w:rsidP="00D45782">
            <w:pPr>
              <w:spacing w:line="240" w:lineRule="auto"/>
              <w:rPr>
                <w:i/>
                <w:color w:val="5B9BD6"/>
                <w:sz w:val="22"/>
              </w:rPr>
            </w:pPr>
            <w:r w:rsidRPr="00D45782">
              <w:rPr>
                <w:i/>
                <w:color w:val="5B9BD6"/>
                <w:sz w:val="22"/>
              </w:rPr>
              <w:lastRenderedPageBreak/>
              <w:t>Национальный уровень рециркуляции по типу отходов, включая электронные отходы (другие возможные разукрупнения включают в себя металлы и отходы упаковки)</w:t>
            </w:r>
          </w:p>
        </w:tc>
        <w:tc>
          <w:tcPr>
            <w:tcW w:w="5312" w:type="dxa"/>
            <w:tcBorders>
              <w:top w:val="single" w:sz="8" w:space="0" w:color="2D75B6"/>
              <w:left w:val="single" w:sz="8" w:space="0" w:color="2D75B6"/>
              <w:bottom w:val="single" w:sz="8" w:space="0" w:color="2D75B6"/>
            </w:tcBorders>
          </w:tcPr>
          <w:p w:rsidR="00AC50FA" w:rsidRPr="00D45782" w:rsidRDefault="00AC50FA" w:rsidP="00D45782">
            <w:pPr>
              <w:spacing w:line="240" w:lineRule="auto"/>
              <w:rPr>
                <w:sz w:val="22"/>
              </w:rPr>
            </w:pPr>
            <w:r w:rsidRPr="00D45782">
              <w:rPr>
                <w:sz w:val="22"/>
              </w:rPr>
              <w:t>На основе национальных источников данных, в том числе с разбивкой по степени рециркуляции.</w:t>
            </w:r>
          </w:p>
        </w:tc>
      </w:tr>
    </w:tbl>
    <w:p w:rsidR="00AC50FA" w:rsidRPr="00AC50FA" w:rsidRDefault="00AC50FA" w:rsidP="00AC50FA">
      <w:pPr>
        <w:pStyle w:val="a0"/>
      </w:pPr>
    </w:p>
    <w:p w:rsidR="00AC50FA" w:rsidRPr="00AC50FA" w:rsidRDefault="00AC50FA" w:rsidP="00AC50FA">
      <w:r w:rsidRPr="00AC50FA">
        <w:t xml:space="preserve">Полная методология для этого индикатора </w:t>
      </w:r>
      <w:r w:rsidR="00810CA5">
        <w:t xml:space="preserve">будет </w:t>
      </w:r>
      <w:r w:rsidRPr="00AC50FA">
        <w:t>доступна в «Документ</w:t>
      </w:r>
      <w:r w:rsidR="006C3D0C">
        <w:t>е</w:t>
      </w:r>
      <w:r w:rsidRPr="00AC50FA">
        <w:t xml:space="preserve"> по обзору глобальных показателей по химическим веществам и отходам (ЮНЕП, готовится к печати)».</w:t>
      </w:r>
    </w:p>
    <w:p w:rsidR="00AC50FA" w:rsidRPr="00AC50FA" w:rsidRDefault="00AC50FA" w:rsidP="00AC50FA">
      <w:r w:rsidRPr="00AC50FA">
        <w:t xml:space="preserve">Понятия: </w:t>
      </w:r>
      <w:r w:rsidRPr="00AC50FA">
        <w:rPr>
          <w:i/>
        </w:rPr>
        <w:t>Вторичный материал</w:t>
      </w:r>
      <w:r>
        <w:t>- в</w:t>
      </w:r>
      <w:r w:rsidRPr="00AC50FA">
        <w:t>ыражается в тоннах, сообщается последним субъектом в цепочке переработки, предпочтительно, когда тонны материала покупаются в качестве вторичного ресурса для использования на производственных объектах в течение отчетного года; Исключаются вторичные минеральные материалы, используемые в строительном секторе; компостирование считается переработкой для целей этого показателя.</w:t>
      </w:r>
    </w:p>
    <w:p w:rsidR="00AC50FA" w:rsidRPr="00AC50FA" w:rsidRDefault="00AC50FA" w:rsidP="00AC50FA">
      <w:r w:rsidRPr="00AC50FA">
        <w:rPr>
          <w:i/>
        </w:rPr>
        <w:t>Твердые бытовые отходы (ТБО)</w:t>
      </w:r>
      <w:r w:rsidR="00810CA5">
        <w:t xml:space="preserve"> включают отходы </w:t>
      </w:r>
      <w:r w:rsidRPr="00AC50FA">
        <w:t>домашних хозяйств, коммер</w:t>
      </w:r>
      <w:r w:rsidR="00810CA5">
        <w:t>ческого сектора</w:t>
      </w:r>
      <w:r w:rsidRPr="00AC50FA">
        <w:t xml:space="preserve"> и торговли, малых предприятий, офисных зданий и учреждений (школ, больниц, правительственных зданий). Сюда также входят крупногабаритные отходы (например, старая мебель, матрасы) и отходы отдельных муниципальных служб, например, отходы от обслуживания парков и садов, отходы от услуг по уборке улиц (подметание улиц, содержимое контейнеров для мусора, отходы от уборки рынка), если</w:t>
      </w:r>
      <w:r w:rsidR="00810CA5">
        <w:t xml:space="preserve"> они</w:t>
      </w:r>
      <w:r w:rsidRPr="00AC50FA">
        <w:t xml:space="preserve"> обрабатыва</w:t>
      </w:r>
      <w:r>
        <w:t>ются</w:t>
      </w:r>
      <w:r w:rsidRPr="00AC50FA">
        <w:t xml:space="preserve"> как отходы. Дополнительная информация о твердых бытовых отходах определена в методологии показател</w:t>
      </w:r>
      <w:r w:rsidR="007655D4">
        <w:t>я</w:t>
      </w:r>
      <w:r w:rsidRPr="00AC50FA">
        <w:t xml:space="preserve"> ЦУР 11.6.1.</w:t>
      </w:r>
    </w:p>
    <w:p w:rsidR="00AC50FA" w:rsidRPr="00AC50FA" w:rsidRDefault="00AC50FA" w:rsidP="00AC50FA">
      <w:r w:rsidRPr="00AC50FA">
        <w:t>Переработка определяется в Вопроснике СОООН / ЮНЕП по статистике окружающей среды и далее для целей этих показателей как «</w:t>
      </w:r>
      <w:r w:rsidR="00810CA5" w:rsidRPr="00810CA5">
        <w:t>Любая переработка отходов [...], которая выводит их из потока отходов, за исключением повторного ис</w:t>
      </w:r>
      <w:r w:rsidR="00810CA5">
        <w:t>пользования в качестве топлива</w:t>
      </w:r>
      <w:r w:rsidR="00810CA5" w:rsidRPr="00810CA5">
        <w:t>. Следует включать как переработку в качестве одного и того же вида проду</w:t>
      </w:r>
      <w:r w:rsidR="00810CA5">
        <w:t>кта, так и для различных целей.</w:t>
      </w:r>
      <w:r w:rsidRPr="00AC50FA">
        <w:t xml:space="preserve"> Следует исключить переработку на промышленных предприятия</w:t>
      </w:r>
      <w:r w:rsidR="003141F4">
        <w:t>х, то есть на месте образования</w:t>
      </w:r>
      <w:r w:rsidR="00810CA5">
        <w:t>отдходов</w:t>
      </w:r>
      <w:r w:rsidRPr="00AC50FA">
        <w:t>».</w:t>
      </w:r>
    </w:p>
    <w:p w:rsidR="00AC50FA" w:rsidRPr="00AC50FA" w:rsidRDefault="00AC50FA" w:rsidP="00AC50FA">
      <w:r w:rsidRPr="00AC50FA">
        <w:t>В целях обеспечения соответствия отчетности Базельской конвенции и соответствия системе отчетности Евростата операции по рекуперации с R2 по R12, перечисленные в Приложении IV Базельской конвенции, должны рассматриваться как «переработка» в соответствии с отчетностью СОООН по опасным отходам.</w:t>
      </w:r>
    </w:p>
    <w:p w:rsidR="00AC50FA" w:rsidRPr="00AC50FA" w:rsidRDefault="00AC50FA" w:rsidP="00AC50FA">
      <w:r w:rsidRPr="00AC50FA">
        <w:t>Общее количество образовавшихся отходов - это общее количество отходов (как опасных, так и неопасных), образовавшихся в стране в течение года.</w:t>
      </w:r>
    </w:p>
    <w:p w:rsidR="00AC50FA" w:rsidRDefault="00AC50FA" w:rsidP="00AC50FA">
      <w:r w:rsidRPr="00AC50FA">
        <w:t xml:space="preserve">Общее количество образовавшихся отходов (исключая строительство, горнодобывающую промышленность и сельское хозяйство) - это общее количество отходов (как опасных, так и неопасных), образовавшихся в стране в течение года. Для целей данного индикатора общий объем образованных отходов будет включать твердые бытовые отходы, неопасные промышленные отходы, опасные отходы и не включать неметаллические полезные ископаемые (промышленные и строительные минералы), строительные отходы и </w:t>
      </w:r>
      <w:r w:rsidRPr="00AC50FA">
        <w:lastRenderedPageBreak/>
        <w:t>сельскохозяйственные отходы. Выражается в тоннах, как сумма отходов, образовавшихся в течение отчетного года в секторах согласно Вопроснику СОООН / ЮНЕП по статистике окружающей среды, Таблица R1 Образование отходов</w:t>
      </w:r>
      <w:r w:rsidR="00810CA5">
        <w:t xml:space="preserve"> по источникам, за исключением С</w:t>
      </w:r>
      <w:r w:rsidRPr="00AC50FA">
        <w:t xml:space="preserve">троительных отходов (код F 41-43 ISIC), </w:t>
      </w:r>
      <w:r w:rsidR="00810CA5">
        <w:t>Сельскохозяйственных</w:t>
      </w:r>
      <w:r w:rsidRPr="00AC50FA">
        <w:t xml:space="preserve"> отход</w:t>
      </w:r>
      <w:r w:rsidR="00810CA5">
        <w:t>ов</w:t>
      </w:r>
      <w:r w:rsidRPr="00AC50FA">
        <w:t xml:space="preserve"> (код ISIC A 01-03) и </w:t>
      </w:r>
      <w:r w:rsidR="00810CA5">
        <w:t>О</w:t>
      </w:r>
      <w:r w:rsidRPr="00AC50FA">
        <w:t>тход</w:t>
      </w:r>
      <w:r w:rsidR="00810CA5">
        <w:t xml:space="preserve">ов </w:t>
      </w:r>
      <w:r w:rsidRPr="00AC50FA">
        <w:t>горнодобывающей промышленности (ISIC 05-09).</w:t>
      </w:r>
    </w:p>
    <w:p w:rsidR="00407E4E" w:rsidRPr="006C10F0" w:rsidRDefault="00407E4E" w:rsidP="00C013D8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6C10F0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b</w:t>
      </w:r>
      <w:r w:rsidRPr="006C10F0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Единицаизмерения</w:t>
      </w:r>
    </w:p>
    <w:p w:rsidR="00F44343" w:rsidRDefault="003141F4" w:rsidP="00F44343">
      <w:r w:rsidRPr="003141F4">
        <w:t>Тонны, проценты, кг</w:t>
      </w:r>
      <w:r w:rsidR="00F44343" w:rsidRPr="00F44343">
        <w:t>.</w:t>
      </w:r>
    </w:p>
    <w:p w:rsidR="000A229E" w:rsidRPr="00067E3E" w:rsidRDefault="000A229E" w:rsidP="00F4434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067E3E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c</w:t>
      </w:r>
      <w:r w:rsidRPr="00067E3E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A343D5" w:rsidRDefault="000A229E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Источники данных</w:t>
      </w:r>
    </w:p>
    <w:p w:rsidR="003141F4" w:rsidRDefault="003141F4" w:rsidP="003141F4">
      <w:r w:rsidRPr="003141F4">
        <w:t>Данные предоставлены национальными правительствами, включая НСУ и министерства окружающей среды.</w:t>
      </w:r>
    </w:p>
    <w:p w:rsidR="00995788" w:rsidRPr="00A343D5" w:rsidRDefault="000A229E" w:rsidP="0059496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Метод сбора данных</w:t>
      </w:r>
    </w:p>
    <w:p w:rsidR="003141F4" w:rsidRDefault="003141F4" w:rsidP="003141F4">
      <w:r>
        <w:t xml:space="preserve">Учреждения-гаранты предлагают собирать национальные данные с помощью вопросника СОООН / ЮНЕП по статистике окружающей среды (раздел по отходам). СОООН проводит обширные процедуры проверки данных, которые включают встроенные автоматизированные процедуры, </w:t>
      </w:r>
      <w:r w:rsidR="007655D4">
        <w:t>проверки вручную</w:t>
      </w:r>
      <w:r>
        <w:t xml:space="preserve"> и перекрестные ссылки на национальные источн</w:t>
      </w:r>
      <w:r w:rsidR="00810CA5">
        <w:t>ики данных. Поддерживается связь</w:t>
      </w:r>
      <w:r>
        <w:t xml:space="preserve"> со странами для уточнения и проверки данных. Только данные, которые считаются точными или подтвержденны</w:t>
      </w:r>
      <w:r w:rsidR="007655D4">
        <w:t>ми</w:t>
      </w:r>
      <w:r>
        <w:t xml:space="preserve"> странами в процессе проверки, включаются в базу данных статистики окружающей среды СОООН и распространяются на веб-сайте СОООН (https://unstats.un.org/unsd/envstats/qindicators и https: // unstats. un.org/unsd/envstats/country_files).</w:t>
      </w:r>
    </w:p>
    <w:p w:rsidR="003141F4" w:rsidRDefault="003141F4" w:rsidP="003141F4">
      <w:r>
        <w:t>Кроме того, данные из отчетности Базельской конвенции также могут быть отправлены в страны для рассмотрения при составлении отчетов по ЦУР.</w:t>
      </w:r>
    </w:p>
    <w:p w:rsidR="003141F4" w:rsidRDefault="003141F4" w:rsidP="003141F4">
      <w:r>
        <w:t>Данные по странам ОЭСР и Европейского союза собираются с помощью двухгодичного Совместного вопросника ОЭСР / Евростата о состоянии окружающей среды, который соответствует Вопроснику СОООН / ЮНЕП, поэтому данные сопоставимы. (</w:t>
      </w:r>
      <w:hyperlink r:id="rId8" w:history="1">
        <w:r w:rsidRPr="009316DB">
          <w:rPr>
            <w:rStyle w:val="ad"/>
          </w:rPr>
          <w:t>https://unstats.un.org/sdgs/tierIII-indicators/files/Tier3-12-05-01.pdf</w:t>
        </w:r>
      </w:hyperlink>
      <w:r>
        <w:t>.)</w:t>
      </w:r>
    </w:p>
    <w:p w:rsidR="009E707C" w:rsidRDefault="009E707C" w:rsidP="003141F4">
      <w:pPr>
        <w:rPr>
          <w:b/>
          <w:szCs w:val="24"/>
        </w:rPr>
      </w:pPr>
      <w:r w:rsidRPr="009E707C">
        <w:rPr>
          <w:szCs w:val="24"/>
        </w:rPr>
        <w:t>3.</w:t>
      </w:r>
      <w:r w:rsidR="00900860">
        <w:rPr>
          <w:szCs w:val="24"/>
        </w:rPr>
        <w:t>с</w:t>
      </w:r>
      <w:r w:rsidRPr="009E707C">
        <w:rPr>
          <w:b/>
          <w:szCs w:val="24"/>
        </w:rPr>
        <w:t xml:space="preserve">.Календарь </w:t>
      </w:r>
      <w:r>
        <w:rPr>
          <w:b/>
          <w:szCs w:val="24"/>
        </w:rPr>
        <w:t>сбора</w:t>
      </w:r>
      <w:r w:rsidRPr="009E707C">
        <w:rPr>
          <w:b/>
          <w:szCs w:val="24"/>
        </w:rPr>
        <w:t xml:space="preserve"> данных</w:t>
      </w:r>
    </w:p>
    <w:p w:rsidR="000C3C4C" w:rsidRDefault="000C3C4C" w:rsidP="000C3C4C">
      <w:r w:rsidRPr="000C3C4C">
        <w:t>Вопросник СОООН / ЮНЕП по статистике окружающей среды рассылается каждые 2 года.</w:t>
      </w:r>
    </w:p>
    <w:p w:rsidR="000A229E" w:rsidRDefault="009E707C" w:rsidP="000A6836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56571B">
        <w:rPr>
          <w:color w:val="auto"/>
          <w:sz w:val="24"/>
          <w:szCs w:val="24"/>
          <w:lang w:val="ru-RU"/>
        </w:rPr>
        <w:t>3</w:t>
      </w:r>
      <w:r w:rsidR="000A229E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color w:val="auto"/>
          <w:sz w:val="24"/>
          <w:szCs w:val="24"/>
        </w:rPr>
        <w:t>d</w:t>
      </w:r>
      <w:r w:rsidR="003A389C" w:rsidRPr="0056571B">
        <w:rPr>
          <w:color w:val="auto"/>
          <w:sz w:val="24"/>
          <w:szCs w:val="24"/>
          <w:lang w:val="ru-RU"/>
        </w:rPr>
        <w:t>.</w:t>
      </w:r>
      <w:r w:rsidR="000A229E" w:rsidRPr="0056571B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711F30" w:rsidRDefault="00711F30" w:rsidP="00711F30">
      <w:r w:rsidRPr="00711F30">
        <w:t>Первый цикл отчетности по ЦУР: 2020 г.</w:t>
      </w:r>
    </w:p>
    <w:p w:rsidR="005C530E" w:rsidRDefault="005C530E" w:rsidP="00C1236A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</w:p>
    <w:p w:rsidR="000A229E" w:rsidRPr="00A343D5" w:rsidRDefault="000A229E" w:rsidP="00C1236A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A71EC6" w:rsidRPr="00A343D5">
        <w:rPr>
          <w:b/>
          <w:color w:val="auto"/>
          <w:sz w:val="24"/>
          <w:szCs w:val="24"/>
          <w:lang w:val="ru-RU"/>
        </w:rPr>
        <w:t>Поставщики данных</w:t>
      </w:r>
    </w:p>
    <w:p w:rsidR="00711F30" w:rsidRDefault="00711F30" w:rsidP="00711F30">
      <w:r w:rsidRPr="00711F30">
        <w:t>Национальные статистические системы</w:t>
      </w:r>
    </w:p>
    <w:p w:rsidR="000A229E" w:rsidRPr="00A343D5" w:rsidRDefault="000A229E" w:rsidP="00F4434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lastRenderedPageBreak/>
        <w:t>3.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0E6A3E" w:rsidRDefault="000E6A3E" w:rsidP="000E6A3E">
      <w:r w:rsidRPr="000E6A3E">
        <w:t>1. СОООН и ЮНЕП (и УООН по электронным отходам)</w:t>
      </w:r>
    </w:p>
    <w:p w:rsidR="000A229E" w:rsidRDefault="000A229E" w:rsidP="0056571B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2E15F9" w:rsidRDefault="002E15F9" w:rsidP="00A343D5">
      <w:pPr>
        <w:pStyle w:val="MHeader"/>
        <w:rPr>
          <w:b/>
          <w:color w:val="auto"/>
          <w:sz w:val="24"/>
          <w:szCs w:val="24"/>
          <w:lang w:val="ru-RU"/>
        </w:rPr>
      </w:pPr>
      <w:r w:rsidRPr="00D51C14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D51C14" w:rsidRDefault="002E15F9" w:rsidP="00A343D5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Обоснование</w:t>
      </w:r>
    </w:p>
    <w:p w:rsidR="00BF28A6" w:rsidRDefault="00BF28A6" w:rsidP="00BF28A6">
      <w:r w:rsidRPr="00BF28A6">
        <w:t xml:space="preserve">Сведение к минимуму образования отходов и </w:t>
      </w:r>
      <w:r w:rsidR="00DB7E9B">
        <w:t xml:space="preserve">их </w:t>
      </w:r>
      <w:r w:rsidRPr="00BF28A6">
        <w:t>максимальн</w:t>
      </w:r>
      <w:r w:rsidR="00DB7E9B">
        <w:t>ая</w:t>
      </w:r>
      <w:r w:rsidRPr="00BF28A6">
        <w:t xml:space="preserve"> переработка явля</w:t>
      </w:r>
      <w:r w:rsidR="00DB7E9B">
        <w:t>ю</w:t>
      </w:r>
      <w:r w:rsidRPr="00BF28A6">
        <w:t>тся центральным</w:t>
      </w:r>
      <w:r w:rsidR="00DB7E9B">
        <w:t>и</w:t>
      </w:r>
      <w:r w:rsidRPr="00BF28A6">
        <w:t xml:space="preserve"> элемент</w:t>
      </w:r>
      <w:r w:rsidR="00DB7E9B">
        <w:t>ами</w:t>
      </w:r>
      <w:r w:rsidRPr="00BF28A6">
        <w:t xml:space="preserve"> концепции экономики замкнутого цикла. Однако в настоящее время общее количество произведенных материалов, которые перерабатываются, оценивается как небольшое (на основе академической литературы). Если страны</w:t>
      </w:r>
      <w:r w:rsidR="00DB7E9B">
        <w:t xml:space="preserve"> будут</w:t>
      </w:r>
      <w:r w:rsidR="006C4FCD">
        <w:t xml:space="preserve">лучше </w:t>
      </w:r>
      <w:r w:rsidR="005C530E">
        <w:t>осведомлены о том</w:t>
      </w:r>
      <w:r w:rsidRPr="00BF28A6">
        <w:t>, как образуются, собираются и перерабатываю</w:t>
      </w:r>
      <w:r w:rsidR="006C4FCD">
        <w:t>тся отходы, это позволит им</w:t>
      </w:r>
      <w:r w:rsidRPr="00BF28A6">
        <w:t xml:space="preserve"> и другим заинтересованным сторонам </w:t>
      </w:r>
      <w:r w:rsidR="00DB7E9B">
        <w:t>более эффективно</w:t>
      </w:r>
      <w:r w:rsidRPr="00BF28A6">
        <w:t xml:space="preserve"> опр</w:t>
      </w:r>
      <w:r w:rsidR="006C4FCD">
        <w:t>едел</w:t>
      </w:r>
      <w:r w:rsidR="00DB7E9B">
        <w:t>я</w:t>
      </w:r>
      <w:r w:rsidR="006C4FCD">
        <w:t>ть, как решать проблемы, связанные с</w:t>
      </w:r>
      <w:r w:rsidRPr="00BF28A6">
        <w:t xml:space="preserve"> основны</w:t>
      </w:r>
      <w:r w:rsidR="006C4FCD">
        <w:t>ми</w:t>
      </w:r>
      <w:r w:rsidRPr="00BF28A6">
        <w:t xml:space="preserve"> поток</w:t>
      </w:r>
      <w:r w:rsidR="006C4FCD">
        <w:t>ами</w:t>
      </w:r>
      <w:r w:rsidRPr="00BF28A6">
        <w:t xml:space="preserve"> отходов (например, металл</w:t>
      </w:r>
      <w:r w:rsidR="005C530E">
        <w:t>ами</w:t>
      </w:r>
      <w:r w:rsidRPr="00BF28A6">
        <w:t>, электронны</w:t>
      </w:r>
      <w:r w:rsidR="005C530E">
        <w:t>ми</w:t>
      </w:r>
      <w:r w:rsidRPr="00BF28A6">
        <w:t xml:space="preserve"> отход</w:t>
      </w:r>
      <w:r w:rsidR="005C530E">
        <w:t>ами</w:t>
      </w:r>
      <w:r w:rsidRPr="00BF28A6">
        <w:t xml:space="preserve"> или пластмасс</w:t>
      </w:r>
      <w:r w:rsidR="005C530E">
        <w:t>ой</w:t>
      </w:r>
      <w:r w:rsidRPr="00BF28A6">
        <w:t>).</w:t>
      </w:r>
    </w:p>
    <w:p w:rsidR="002E15F9" w:rsidRPr="00A343D5" w:rsidRDefault="002E15F9" w:rsidP="0004196A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6C3087" w:rsidRPr="006C3087" w:rsidRDefault="006C3087" w:rsidP="006C3087">
      <w:pPr>
        <w:rPr>
          <w:rStyle w:val="tlid-translation"/>
          <w:szCs w:val="24"/>
        </w:rPr>
      </w:pPr>
      <w:r w:rsidRPr="006C3087">
        <w:rPr>
          <w:rStyle w:val="tlid-translation"/>
          <w:szCs w:val="24"/>
        </w:rPr>
        <w:t>Большинство стран контролируют крупные предприятия по переработке вторичного сырья в конце производственной цепочки и экспорт материалов, пригодных для вторичного использования, поэтому данные от этих предприятий можно собирать. Переработка может осуществляться в неформальном секторе, который никогда не попадает в официальн</w:t>
      </w:r>
      <w:r w:rsidR="005C530E">
        <w:rPr>
          <w:rStyle w:val="tlid-translation"/>
          <w:szCs w:val="24"/>
        </w:rPr>
        <w:t xml:space="preserve">ые каналы, в этом случае странам следует </w:t>
      </w:r>
      <w:r w:rsidRPr="006C3087">
        <w:rPr>
          <w:rStyle w:val="tlid-translation"/>
          <w:szCs w:val="24"/>
        </w:rPr>
        <w:t xml:space="preserve">оценить </w:t>
      </w:r>
      <w:r w:rsidR="005C530E">
        <w:rPr>
          <w:rStyle w:val="tlid-translation"/>
          <w:szCs w:val="24"/>
        </w:rPr>
        <w:t>масштаб</w:t>
      </w:r>
      <w:r w:rsidRPr="006C3087">
        <w:rPr>
          <w:rStyle w:val="tlid-translation"/>
          <w:szCs w:val="24"/>
        </w:rPr>
        <w:t xml:space="preserve"> неформального сектора переработки, чтобы должным образом учесть всю переработку в стране.</w:t>
      </w:r>
    </w:p>
    <w:p w:rsidR="006C3087" w:rsidRPr="006C3087" w:rsidRDefault="006C3087" w:rsidP="006C3087">
      <w:pPr>
        <w:rPr>
          <w:rStyle w:val="tlid-translation"/>
          <w:szCs w:val="24"/>
        </w:rPr>
      </w:pPr>
      <w:r w:rsidRPr="006C3087">
        <w:rPr>
          <w:rStyle w:val="tlid-translation"/>
          <w:szCs w:val="24"/>
        </w:rPr>
        <w:t>Национальный уровень рециркуляции является частью измерения прогресса на пути к устойчивому потреблению и производству, но он не учитывает предотвращение, сокращение, повторное использование и ремонт. Расчет дополнительных показателей интенсивности относительно DMC и материального потока (MF) дает приблизительные значения и помогает связать этот показатель с эффективностью использования ресурсо</w:t>
      </w:r>
      <w:r>
        <w:rPr>
          <w:rStyle w:val="tlid-translation"/>
          <w:szCs w:val="24"/>
        </w:rPr>
        <w:t>в в потреблении и производстве.</w:t>
      </w:r>
    </w:p>
    <w:p w:rsidR="006C3087" w:rsidRDefault="006C3087" w:rsidP="006C3087">
      <w:pPr>
        <w:rPr>
          <w:rStyle w:val="tlid-translation"/>
          <w:szCs w:val="24"/>
        </w:rPr>
      </w:pPr>
      <w:r w:rsidRPr="006C3087">
        <w:rPr>
          <w:rStyle w:val="tlid-translation"/>
          <w:szCs w:val="24"/>
        </w:rPr>
        <w:t>Необходимы дополнительные исследования, чтобы понять типичные потери (из-за преобразования материалов, потери влажности,%</w:t>
      </w:r>
      <w:r>
        <w:rPr>
          <w:rStyle w:val="tlid-translation"/>
          <w:szCs w:val="24"/>
        </w:rPr>
        <w:t xml:space="preserve"> отклонений</w:t>
      </w:r>
      <w:r w:rsidRPr="006C3087">
        <w:rPr>
          <w:rStyle w:val="tlid-translation"/>
          <w:szCs w:val="24"/>
        </w:rPr>
        <w:t xml:space="preserve">) в цепочке переработки различных материалов, пригодных для вторичного использования. Потери должны быть известны как процентные доли от точки входа в цепочку создания стоимости рециркуляции (т. </w:t>
      </w:r>
      <w:r w:rsidR="00C77EBB">
        <w:rPr>
          <w:rStyle w:val="tlid-translation"/>
          <w:szCs w:val="24"/>
        </w:rPr>
        <w:t>е</w:t>
      </w:r>
      <w:r w:rsidRPr="006C3087">
        <w:rPr>
          <w:rStyle w:val="tlid-translation"/>
          <w:szCs w:val="24"/>
        </w:rPr>
        <w:t xml:space="preserve">. </w:t>
      </w:r>
      <w:r w:rsidR="00C77EBB">
        <w:rPr>
          <w:rStyle w:val="tlid-translation"/>
          <w:szCs w:val="24"/>
        </w:rPr>
        <w:t>с</w:t>
      </w:r>
      <w:r w:rsidRPr="006C3087">
        <w:rPr>
          <w:rStyle w:val="tlid-translation"/>
          <w:szCs w:val="24"/>
        </w:rPr>
        <w:t xml:space="preserve">бор исходного материала, отделенного от источника, или вход в сортировочное предприятие) до точки выхода (т. </w:t>
      </w:r>
      <w:r w:rsidR="00C77EBB">
        <w:rPr>
          <w:rStyle w:val="tlid-translation"/>
          <w:szCs w:val="24"/>
        </w:rPr>
        <w:t>е</w:t>
      </w:r>
      <w:r w:rsidRPr="006C3087">
        <w:rPr>
          <w:rStyle w:val="tlid-translation"/>
          <w:szCs w:val="24"/>
        </w:rPr>
        <w:t xml:space="preserve">. </w:t>
      </w:r>
      <w:r w:rsidR="00C77EBB">
        <w:rPr>
          <w:rStyle w:val="tlid-translation"/>
          <w:szCs w:val="24"/>
        </w:rPr>
        <w:t>к</w:t>
      </w:r>
      <w:r w:rsidRPr="006C3087">
        <w:rPr>
          <w:rStyle w:val="tlid-translation"/>
          <w:szCs w:val="24"/>
        </w:rPr>
        <w:t>огда материал покид</w:t>
      </w:r>
      <w:r w:rsidR="005C530E">
        <w:rPr>
          <w:rStyle w:val="tlid-translation"/>
          <w:szCs w:val="24"/>
        </w:rPr>
        <w:t>ает место последней переработки и поступает на предприятие как вторичное сырье</w:t>
      </w:r>
      <w:r w:rsidRPr="006C3087">
        <w:rPr>
          <w:rStyle w:val="tlid-translation"/>
          <w:szCs w:val="24"/>
        </w:rPr>
        <w:t>). Это позволит подключить индикатор 11.6.1.</w:t>
      </w:r>
      <w:r w:rsidR="00C77EBB">
        <w:rPr>
          <w:rStyle w:val="tlid-translation"/>
          <w:szCs w:val="24"/>
        </w:rPr>
        <w:t>,</w:t>
      </w:r>
      <w:r w:rsidRPr="006C3087">
        <w:rPr>
          <w:rStyle w:val="tlid-translation"/>
          <w:szCs w:val="24"/>
        </w:rPr>
        <w:t xml:space="preserve"> который будет измерять, среди прочего, уровень утилизации муниципальных отходов и уровень утилизации в стране. Уровень утилизации отходов, вероятно, будет измеряться в начале цепочки, а показатель 12.5.1, вероятно, будет измеряться в точке выхода из цепочки. Такие исследования могут быть выполнены с использованием подхода, основанного на технологическом потоке и балансе массы материала. Другой подход может заключаться в отслеживании транзакций в процессе </w:t>
      </w:r>
      <w:r w:rsidRPr="006C3087">
        <w:rPr>
          <w:rStyle w:val="tlid-translation"/>
          <w:szCs w:val="24"/>
        </w:rPr>
        <w:lastRenderedPageBreak/>
        <w:t>управления отходами и введении так называемой «системы границ», определяющей точки отчетности о количестве отходов.</w:t>
      </w:r>
    </w:p>
    <w:p w:rsidR="00D273C6" w:rsidRPr="007655D4" w:rsidRDefault="002E15F9" w:rsidP="006C3087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7655D4">
        <w:rPr>
          <w:color w:val="auto"/>
          <w:sz w:val="24"/>
          <w:szCs w:val="24"/>
          <w:lang w:val="ru-RU"/>
        </w:rPr>
        <w:t>4.</w:t>
      </w:r>
      <w:r w:rsidRPr="004F3B53">
        <w:rPr>
          <w:color w:val="auto"/>
          <w:sz w:val="24"/>
          <w:szCs w:val="24"/>
        </w:rPr>
        <w:t>c</w:t>
      </w:r>
      <w:r w:rsidRPr="007655D4">
        <w:rPr>
          <w:color w:val="auto"/>
          <w:sz w:val="24"/>
          <w:szCs w:val="24"/>
          <w:lang w:val="ru-RU"/>
        </w:rPr>
        <w:t xml:space="preserve">. </w:t>
      </w:r>
      <w:r w:rsidR="00CA1CB1" w:rsidRPr="004F3B53">
        <w:rPr>
          <w:b/>
          <w:color w:val="auto"/>
          <w:sz w:val="24"/>
          <w:szCs w:val="24"/>
          <w:lang w:val="ru-RU"/>
        </w:rPr>
        <w:t>Методрасчета</w:t>
      </w:r>
    </w:p>
    <w:p w:rsidR="00C77EBB" w:rsidRPr="00C77EBB" w:rsidRDefault="00C77EBB" w:rsidP="00C77EBB">
      <w:pPr>
        <w:rPr>
          <w:szCs w:val="24"/>
        </w:rPr>
      </w:pPr>
      <w:r w:rsidRPr="00C77EBB">
        <w:rPr>
          <w:szCs w:val="24"/>
        </w:rPr>
        <w:t xml:space="preserve">Полная методология для этого индикатора </w:t>
      </w:r>
      <w:r w:rsidR="005C530E">
        <w:rPr>
          <w:szCs w:val="24"/>
        </w:rPr>
        <w:t xml:space="preserve">будет </w:t>
      </w:r>
      <w:r w:rsidRPr="00C77EBB">
        <w:rPr>
          <w:szCs w:val="24"/>
        </w:rPr>
        <w:t>доступна в «Документ</w:t>
      </w:r>
      <w:r w:rsidR="007655D4">
        <w:rPr>
          <w:szCs w:val="24"/>
        </w:rPr>
        <w:t>е</w:t>
      </w:r>
      <w:r w:rsidRPr="00C77EBB">
        <w:rPr>
          <w:szCs w:val="24"/>
        </w:rPr>
        <w:t xml:space="preserve"> по обзору глобальных показателей по химическим веществам и отходам (ЮНЕП, готовится к печати)».</w:t>
      </w:r>
    </w:p>
    <w:p w:rsidR="00C77EBB" w:rsidRDefault="00C77EBB" w:rsidP="00C77EBB">
      <w:pPr>
        <w:rPr>
          <w:szCs w:val="24"/>
        </w:rPr>
      </w:pPr>
      <w:r w:rsidRPr="00C77EBB">
        <w:rPr>
          <w:szCs w:val="24"/>
        </w:rPr>
        <w:t>Для целей этого показателя национальный коэффициент переработки будет определяться как количество материала, переработанного в стране, плюс количества, экспортированн</w:t>
      </w:r>
      <w:r w:rsidR="00C717F2">
        <w:rPr>
          <w:szCs w:val="24"/>
        </w:rPr>
        <w:t>ого</w:t>
      </w:r>
      <w:r w:rsidRPr="00C77EBB">
        <w:rPr>
          <w:szCs w:val="24"/>
        </w:rPr>
        <w:t xml:space="preserve"> для переработки, из общего объема отходов, образующихся в стране, за вычетом импортированного материала, предназначенного для переработки. Обратите внимание, что переработка включает совместное переваривание / анаэробное сбраживание и компостирование / аэробный процесс, но не регулируемое сжигание (сжигание) или внесение в землю.</w:t>
      </w:r>
    </w:p>
    <w:p w:rsidR="00C77EBB" w:rsidRPr="00C77EBB" w:rsidRDefault="0037142F" w:rsidP="00C77EBB">
      <w:pPr>
        <w:rPr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kern w:val="24"/>
              <w:sz w:val="16"/>
              <w:szCs w:val="24"/>
            </w:rPr>
            <m:t>Скорость переработки=</m:t>
          </m:r>
          <m:f>
            <m:fPr>
              <m:ctrlPr>
                <w:rPr>
                  <w:rFonts w:ascii="Cambria Math" w:hAnsi="Cambria Math"/>
                  <w:i/>
                  <w:iCs/>
                  <w:kern w:val="24"/>
                  <w:sz w:val="16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iCs/>
                      <w:kern w:val="24"/>
                      <w:sz w:val="16"/>
                      <w:szCs w:val="24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kern w:val="24"/>
                          <w:sz w:val="16"/>
                          <w:szCs w:val="24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kern w:val="24"/>
                              <w:sz w:val="16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kern w:val="24"/>
                              <w:sz w:val="16"/>
                              <w:szCs w:val="24"/>
                            </w:rPr>
                            <m:t>Вторичный материал +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kern w:val="24"/>
                              <w:sz w:val="16"/>
                              <w:szCs w:val="24"/>
                            </w:rPr>
                            <m:t xml:space="preserve">Экспортированный материал, предназначенный для вторичной переработки 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iCs/>
                              <w:kern w:val="24"/>
                              <w:sz w:val="16"/>
                              <w:szCs w:val="24"/>
                            </w:rPr>
                          </m:ctrlPr>
                        </m:e>
                        <m:e>
                          <m:r>
                            <w:rPr>
                              <w:rFonts w:ascii="Cambria Math" w:hAnsi="Cambria Math"/>
                              <w:kern w:val="24"/>
                              <w:sz w:val="16"/>
                              <w:szCs w:val="24"/>
                            </w:rPr>
                            <m:t>- Импортированный материал, предназначенный для вторичной переработки@</m:t>
                          </m:r>
                          <m:ctrlPr>
                            <w:rPr>
                              <w:rFonts w:ascii="Cambria Math" w:hAnsi="Cambria Math"/>
                              <w:i/>
                              <w:iCs/>
                              <w:kern w:val="24"/>
                              <w:sz w:val="16"/>
                              <w:szCs w:val="24"/>
                            </w:rPr>
                          </m:ctrlPr>
                        </m:e>
                      </m:eqArr>
                    </m:e>
                  </m:d>
                  <m:r>
                    <w:rPr>
                      <w:rFonts w:ascii="Cambria Math" w:hAnsi="Cambria Math"/>
                      <w:kern w:val="24"/>
                      <w:sz w:val="16"/>
                      <w:szCs w:val="24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16"/>
                      <w:szCs w:val="24"/>
                    </w:rPr>
                    <m:t>100</m:t>
                  </m:r>
                </m:e>
              </m:eqArr>
            </m:num>
            <m:den>
              <m:r>
                <w:rPr>
                  <w:rFonts w:ascii="Cambria Math" w:hAnsi="Cambria Math"/>
                  <w:kern w:val="24"/>
                  <w:sz w:val="16"/>
                  <w:szCs w:val="24"/>
                </w:rPr>
                <m:t>Всего образовавшихся отходов</m:t>
              </m:r>
            </m:den>
          </m:f>
        </m:oMath>
      </m:oMathPara>
    </w:p>
    <w:p w:rsidR="00A178B3" w:rsidRPr="00A178B3" w:rsidRDefault="00A178B3" w:rsidP="00A178B3">
      <w:pPr>
        <w:shd w:val="clear" w:color="auto" w:fill="FFFFFF"/>
        <w:spacing w:after="0"/>
        <w:rPr>
          <w:szCs w:val="24"/>
        </w:rPr>
      </w:pPr>
      <w:r w:rsidRPr="00A178B3">
        <w:rPr>
          <w:szCs w:val="24"/>
        </w:rPr>
        <w:t>Для Уровня 1 данные будут собираться по странам, но для расчета региональных и глобальных агрегатов будут использоваться заполнители пробелов.</w:t>
      </w:r>
    </w:p>
    <w:p w:rsidR="00A178B3" w:rsidRPr="00A178B3" w:rsidRDefault="00A178B3" w:rsidP="00A178B3">
      <w:pPr>
        <w:shd w:val="clear" w:color="auto" w:fill="FFFFFF"/>
        <w:spacing w:after="0"/>
        <w:rPr>
          <w:szCs w:val="24"/>
        </w:rPr>
      </w:pPr>
    </w:p>
    <w:p w:rsidR="00C77EBB" w:rsidRDefault="00A178B3" w:rsidP="00A178B3">
      <w:pPr>
        <w:shd w:val="clear" w:color="auto" w:fill="FFFFFF"/>
        <w:spacing w:after="0"/>
        <w:rPr>
          <w:szCs w:val="24"/>
        </w:rPr>
      </w:pPr>
      <w:r w:rsidRPr="00A178B3">
        <w:rPr>
          <w:szCs w:val="24"/>
        </w:rPr>
        <w:t>Дл</w:t>
      </w:r>
      <w:r w:rsidR="00C717F2">
        <w:rPr>
          <w:szCs w:val="24"/>
        </w:rPr>
        <w:t>я данных Уровня 2</w:t>
      </w:r>
      <w:r w:rsidRPr="00A178B3">
        <w:rPr>
          <w:szCs w:val="24"/>
        </w:rPr>
        <w:t xml:space="preserve"> знаменатель образования отходов будет следующим. Обратите внимание, что знаменатель также имеет отношение к цели и будет опубликован.</w:t>
      </w:r>
    </w:p>
    <w:p w:rsidR="00A178B3" w:rsidRPr="00A178B3" w:rsidRDefault="00A178B3" w:rsidP="00A178B3">
      <w:pPr>
        <w:pStyle w:val="a0"/>
      </w:pPr>
    </w:p>
    <w:p w:rsidR="00C77EBB" w:rsidRPr="00A178B3" w:rsidRDefault="0037142F" w:rsidP="00C77EBB">
      <w:pPr>
        <w:shd w:val="clear" w:color="auto" w:fill="FFFFFF"/>
        <w:spacing w:after="0"/>
        <w:rPr>
          <w:rFonts w:eastAsia="Times New Roman"/>
          <w:kern w:val="24"/>
          <w:szCs w:val="24"/>
        </w:rPr>
      </w:pPr>
      <m:oMathPara>
        <m:oMath>
          <m:r>
            <w:rPr>
              <w:rFonts w:ascii="Cambria Math" w:hAnsi="Cambria Math"/>
              <w:kern w:val="24"/>
              <w:szCs w:val="24"/>
            </w:rPr>
            <m:t>Общее количество образовавшихся отходов = отходы производства (МСОК 10-33) + Отходы от электроснабжения, подачи газа, пара и кондиционирования воздуха (МСОК 35) + Отходы от других видов экономической деятельности (кроме МСОК 38) + Бытовые отходы (исключая строительство и добычу полезных ископаемых)</m:t>
          </m:r>
        </m:oMath>
      </m:oMathPara>
    </w:p>
    <w:p w:rsidR="00A178B3" w:rsidRPr="00A178B3" w:rsidRDefault="00A178B3" w:rsidP="00A178B3">
      <w:pPr>
        <w:pStyle w:val="a0"/>
      </w:pPr>
    </w:p>
    <w:p w:rsidR="00A178B3" w:rsidRDefault="00A178B3" w:rsidP="00A178B3">
      <w:r w:rsidRPr="00A178B3">
        <w:t>Скорость рециркуляции определяется, как указано выше для уровня 1; однако предлагается разбить их по типу отходов, включая электронные отходы и другие виды отходов (например, отходы упаковки и металлы). Для разбивки по потокам отходов формула будет такой же, но будут оцен</w:t>
      </w:r>
      <w:r>
        <w:t xml:space="preserve">иваться отдельные типы отходов </w:t>
      </w:r>
      <w:r w:rsidRPr="00A178B3">
        <w:t>(</w:t>
      </w:r>
      <w:r>
        <w:t>с</w:t>
      </w:r>
      <w:r w:rsidRPr="00A178B3">
        <w:t xml:space="preserve">уществующие данные об электронных отходах и важности электронных отходов означают, что их дезагрегирование будет </w:t>
      </w:r>
      <w:r>
        <w:t>собираться на глобальном уровне</w:t>
      </w:r>
      <w:r w:rsidRPr="00A178B3">
        <w:t>)</w:t>
      </w:r>
      <w:r>
        <w:t>.</w:t>
      </w:r>
    </w:p>
    <w:p w:rsidR="002E15F9" w:rsidRPr="00FE175E" w:rsidRDefault="002E15F9" w:rsidP="00F947E9">
      <w:pPr>
        <w:pStyle w:val="MHeader2"/>
        <w:rPr>
          <w:b/>
          <w:color w:val="auto"/>
          <w:sz w:val="24"/>
          <w:lang w:val="ru-RU"/>
        </w:rPr>
      </w:pPr>
      <w:r w:rsidRPr="00FE175E">
        <w:rPr>
          <w:b/>
          <w:color w:val="auto"/>
          <w:sz w:val="24"/>
          <w:lang w:val="ru-RU"/>
        </w:rPr>
        <w:t>4.</w:t>
      </w:r>
      <w:r w:rsidRPr="00F947E9">
        <w:rPr>
          <w:b/>
          <w:color w:val="auto"/>
          <w:sz w:val="24"/>
        </w:rPr>
        <w:t>d</w:t>
      </w:r>
      <w:r w:rsidRPr="00FE175E">
        <w:rPr>
          <w:b/>
          <w:color w:val="auto"/>
          <w:sz w:val="24"/>
          <w:lang w:val="ru-RU"/>
        </w:rPr>
        <w:t xml:space="preserve">. </w:t>
      </w:r>
      <w:r w:rsidR="00694160" w:rsidRPr="00FE175E">
        <w:rPr>
          <w:b/>
          <w:color w:val="auto"/>
          <w:sz w:val="24"/>
          <w:lang w:val="ru-RU"/>
        </w:rPr>
        <w:t>Валидация</w:t>
      </w:r>
    </w:p>
    <w:p w:rsidR="002D62D2" w:rsidRDefault="002D62D2" w:rsidP="002D62D2">
      <w:r w:rsidRPr="002D62D2">
        <w:t xml:space="preserve">СОООН проводит обширные процедуры проверки данных, которые включают встроенные автоматизированные процедуры, ручные проверки и перекрестные ссылки на национальные источники данных. </w:t>
      </w:r>
      <w:r w:rsidR="005C530E">
        <w:t xml:space="preserve">Поддерживается связь </w:t>
      </w:r>
      <w:r w:rsidRPr="002D62D2">
        <w:t>со странами для уточнения и проверки данных. Только данные, которые считаются точными или подтвержден</w:t>
      </w:r>
      <w:r w:rsidR="00C717F2">
        <w:t>ы</w:t>
      </w:r>
      <w:r w:rsidRPr="002D62D2">
        <w:t>странами в процессе проверки, включаются в базу данных статистики окружающей среды СОООН и распространяются на веб-сайте СОООН</w:t>
      </w:r>
      <w:r>
        <w:t>.</w:t>
      </w:r>
    </w:p>
    <w:p w:rsidR="002E15F9" w:rsidRDefault="002E15F9" w:rsidP="0092659A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A343D5" w:rsidRDefault="002E15F9" w:rsidP="00A343D5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lastRenderedPageBreak/>
        <w:t>4.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343D5">
        <w:rPr>
          <w:b/>
          <w:color w:val="auto"/>
          <w:sz w:val="24"/>
          <w:szCs w:val="24"/>
        </w:rPr>
        <w:t>i</w:t>
      </w:r>
      <w:r w:rsidR="00694160" w:rsidRPr="00A343D5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343D5">
        <w:rPr>
          <w:b/>
          <w:color w:val="auto"/>
          <w:sz w:val="24"/>
          <w:szCs w:val="24"/>
        </w:rPr>
        <w:t>ii</w:t>
      </w:r>
      <w:r w:rsidR="00694160" w:rsidRPr="00A343D5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62618C" w:rsidRPr="0062618C" w:rsidRDefault="0062618C" w:rsidP="0062618C">
      <w:r w:rsidRPr="0062618C">
        <w:t>СОООН, который осуществляет сбор, проверку и распространение данных с помощью вопросника СОООН / ЮНЕП по статистике окружающей среды, не производит никаких оценок или условных обозначений отсутствующих значений, поэтому количество точек данных, предоставленных для показателей Уровня 2 (национальный мониторинг), соответст</w:t>
      </w:r>
      <w:r>
        <w:t>вует фактическим данным страны.</w:t>
      </w:r>
    </w:p>
    <w:p w:rsidR="0062618C" w:rsidRDefault="0062618C" w:rsidP="0062618C">
      <w:r w:rsidRPr="0062618C">
        <w:t>Однако ЮНЕП рассматривает возможность глобального моделирования для достижения показателей уровня 1 (глобальный мониторинг).</w:t>
      </w:r>
    </w:p>
    <w:p w:rsidR="0092659A" w:rsidRPr="0092659A" w:rsidRDefault="0092659A" w:rsidP="0092659A">
      <w:pPr>
        <w:spacing w:after="200"/>
        <w:jc w:val="left"/>
        <w:rPr>
          <w:i/>
        </w:rPr>
      </w:pPr>
      <w:r w:rsidRPr="0092659A">
        <w:rPr>
          <w:i/>
        </w:rPr>
        <w:t>На страновом уровне</w:t>
      </w:r>
    </w:p>
    <w:p w:rsidR="0092659A" w:rsidRPr="0092659A" w:rsidRDefault="0092659A" w:rsidP="0092659A">
      <w:pPr>
        <w:spacing w:after="200"/>
        <w:jc w:val="left"/>
        <w:rPr>
          <w:i/>
        </w:rPr>
      </w:pPr>
      <w:r w:rsidRPr="0092659A">
        <w:rPr>
          <w:i/>
        </w:rPr>
        <w:t>На региональном и глобальном уровнях</w:t>
      </w:r>
    </w:p>
    <w:p w:rsidR="002E15F9" w:rsidRDefault="002E15F9" w:rsidP="00083DC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E27922" w:rsidRPr="00A343D5">
        <w:rPr>
          <w:b/>
          <w:color w:val="auto"/>
          <w:sz w:val="24"/>
          <w:szCs w:val="24"/>
          <w:lang w:val="ru-RU"/>
        </w:rPr>
        <w:t>Региональное агрегирование</w:t>
      </w:r>
    </w:p>
    <w:p w:rsidR="0092659A" w:rsidRDefault="0092659A" w:rsidP="0092659A">
      <w:r>
        <w:t>Данные будут агрегированы на субрегиональном, региональном и глобальном уровнях. Для получения информации о методах агрегирования см.:</w:t>
      </w:r>
    </w:p>
    <w:p w:rsidR="0062618C" w:rsidRDefault="006E76B5" w:rsidP="0092659A">
      <w:hyperlink r:id="rId9" w:history="1">
        <w:r w:rsidR="0062618C" w:rsidRPr="009316DB">
          <w:rPr>
            <w:rStyle w:val="ad"/>
          </w:rPr>
          <w:t>http://wesr.unep.org/media/docs/graphs/aggregation_methods.pdf</w:t>
        </w:r>
      </w:hyperlink>
      <w:r w:rsidR="0062618C" w:rsidRPr="0062618C">
        <w:t>.</w:t>
      </w:r>
    </w:p>
    <w:p w:rsidR="00F56853" w:rsidRPr="007655D4" w:rsidRDefault="002E15F9" w:rsidP="0062618C">
      <w:pPr>
        <w:pStyle w:val="MHeader"/>
        <w:rPr>
          <w:b/>
          <w:color w:val="auto"/>
          <w:sz w:val="24"/>
          <w:lang w:val="ru-RU"/>
        </w:rPr>
      </w:pPr>
      <w:r w:rsidRPr="007655D4">
        <w:rPr>
          <w:b/>
          <w:color w:val="auto"/>
          <w:sz w:val="24"/>
          <w:lang w:val="ru-RU"/>
        </w:rPr>
        <w:t>4.</w:t>
      </w:r>
      <w:r w:rsidRPr="0062618C">
        <w:rPr>
          <w:b/>
          <w:color w:val="auto"/>
          <w:sz w:val="24"/>
        </w:rPr>
        <w:t>h</w:t>
      </w:r>
      <w:r w:rsidRPr="007655D4">
        <w:rPr>
          <w:b/>
          <w:color w:val="auto"/>
          <w:sz w:val="24"/>
          <w:lang w:val="ru-RU"/>
        </w:rPr>
        <w:t xml:space="preserve">. </w:t>
      </w:r>
      <w:r w:rsidR="00E27922" w:rsidRPr="007655D4">
        <w:rPr>
          <w:b/>
          <w:color w:val="auto"/>
          <w:sz w:val="24"/>
          <w:lang w:val="ru-RU"/>
        </w:rPr>
        <w:t>Доступные странам методы для сбора данных на национальном уровне</w:t>
      </w:r>
    </w:p>
    <w:p w:rsidR="0062618C" w:rsidRDefault="0062618C" w:rsidP="0062618C">
      <w:r w:rsidRPr="0062618C">
        <w:t>Документ об обзоре глобальных показателей по химическим веществам и отходам (ЮНЕП, готовится к печати)</w:t>
      </w:r>
      <w:r>
        <w:t>.</w:t>
      </w:r>
    </w:p>
    <w:p w:rsidR="00151C00" w:rsidRPr="007655D4" w:rsidRDefault="002E15F9" w:rsidP="0062618C">
      <w:pPr>
        <w:pStyle w:val="MHeader"/>
        <w:rPr>
          <w:b/>
          <w:color w:val="auto"/>
          <w:sz w:val="24"/>
          <w:szCs w:val="24"/>
          <w:lang w:val="ru-RU"/>
        </w:rPr>
      </w:pPr>
      <w:r w:rsidRPr="007655D4">
        <w:rPr>
          <w:b/>
          <w:color w:val="auto"/>
          <w:sz w:val="24"/>
          <w:szCs w:val="24"/>
          <w:lang w:val="ru-RU"/>
        </w:rPr>
        <w:t>4.</w:t>
      </w:r>
      <w:r w:rsidRPr="0062618C">
        <w:rPr>
          <w:b/>
          <w:color w:val="auto"/>
          <w:sz w:val="24"/>
          <w:szCs w:val="24"/>
        </w:rPr>
        <w:t>i</w:t>
      </w:r>
      <w:r w:rsidRPr="007655D4">
        <w:rPr>
          <w:b/>
          <w:color w:val="auto"/>
          <w:sz w:val="24"/>
          <w:szCs w:val="24"/>
          <w:lang w:val="ru-RU"/>
        </w:rPr>
        <w:t xml:space="preserve">. </w:t>
      </w:r>
      <w:r w:rsidR="00E27922" w:rsidRPr="007655D4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151C00" w:rsidRPr="0062618C" w:rsidRDefault="002E15F9" w:rsidP="0062618C">
      <w:pPr>
        <w:pStyle w:val="MHeader"/>
        <w:rPr>
          <w:b/>
          <w:color w:val="auto"/>
          <w:sz w:val="24"/>
          <w:szCs w:val="24"/>
          <w:lang w:val="ru-RU"/>
        </w:rPr>
      </w:pPr>
      <w:r w:rsidRPr="0062618C">
        <w:rPr>
          <w:b/>
          <w:color w:val="auto"/>
          <w:sz w:val="24"/>
          <w:szCs w:val="24"/>
          <w:lang w:val="ru-RU"/>
        </w:rPr>
        <w:t>4.</w:t>
      </w:r>
      <w:r w:rsidRPr="0062618C">
        <w:rPr>
          <w:b/>
          <w:color w:val="auto"/>
          <w:sz w:val="24"/>
          <w:szCs w:val="24"/>
        </w:rPr>
        <w:t>j</w:t>
      </w:r>
      <w:r w:rsidR="00E27922" w:rsidRPr="0062618C">
        <w:rPr>
          <w:b/>
          <w:color w:val="auto"/>
          <w:sz w:val="24"/>
          <w:szCs w:val="24"/>
          <w:lang w:val="ru-RU"/>
        </w:rPr>
        <w:t>.Обеспечение качества</w:t>
      </w:r>
    </w:p>
    <w:p w:rsidR="002E15F9" w:rsidRDefault="0075371E" w:rsidP="00333E4E">
      <w:pPr>
        <w:pStyle w:val="MHeader"/>
        <w:rPr>
          <w:b/>
          <w:color w:val="auto"/>
          <w:sz w:val="24"/>
          <w:lang w:val="ru-RU"/>
        </w:rPr>
      </w:pPr>
      <w:r w:rsidRPr="0053082C">
        <w:rPr>
          <w:b/>
          <w:color w:val="auto"/>
          <w:sz w:val="24"/>
          <w:lang w:val="ru-RU"/>
        </w:rPr>
        <w:t>4.</w:t>
      </w:r>
      <w:r w:rsidRPr="00333E4E">
        <w:rPr>
          <w:b/>
          <w:color w:val="auto"/>
          <w:sz w:val="24"/>
        </w:rPr>
        <w:t>k</w:t>
      </w:r>
      <w:r w:rsidRPr="0053082C">
        <w:rPr>
          <w:b/>
          <w:color w:val="auto"/>
          <w:sz w:val="24"/>
          <w:lang w:val="ru-RU"/>
        </w:rPr>
        <w:t xml:space="preserve">. Оценка качества </w:t>
      </w:r>
    </w:p>
    <w:p w:rsidR="002E15F9" w:rsidRPr="00A343D5" w:rsidRDefault="002E15F9" w:rsidP="00CD238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EA60C7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EA60C7">
        <w:rPr>
          <w:b/>
          <w:color w:val="auto"/>
          <w:sz w:val="24"/>
          <w:szCs w:val="24"/>
          <w:lang w:val="ru-RU"/>
        </w:rPr>
        <w:t>Доступность и дезагрегирование данных</w:t>
      </w:r>
    </w:p>
    <w:p w:rsidR="00BA61D3" w:rsidRPr="00BA61D3" w:rsidRDefault="00BA61D3" w:rsidP="00BA61D3">
      <w:r w:rsidRPr="00BA61D3">
        <w:t>Доступность данных:</w:t>
      </w:r>
    </w:p>
    <w:p w:rsidR="00333E4E" w:rsidRDefault="0062618C" w:rsidP="0062618C">
      <w:r w:rsidRPr="0062618C">
        <w:t>Все страны, ответившие на анкету.</w:t>
      </w:r>
    </w:p>
    <w:p w:rsidR="00BA61D3" w:rsidRDefault="00BA61D3" w:rsidP="00333E4E">
      <w:r>
        <w:t>Временные ряды:</w:t>
      </w:r>
    </w:p>
    <w:p w:rsidR="0062618C" w:rsidRDefault="0062618C" w:rsidP="00BA61D3">
      <w:r w:rsidRPr="0062618C">
        <w:t>Вопросник СОООН / ЮНЕП по статистике окружающей среды рассылается каждые 2 года с запросом годовых данных, и временные ряды будут поддерживаться.</w:t>
      </w:r>
    </w:p>
    <w:p w:rsidR="00BA61D3" w:rsidRPr="00BA61D3" w:rsidRDefault="00BA61D3" w:rsidP="00BA61D3">
      <w:r>
        <w:t>Дезагрегация</w:t>
      </w:r>
      <w:r w:rsidRPr="00BA61D3">
        <w:t>:</w:t>
      </w:r>
    </w:p>
    <w:p w:rsidR="0062618C" w:rsidRPr="0062618C" w:rsidRDefault="0062618C" w:rsidP="0062618C">
      <w:r w:rsidRPr="0062618C">
        <w:t>• По месту переработки (внутри страны и экспортируемые материалы, предназначенные для переработки)</w:t>
      </w:r>
    </w:p>
    <w:p w:rsidR="0062618C" w:rsidRDefault="0062618C" w:rsidP="0062618C">
      <w:r w:rsidRPr="0062618C">
        <w:t xml:space="preserve">• По типу материала (электронные отходы, пластмассы, металлы и т. </w:t>
      </w:r>
      <w:r w:rsidR="00C717F2">
        <w:t>д</w:t>
      </w:r>
      <w:r w:rsidRPr="0062618C">
        <w:t xml:space="preserve">.) </w:t>
      </w:r>
      <w:r w:rsidR="00C717F2">
        <w:t>и</w:t>
      </w:r>
      <w:r w:rsidRPr="0062618C">
        <w:t xml:space="preserve"> по ключевым группам материалов (например, электронные отходы и отходы упаковки)</w:t>
      </w:r>
      <w:r w:rsidR="003761B2">
        <w:t>.</w:t>
      </w:r>
    </w:p>
    <w:p w:rsidR="003761B2" w:rsidRDefault="003761B2" w:rsidP="003761B2">
      <w:pPr>
        <w:pStyle w:val="a0"/>
      </w:pPr>
    </w:p>
    <w:p w:rsidR="003761B2" w:rsidRPr="003761B2" w:rsidRDefault="003761B2" w:rsidP="003761B2">
      <w:pPr>
        <w:pStyle w:val="a0"/>
      </w:pPr>
    </w:p>
    <w:p w:rsidR="002E15F9" w:rsidRDefault="00845FE2" w:rsidP="0062618C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A343D5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BA61D3" w:rsidRDefault="00BA61D3" w:rsidP="007D2576">
      <w:r>
        <w:t>Источники расхождений:</w:t>
      </w:r>
    </w:p>
    <w:p w:rsidR="0062618C" w:rsidRDefault="0062618C" w:rsidP="0062618C">
      <w:r w:rsidRPr="0062618C">
        <w:lastRenderedPageBreak/>
        <w:t xml:space="preserve">Как уже упоминалось, в статистике отходов участвует большое количество заинтересованных сторон на национальном и субнациональном уровнях, что может </w:t>
      </w:r>
      <w:r w:rsidR="005C530E">
        <w:t>приводить к</w:t>
      </w:r>
      <w:r w:rsidRPr="0062618C">
        <w:t xml:space="preserve"> расхождения</w:t>
      </w:r>
      <w:r w:rsidR="005C530E">
        <w:t>м</w:t>
      </w:r>
      <w:bookmarkStart w:id="5" w:name="_GoBack"/>
      <w:bookmarkEnd w:id="5"/>
      <w:r w:rsidRPr="0062618C">
        <w:t>. Чтобы устранить эти возможные несоответствия, всегда поощряется межведомственное сотрудничество с заинтересованными сторонами.</w:t>
      </w:r>
    </w:p>
    <w:p w:rsidR="00C22DF6" w:rsidRPr="003761B2" w:rsidRDefault="00845FE2" w:rsidP="00333E4E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lang w:val="en-US" w:eastAsia="en-GB"/>
        </w:rPr>
      </w:pPr>
      <w:r w:rsidRPr="003761B2">
        <w:rPr>
          <w:rFonts w:eastAsia="Times New Roman"/>
          <w:b/>
          <w:szCs w:val="24"/>
          <w:lang w:val="en-US" w:eastAsia="en-GB"/>
        </w:rPr>
        <w:t>7</w:t>
      </w:r>
      <w:r w:rsidR="00040034" w:rsidRPr="003761B2">
        <w:rPr>
          <w:rFonts w:eastAsia="Times New Roman"/>
          <w:b/>
          <w:szCs w:val="24"/>
          <w:lang w:val="en-US" w:eastAsia="en-GB"/>
        </w:rPr>
        <w:t xml:space="preserve">. </w:t>
      </w:r>
      <w:r w:rsidR="00040034" w:rsidRPr="00A343D5">
        <w:rPr>
          <w:rFonts w:eastAsia="Times New Roman"/>
          <w:b/>
          <w:szCs w:val="24"/>
          <w:lang w:eastAsia="en-GB"/>
        </w:rPr>
        <w:t>Ссылкиидокументы</w:t>
      </w:r>
    </w:p>
    <w:p w:rsidR="003761B2" w:rsidRPr="003761B2" w:rsidRDefault="003761B2" w:rsidP="003761B2">
      <w:pPr>
        <w:pStyle w:val="a0"/>
        <w:rPr>
          <w:lang w:val="en-GB" w:eastAsia="en-GB"/>
        </w:rPr>
      </w:pPr>
      <w:r w:rsidRPr="003761B2">
        <w:rPr>
          <w:lang w:val="en-GB" w:eastAsia="en-GB"/>
        </w:rPr>
        <w:t>Global Chemicals and Waste Indicator Review Document (UNEP, forthcoming)</w:t>
      </w:r>
    </w:p>
    <w:p w:rsidR="003761B2" w:rsidRPr="003761B2" w:rsidRDefault="003761B2" w:rsidP="003761B2">
      <w:pPr>
        <w:pStyle w:val="a0"/>
        <w:rPr>
          <w:lang w:val="en-GB" w:eastAsia="en-GB"/>
        </w:rPr>
      </w:pPr>
    </w:p>
    <w:p w:rsidR="00333E4E" w:rsidRPr="00333E4E" w:rsidRDefault="003761B2" w:rsidP="003761B2">
      <w:pPr>
        <w:pStyle w:val="a0"/>
        <w:rPr>
          <w:lang w:val="en-GB" w:eastAsia="en-GB"/>
        </w:rPr>
      </w:pPr>
      <w:r w:rsidRPr="003761B2">
        <w:rPr>
          <w:lang w:val="en-GB" w:eastAsia="en-GB"/>
        </w:rPr>
        <w:t>United Nations Statistics Division (UNSD) and United Nations Environment Programme Questionnaire on Environment Statistics (waste section). Available at:  https://unstats.un.org/unsd/envstats/questionnaire</w:t>
      </w:r>
    </w:p>
    <w:p w:rsidR="0049008B" w:rsidRPr="00333E4E" w:rsidRDefault="0049008B" w:rsidP="00BA61D3">
      <w:pPr>
        <w:rPr>
          <w:lang w:val="en-GB" w:eastAsia="en-GB"/>
        </w:rPr>
      </w:pPr>
    </w:p>
    <w:sectPr w:rsidR="0049008B" w:rsidRPr="00333E4E" w:rsidSect="006E76B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53" w:rsidRDefault="001C3253" w:rsidP="00F73DBC">
      <w:pPr>
        <w:spacing w:after="0" w:line="240" w:lineRule="auto"/>
      </w:pPr>
      <w:r>
        <w:separator/>
      </w:r>
    </w:p>
  </w:endnote>
  <w:endnote w:type="continuationSeparator" w:id="1">
    <w:p w:rsidR="001C3253" w:rsidRDefault="001C3253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53" w:rsidRDefault="001C3253" w:rsidP="00F73DBC">
      <w:pPr>
        <w:spacing w:after="0" w:line="240" w:lineRule="auto"/>
      </w:pPr>
      <w:r>
        <w:separator/>
      </w:r>
    </w:p>
  </w:footnote>
  <w:footnote w:type="continuationSeparator" w:id="1">
    <w:p w:rsidR="001C3253" w:rsidRDefault="001C3253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3A5" w:rsidRDefault="00FE53A5" w:rsidP="009508D1">
    <w:pPr>
      <w:pStyle w:val="af"/>
      <w:jc w:val="right"/>
      <w:rPr>
        <w:i/>
      </w:rPr>
    </w:pPr>
    <w:r w:rsidRPr="009508D1">
      <w:rPr>
        <w:i/>
      </w:rPr>
      <w:t>Неофициальный перевод</w:t>
    </w:r>
  </w:p>
  <w:p w:rsidR="00FE53A5" w:rsidRPr="009508D1" w:rsidRDefault="00FE53A5" w:rsidP="009508D1">
    <w:pPr>
      <w:pStyle w:val="af"/>
      <w:jc w:val="right"/>
    </w:pPr>
    <w:r>
      <w:t>Последнее обновление: август 2021</w:t>
    </w:r>
  </w:p>
  <w:p w:rsidR="00FE53A5" w:rsidRDefault="00FE53A5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F9E"/>
    <w:multiLevelType w:val="hybridMultilevel"/>
    <w:tmpl w:val="5C1E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321A"/>
    <w:multiLevelType w:val="hybridMultilevel"/>
    <w:tmpl w:val="AEA8E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74D4"/>
    <w:multiLevelType w:val="hybridMultilevel"/>
    <w:tmpl w:val="C7C8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C5443"/>
    <w:multiLevelType w:val="hybridMultilevel"/>
    <w:tmpl w:val="6C90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519C7"/>
    <w:multiLevelType w:val="hybridMultilevel"/>
    <w:tmpl w:val="CE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CB2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6A57"/>
    <w:multiLevelType w:val="hybridMultilevel"/>
    <w:tmpl w:val="B6FE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65087"/>
    <w:multiLevelType w:val="hybridMultilevel"/>
    <w:tmpl w:val="ADB4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14BB9"/>
    <w:multiLevelType w:val="hybridMultilevel"/>
    <w:tmpl w:val="919229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E4E5E"/>
    <w:multiLevelType w:val="hybridMultilevel"/>
    <w:tmpl w:val="6D049FA0"/>
    <w:lvl w:ilvl="0" w:tplc="63FC18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E24A1"/>
    <w:multiLevelType w:val="hybridMultilevel"/>
    <w:tmpl w:val="D77A14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56F36"/>
    <w:multiLevelType w:val="hybridMultilevel"/>
    <w:tmpl w:val="96CE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D4A38"/>
    <w:multiLevelType w:val="hybridMultilevel"/>
    <w:tmpl w:val="C21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B1618"/>
    <w:multiLevelType w:val="hybridMultilevel"/>
    <w:tmpl w:val="7D7E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14544"/>
    <w:multiLevelType w:val="hybridMultilevel"/>
    <w:tmpl w:val="16F8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A302C"/>
    <w:multiLevelType w:val="hybridMultilevel"/>
    <w:tmpl w:val="E516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D1E54"/>
    <w:multiLevelType w:val="hybridMultilevel"/>
    <w:tmpl w:val="1AD6DE36"/>
    <w:lvl w:ilvl="0" w:tplc="8062A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5"/>
  </w:num>
  <w:num w:numId="5">
    <w:abstractNumId w:val="12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14"/>
  </w:num>
  <w:num w:numId="14">
    <w:abstractNumId w:val="0"/>
  </w:num>
  <w:num w:numId="15">
    <w:abstractNumId w:val="13"/>
  </w:num>
  <w:num w:numId="16">
    <w:abstractNumId w:val="16"/>
  </w:num>
  <w:num w:numId="1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8FC"/>
    <w:rsid w:val="00006140"/>
    <w:rsid w:val="00017B67"/>
    <w:rsid w:val="00030BF5"/>
    <w:rsid w:val="00032707"/>
    <w:rsid w:val="00040034"/>
    <w:rsid w:val="0004196A"/>
    <w:rsid w:val="000451B2"/>
    <w:rsid w:val="00053D20"/>
    <w:rsid w:val="00062184"/>
    <w:rsid w:val="00066024"/>
    <w:rsid w:val="00067E3E"/>
    <w:rsid w:val="00080FD3"/>
    <w:rsid w:val="00083DC3"/>
    <w:rsid w:val="0008593B"/>
    <w:rsid w:val="000A210D"/>
    <w:rsid w:val="000A229E"/>
    <w:rsid w:val="000A47E6"/>
    <w:rsid w:val="000A6836"/>
    <w:rsid w:val="000C224E"/>
    <w:rsid w:val="000C3C4C"/>
    <w:rsid w:val="000E666A"/>
    <w:rsid w:val="000E6A3E"/>
    <w:rsid w:val="00104284"/>
    <w:rsid w:val="00110FE3"/>
    <w:rsid w:val="0011581A"/>
    <w:rsid w:val="00116248"/>
    <w:rsid w:val="00120E95"/>
    <w:rsid w:val="00122608"/>
    <w:rsid w:val="001269B1"/>
    <w:rsid w:val="00133E22"/>
    <w:rsid w:val="001373EA"/>
    <w:rsid w:val="00146B30"/>
    <w:rsid w:val="00146FDC"/>
    <w:rsid w:val="001470A2"/>
    <w:rsid w:val="00147D02"/>
    <w:rsid w:val="001505DD"/>
    <w:rsid w:val="00151C00"/>
    <w:rsid w:val="0015685B"/>
    <w:rsid w:val="001577EB"/>
    <w:rsid w:val="00162B33"/>
    <w:rsid w:val="00165896"/>
    <w:rsid w:val="001661D2"/>
    <w:rsid w:val="0016743D"/>
    <w:rsid w:val="0017579E"/>
    <w:rsid w:val="00176A95"/>
    <w:rsid w:val="0018458D"/>
    <w:rsid w:val="001A0336"/>
    <w:rsid w:val="001A163A"/>
    <w:rsid w:val="001B0DDA"/>
    <w:rsid w:val="001B4464"/>
    <w:rsid w:val="001C2F13"/>
    <w:rsid w:val="001C3253"/>
    <w:rsid w:val="001D47B7"/>
    <w:rsid w:val="001E2FC9"/>
    <w:rsid w:val="001F2B04"/>
    <w:rsid w:val="0020339C"/>
    <w:rsid w:val="00220DFC"/>
    <w:rsid w:val="00235C73"/>
    <w:rsid w:val="00237F5C"/>
    <w:rsid w:val="002451DF"/>
    <w:rsid w:val="00253365"/>
    <w:rsid w:val="002540B1"/>
    <w:rsid w:val="00263E57"/>
    <w:rsid w:val="002712B1"/>
    <w:rsid w:val="00290B8E"/>
    <w:rsid w:val="002B2508"/>
    <w:rsid w:val="002D62D2"/>
    <w:rsid w:val="002D669D"/>
    <w:rsid w:val="002E07D4"/>
    <w:rsid w:val="002E122C"/>
    <w:rsid w:val="002E15F9"/>
    <w:rsid w:val="002E2DAB"/>
    <w:rsid w:val="002F63E5"/>
    <w:rsid w:val="00303D71"/>
    <w:rsid w:val="003141F4"/>
    <w:rsid w:val="003143BC"/>
    <w:rsid w:val="00333E4E"/>
    <w:rsid w:val="00342801"/>
    <w:rsid w:val="00347912"/>
    <w:rsid w:val="00351952"/>
    <w:rsid w:val="003563A7"/>
    <w:rsid w:val="003569AD"/>
    <w:rsid w:val="0036001C"/>
    <w:rsid w:val="0037142F"/>
    <w:rsid w:val="00372DA0"/>
    <w:rsid w:val="003746BC"/>
    <w:rsid w:val="003761B2"/>
    <w:rsid w:val="00376FE6"/>
    <w:rsid w:val="00390633"/>
    <w:rsid w:val="00393B97"/>
    <w:rsid w:val="00394222"/>
    <w:rsid w:val="00397764"/>
    <w:rsid w:val="003A389C"/>
    <w:rsid w:val="003B2CF2"/>
    <w:rsid w:val="003B340F"/>
    <w:rsid w:val="003E03CC"/>
    <w:rsid w:val="003E6C49"/>
    <w:rsid w:val="0040583C"/>
    <w:rsid w:val="004066A3"/>
    <w:rsid w:val="00407E4E"/>
    <w:rsid w:val="004143B4"/>
    <w:rsid w:val="00422DE3"/>
    <w:rsid w:val="0042734C"/>
    <w:rsid w:val="00436030"/>
    <w:rsid w:val="00446A24"/>
    <w:rsid w:val="00453CF8"/>
    <w:rsid w:val="00461079"/>
    <w:rsid w:val="00465587"/>
    <w:rsid w:val="00480D4F"/>
    <w:rsid w:val="0049008B"/>
    <w:rsid w:val="004A20F3"/>
    <w:rsid w:val="004A7876"/>
    <w:rsid w:val="004B638C"/>
    <w:rsid w:val="004B6FA0"/>
    <w:rsid w:val="004C5B65"/>
    <w:rsid w:val="004D283B"/>
    <w:rsid w:val="004D737D"/>
    <w:rsid w:val="004E087E"/>
    <w:rsid w:val="004F3B53"/>
    <w:rsid w:val="00503093"/>
    <w:rsid w:val="00504CD2"/>
    <w:rsid w:val="005057DC"/>
    <w:rsid w:val="005126D2"/>
    <w:rsid w:val="00514C74"/>
    <w:rsid w:val="005220B0"/>
    <w:rsid w:val="0053082C"/>
    <w:rsid w:val="00543050"/>
    <w:rsid w:val="00547F84"/>
    <w:rsid w:val="00562B74"/>
    <w:rsid w:val="0056571B"/>
    <w:rsid w:val="00577C9B"/>
    <w:rsid w:val="0059042F"/>
    <w:rsid w:val="00594963"/>
    <w:rsid w:val="005974D1"/>
    <w:rsid w:val="005A0EA5"/>
    <w:rsid w:val="005C123D"/>
    <w:rsid w:val="005C530E"/>
    <w:rsid w:val="005E2ABC"/>
    <w:rsid w:val="005E47BD"/>
    <w:rsid w:val="005F5D78"/>
    <w:rsid w:val="00607915"/>
    <w:rsid w:val="006120E1"/>
    <w:rsid w:val="00623607"/>
    <w:rsid w:val="0062618C"/>
    <w:rsid w:val="006308D5"/>
    <w:rsid w:val="006313E5"/>
    <w:rsid w:val="00642663"/>
    <w:rsid w:val="00647C5F"/>
    <w:rsid w:val="00654380"/>
    <w:rsid w:val="006677B0"/>
    <w:rsid w:val="00670C21"/>
    <w:rsid w:val="00670E26"/>
    <w:rsid w:val="006763D1"/>
    <w:rsid w:val="00676DE5"/>
    <w:rsid w:val="00693A10"/>
    <w:rsid w:val="00694160"/>
    <w:rsid w:val="00696D77"/>
    <w:rsid w:val="006B260E"/>
    <w:rsid w:val="006B3939"/>
    <w:rsid w:val="006C014C"/>
    <w:rsid w:val="006C0984"/>
    <w:rsid w:val="006C10F0"/>
    <w:rsid w:val="006C3087"/>
    <w:rsid w:val="006C3901"/>
    <w:rsid w:val="006C3D0C"/>
    <w:rsid w:val="006C4FCD"/>
    <w:rsid w:val="006D7049"/>
    <w:rsid w:val="006E66FC"/>
    <w:rsid w:val="006E76B5"/>
    <w:rsid w:val="006F1198"/>
    <w:rsid w:val="006F4DA0"/>
    <w:rsid w:val="006F5EC4"/>
    <w:rsid w:val="00702333"/>
    <w:rsid w:val="00702C63"/>
    <w:rsid w:val="00704A8D"/>
    <w:rsid w:val="00705161"/>
    <w:rsid w:val="00707E86"/>
    <w:rsid w:val="00711277"/>
    <w:rsid w:val="00711F30"/>
    <w:rsid w:val="0071671D"/>
    <w:rsid w:val="007235FA"/>
    <w:rsid w:val="007321BB"/>
    <w:rsid w:val="0075349F"/>
    <w:rsid w:val="0075371E"/>
    <w:rsid w:val="007655D4"/>
    <w:rsid w:val="00766689"/>
    <w:rsid w:val="00780F08"/>
    <w:rsid w:val="0078233F"/>
    <w:rsid w:val="0078726E"/>
    <w:rsid w:val="0079089B"/>
    <w:rsid w:val="00791F1F"/>
    <w:rsid w:val="007B0CFD"/>
    <w:rsid w:val="007B0D42"/>
    <w:rsid w:val="007C27E0"/>
    <w:rsid w:val="007C6471"/>
    <w:rsid w:val="007C6FBC"/>
    <w:rsid w:val="007D1185"/>
    <w:rsid w:val="007D2576"/>
    <w:rsid w:val="007D49DE"/>
    <w:rsid w:val="007D4F45"/>
    <w:rsid w:val="007D5E35"/>
    <w:rsid w:val="007E6317"/>
    <w:rsid w:val="0080135E"/>
    <w:rsid w:val="00804196"/>
    <w:rsid w:val="00807A22"/>
    <w:rsid w:val="0081063C"/>
    <w:rsid w:val="00810CA5"/>
    <w:rsid w:val="0082082A"/>
    <w:rsid w:val="00845FE2"/>
    <w:rsid w:val="008501F4"/>
    <w:rsid w:val="0085248F"/>
    <w:rsid w:val="00853C09"/>
    <w:rsid w:val="008616D9"/>
    <w:rsid w:val="00865164"/>
    <w:rsid w:val="008751C8"/>
    <w:rsid w:val="0089043A"/>
    <w:rsid w:val="00896D91"/>
    <w:rsid w:val="008A3A19"/>
    <w:rsid w:val="008A7431"/>
    <w:rsid w:val="008B47E0"/>
    <w:rsid w:val="008C01EA"/>
    <w:rsid w:val="008C7B00"/>
    <w:rsid w:val="008E440E"/>
    <w:rsid w:val="008F5301"/>
    <w:rsid w:val="00900860"/>
    <w:rsid w:val="00924835"/>
    <w:rsid w:val="0092659A"/>
    <w:rsid w:val="009273B4"/>
    <w:rsid w:val="0093367B"/>
    <w:rsid w:val="00935B97"/>
    <w:rsid w:val="0094218F"/>
    <w:rsid w:val="00942EA9"/>
    <w:rsid w:val="0094718C"/>
    <w:rsid w:val="00947FA7"/>
    <w:rsid w:val="009508D1"/>
    <w:rsid w:val="009558D8"/>
    <w:rsid w:val="00957712"/>
    <w:rsid w:val="00957A62"/>
    <w:rsid w:val="00964BE9"/>
    <w:rsid w:val="00980F79"/>
    <w:rsid w:val="00983CEB"/>
    <w:rsid w:val="009843DD"/>
    <w:rsid w:val="00986D0B"/>
    <w:rsid w:val="00990634"/>
    <w:rsid w:val="009917DD"/>
    <w:rsid w:val="00995788"/>
    <w:rsid w:val="009B3820"/>
    <w:rsid w:val="009B6CB3"/>
    <w:rsid w:val="009B78A2"/>
    <w:rsid w:val="009D078D"/>
    <w:rsid w:val="009D31AD"/>
    <w:rsid w:val="009E707C"/>
    <w:rsid w:val="009F0769"/>
    <w:rsid w:val="009F4A17"/>
    <w:rsid w:val="00A06695"/>
    <w:rsid w:val="00A1299E"/>
    <w:rsid w:val="00A178B3"/>
    <w:rsid w:val="00A248E2"/>
    <w:rsid w:val="00A3418B"/>
    <w:rsid w:val="00A343D5"/>
    <w:rsid w:val="00A41B68"/>
    <w:rsid w:val="00A44394"/>
    <w:rsid w:val="00A47315"/>
    <w:rsid w:val="00A47C12"/>
    <w:rsid w:val="00A55D22"/>
    <w:rsid w:val="00A56B34"/>
    <w:rsid w:val="00A618FC"/>
    <w:rsid w:val="00A7053F"/>
    <w:rsid w:val="00A71EC6"/>
    <w:rsid w:val="00A73CA7"/>
    <w:rsid w:val="00A82A69"/>
    <w:rsid w:val="00A8435E"/>
    <w:rsid w:val="00A8462E"/>
    <w:rsid w:val="00A91FDE"/>
    <w:rsid w:val="00AC112C"/>
    <w:rsid w:val="00AC50FA"/>
    <w:rsid w:val="00AF3B1B"/>
    <w:rsid w:val="00B0378B"/>
    <w:rsid w:val="00B179C9"/>
    <w:rsid w:val="00B17F13"/>
    <w:rsid w:val="00B27F6B"/>
    <w:rsid w:val="00B30158"/>
    <w:rsid w:val="00B51994"/>
    <w:rsid w:val="00B51BC3"/>
    <w:rsid w:val="00B62ECD"/>
    <w:rsid w:val="00B67F77"/>
    <w:rsid w:val="00B70499"/>
    <w:rsid w:val="00B72F77"/>
    <w:rsid w:val="00B8481C"/>
    <w:rsid w:val="00BA05C5"/>
    <w:rsid w:val="00BA49DB"/>
    <w:rsid w:val="00BA61D3"/>
    <w:rsid w:val="00BC622F"/>
    <w:rsid w:val="00BC6BB7"/>
    <w:rsid w:val="00BD28B9"/>
    <w:rsid w:val="00BD29EC"/>
    <w:rsid w:val="00BD2BB0"/>
    <w:rsid w:val="00BE4D76"/>
    <w:rsid w:val="00BE618D"/>
    <w:rsid w:val="00BE70C8"/>
    <w:rsid w:val="00BF28A6"/>
    <w:rsid w:val="00BF42F4"/>
    <w:rsid w:val="00C000B0"/>
    <w:rsid w:val="00C00737"/>
    <w:rsid w:val="00C013D8"/>
    <w:rsid w:val="00C1236A"/>
    <w:rsid w:val="00C22DF6"/>
    <w:rsid w:val="00C25229"/>
    <w:rsid w:val="00C34D1D"/>
    <w:rsid w:val="00C536F5"/>
    <w:rsid w:val="00C638CE"/>
    <w:rsid w:val="00C645C4"/>
    <w:rsid w:val="00C66AB0"/>
    <w:rsid w:val="00C717F2"/>
    <w:rsid w:val="00C74767"/>
    <w:rsid w:val="00C772FD"/>
    <w:rsid w:val="00C77EBB"/>
    <w:rsid w:val="00C8162D"/>
    <w:rsid w:val="00C83435"/>
    <w:rsid w:val="00C8596F"/>
    <w:rsid w:val="00C909FE"/>
    <w:rsid w:val="00C95868"/>
    <w:rsid w:val="00C9679B"/>
    <w:rsid w:val="00C96C28"/>
    <w:rsid w:val="00CA1CB1"/>
    <w:rsid w:val="00CB26D5"/>
    <w:rsid w:val="00CC1B0F"/>
    <w:rsid w:val="00CD0810"/>
    <w:rsid w:val="00CD238E"/>
    <w:rsid w:val="00CE0762"/>
    <w:rsid w:val="00CF1BCB"/>
    <w:rsid w:val="00CF2434"/>
    <w:rsid w:val="00CF7625"/>
    <w:rsid w:val="00D006C1"/>
    <w:rsid w:val="00D00F28"/>
    <w:rsid w:val="00D05466"/>
    <w:rsid w:val="00D1082C"/>
    <w:rsid w:val="00D15CDC"/>
    <w:rsid w:val="00D27196"/>
    <w:rsid w:val="00D273C6"/>
    <w:rsid w:val="00D31F63"/>
    <w:rsid w:val="00D40E85"/>
    <w:rsid w:val="00D45782"/>
    <w:rsid w:val="00D50F75"/>
    <w:rsid w:val="00D51C14"/>
    <w:rsid w:val="00D54600"/>
    <w:rsid w:val="00D604B3"/>
    <w:rsid w:val="00D62DD3"/>
    <w:rsid w:val="00D636C1"/>
    <w:rsid w:val="00D644B9"/>
    <w:rsid w:val="00D64852"/>
    <w:rsid w:val="00D65C2C"/>
    <w:rsid w:val="00D65EF2"/>
    <w:rsid w:val="00D71A86"/>
    <w:rsid w:val="00D80BC2"/>
    <w:rsid w:val="00D86D78"/>
    <w:rsid w:val="00D91D5D"/>
    <w:rsid w:val="00DB3A18"/>
    <w:rsid w:val="00DB5508"/>
    <w:rsid w:val="00DB5552"/>
    <w:rsid w:val="00DB7209"/>
    <w:rsid w:val="00DB7E9B"/>
    <w:rsid w:val="00DD4453"/>
    <w:rsid w:val="00DD45F3"/>
    <w:rsid w:val="00DE0C01"/>
    <w:rsid w:val="00DE2202"/>
    <w:rsid w:val="00DE5549"/>
    <w:rsid w:val="00E1711B"/>
    <w:rsid w:val="00E206E6"/>
    <w:rsid w:val="00E21B43"/>
    <w:rsid w:val="00E22DA5"/>
    <w:rsid w:val="00E27922"/>
    <w:rsid w:val="00E33CA8"/>
    <w:rsid w:val="00E36AFE"/>
    <w:rsid w:val="00E377B5"/>
    <w:rsid w:val="00E55C4C"/>
    <w:rsid w:val="00E7596B"/>
    <w:rsid w:val="00E834AD"/>
    <w:rsid w:val="00E83733"/>
    <w:rsid w:val="00E90BD4"/>
    <w:rsid w:val="00E97471"/>
    <w:rsid w:val="00EA52D6"/>
    <w:rsid w:val="00EA60C7"/>
    <w:rsid w:val="00EB1910"/>
    <w:rsid w:val="00EB389E"/>
    <w:rsid w:val="00EB4CBB"/>
    <w:rsid w:val="00EC3F04"/>
    <w:rsid w:val="00EC6F78"/>
    <w:rsid w:val="00EE3914"/>
    <w:rsid w:val="00EE3BB4"/>
    <w:rsid w:val="00EE3C6C"/>
    <w:rsid w:val="00EF3886"/>
    <w:rsid w:val="00EF47D7"/>
    <w:rsid w:val="00F02391"/>
    <w:rsid w:val="00F03521"/>
    <w:rsid w:val="00F17015"/>
    <w:rsid w:val="00F212F5"/>
    <w:rsid w:val="00F30F68"/>
    <w:rsid w:val="00F31D49"/>
    <w:rsid w:val="00F40A05"/>
    <w:rsid w:val="00F44343"/>
    <w:rsid w:val="00F46260"/>
    <w:rsid w:val="00F532A2"/>
    <w:rsid w:val="00F56853"/>
    <w:rsid w:val="00F6371F"/>
    <w:rsid w:val="00F66E7B"/>
    <w:rsid w:val="00F73DBC"/>
    <w:rsid w:val="00F8384B"/>
    <w:rsid w:val="00F84FF1"/>
    <w:rsid w:val="00F940D0"/>
    <w:rsid w:val="00F947E9"/>
    <w:rsid w:val="00FD23B9"/>
    <w:rsid w:val="00FE175E"/>
    <w:rsid w:val="00FE35CF"/>
    <w:rsid w:val="00FE53A5"/>
    <w:rsid w:val="00FE734E"/>
    <w:rsid w:val="00FE79B4"/>
    <w:rsid w:val="00FE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D0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/>
      <w:u w:val="single"/>
    </w:rPr>
  </w:style>
  <w:style w:type="table" w:customStyle="1" w:styleId="ae">
    <w:name w:val="Light Shading"/>
    <w:basedOn w:val="a2"/>
    <w:uiPriority w:val="60"/>
    <w:rsid w:val="000A210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="Times New Roman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="Times New Roman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rPr>
      <w:rFonts w:eastAsia="Times New Roman"/>
      <w:lang w:val="en-GB" w:eastAsia="zh-C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="Calibri" w:hAnsi="Calibr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="Times New Roman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="Calibri" w:eastAsia="Times New Roman" w:hAnsi="Calibri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="Calibri" w:eastAsia="Times New Roman" w:hAnsi="Calibri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="Calibri" w:eastAsia="Times New Roman" w:hAnsi="Calibri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="Times New Roman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="Times New Roman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D31F63"/>
    <w:pPr>
      <w:spacing w:after="0" w:line="240" w:lineRule="auto"/>
      <w:jc w:val="left"/>
    </w:pPr>
    <w:rPr>
      <w:rFonts w:ascii="Consolas" w:eastAsia="Times New Roman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31F63"/>
    <w:rPr>
      <w:rFonts w:ascii="Consolas" w:eastAsia="Times New Roman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rPr>
      <w:rFonts w:eastAsia="Times New Roman"/>
      <w:lang w:val="en-GB"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 Spacing"/>
    <w:uiPriority w:val="1"/>
    <w:qFormat/>
    <w:rsid w:val="009558D8"/>
    <w:pPr>
      <w:jc w:val="both"/>
    </w:pPr>
    <w:rPr>
      <w:rFonts w:ascii="Times New Roman" w:hAnsi="Times New Roman"/>
      <w:sz w:val="24"/>
      <w:szCs w:val="22"/>
      <w:lang w:eastAsia="en-US"/>
    </w:rPr>
  </w:style>
  <w:style w:type="table" w:customStyle="1" w:styleId="11">
    <w:name w:val="Сетка таблицы1"/>
    <w:basedOn w:val="a2"/>
    <w:next w:val="ab"/>
    <w:uiPriority w:val="59"/>
    <w:rsid w:val="00F03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b"/>
    <w:uiPriority w:val="59"/>
    <w:rsid w:val="007C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b"/>
    <w:uiPriority w:val="59"/>
    <w:rsid w:val="00EF4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b"/>
    <w:uiPriority w:val="59"/>
    <w:rsid w:val="00110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A7053F"/>
    <w:rPr>
      <w:rFonts w:ascii="Calibri" w:hAnsi="Calibri" w:cs="Calibri" w:hint="default"/>
      <w:b w:val="0"/>
      <w:bCs w:val="0"/>
      <w:i w:val="0"/>
      <w:iCs w:val="0"/>
      <w:color w:val="4A4A4A"/>
      <w:sz w:val="20"/>
      <w:szCs w:val="20"/>
    </w:rPr>
  </w:style>
  <w:style w:type="character" w:customStyle="1" w:styleId="tlid-translation">
    <w:name w:val="tlid-translation"/>
    <w:basedOn w:val="a1"/>
    <w:rsid w:val="00935B97"/>
  </w:style>
  <w:style w:type="character" w:customStyle="1" w:styleId="gt-baf-cell">
    <w:name w:val="gt-baf-cell"/>
    <w:basedOn w:val="a1"/>
    <w:rsid w:val="006C10F0"/>
  </w:style>
  <w:style w:type="table" w:customStyle="1" w:styleId="1-1">
    <w:name w:val="Medium Shading 1 Accent 1"/>
    <w:basedOn w:val="a2"/>
    <w:uiPriority w:val="63"/>
    <w:rsid w:val="00AF3B1B"/>
    <w:rPr>
      <w:rFonts w:eastAsia="Times New Roman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5">
    <w:name w:val="Сетка таблицы5"/>
    <w:basedOn w:val="a2"/>
    <w:next w:val="ab"/>
    <w:uiPriority w:val="59"/>
    <w:rsid w:val="004F3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sdgs/tierIII-indicators/files/Tier3-12-05-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sr.unep.org/media/docs/graphs/aggregation_method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6D7C-16C4-4DF8-B90E-39E21C78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14480</CharactersWithSpaces>
  <SharedDoc>false</SharedDoc>
  <HLinks>
    <vt:vector size="12" baseType="variant">
      <vt:variant>
        <vt:i4>3145750</vt:i4>
      </vt:variant>
      <vt:variant>
        <vt:i4>3</vt:i4>
      </vt:variant>
      <vt:variant>
        <vt:i4>0</vt:i4>
      </vt:variant>
      <vt:variant>
        <vt:i4>5</vt:i4>
      </vt:variant>
      <vt:variant>
        <vt:lpwstr>http://wesr.unep.org/media/docs/graphs/aggregation_methods.pdf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https://unstats.un.org/sdgs/tierIII-indicators/files/Tier3-12-05-01.pdf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a.abraeva</cp:lastModifiedBy>
  <cp:revision>2</cp:revision>
  <dcterms:created xsi:type="dcterms:W3CDTF">2023-02-02T04:18:00Z</dcterms:created>
  <dcterms:modified xsi:type="dcterms:W3CDTF">2023-02-02T04:18:00Z</dcterms:modified>
</cp:coreProperties>
</file>