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14" w:rsidRPr="00BB54F4" w:rsidRDefault="00743A14" w:rsidP="00CC6597">
      <w:pPr>
        <w:jc w:val="both"/>
        <w:rPr>
          <w:rFonts w:ascii="Times New Roman" w:hAnsi="Times New Roman" w:cs="Times New Roman"/>
          <w:b/>
          <w:sz w:val="24"/>
          <w:szCs w:val="24"/>
          <w:lang w:val="ru-RU"/>
        </w:rPr>
      </w:pPr>
      <w:r w:rsidRPr="00BB54F4">
        <w:rPr>
          <w:rFonts w:ascii="Times New Roman" w:eastAsia="Times New Roman" w:hAnsi="Times New Roman" w:cs="Times New Roman"/>
          <w:b/>
          <w:sz w:val="24"/>
          <w:szCs w:val="24"/>
          <w:lang w:val="ru-RU"/>
        </w:rPr>
        <w:t>Цель 14. Сохранение и рациональное использование океанов, морей и морских ресурсов в интересах устойчивого развития</w:t>
      </w:r>
    </w:p>
    <w:p w:rsidR="00743A14" w:rsidRPr="00BB54F4" w:rsidRDefault="00743A14" w:rsidP="00743A14">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14.5</w:t>
      </w:r>
      <w:proofErr w:type="gramStart"/>
      <w:r w:rsidRPr="00BB54F4">
        <w:rPr>
          <w:rFonts w:ascii="Times New Roman" w:hAnsi="Times New Roman" w:cs="Times New Roman"/>
          <w:b/>
          <w:sz w:val="24"/>
          <w:szCs w:val="24"/>
          <w:lang w:val="ru-RU"/>
        </w:rPr>
        <w:t xml:space="preserve">  К</w:t>
      </w:r>
      <w:proofErr w:type="gramEnd"/>
      <w:r w:rsidRPr="00BB54F4">
        <w:rPr>
          <w:rFonts w:ascii="Times New Roman" w:hAnsi="Times New Roman" w:cs="Times New Roman"/>
          <w:b/>
          <w:sz w:val="24"/>
          <w:szCs w:val="24"/>
          <w:lang w:val="ru-RU"/>
        </w:rPr>
        <w:t xml:space="preserve"> 2020 году охватить природоохранными мерами по крайней мере 10 процентов прибрежных и морских районов в соответствии с национальнымзаконодательством и международным правом и на основе наилучшей имеющейся научной информации</w:t>
      </w:r>
    </w:p>
    <w:p w:rsidR="00743A14" w:rsidRPr="00BB54F4" w:rsidRDefault="00743A14" w:rsidP="00CC6597">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14.5.1 Доля охраняемых морских районов </w:t>
      </w:r>
    </w:p>
    <w:p w:rsidR="00CC6597" w:rsidRPr="00BB54F4" w:rsidRDefault="00CC6597" w:rsidP="00CC6597">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Институциональная информация</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Организаци</w:t>
      </w:r>
      <w:proofErr w:type="gramStart"/>
      <w:r w:rsidRPr="00BB54F4">
        <w:rPr>
          <w:rFonts w:ascii="Times New Roman" w:hAnsi="Times New Roman" w:cs="Times New Roman"/>
          <w:sz w:val="24"/>
          <w:szCs w:val="24"/>
          <w:lang w:val="ru-RU"/>
        </w:rPr>
        <w:t>я(</w:t>
      </w:r>
      <w:proofErr w:type="gramEnd"/>
      <w:r w:rsidRPr="00BB54F4">
        <w:rPr>
          <w:rFonts w:ascii="Times New Roman" w:hAnsi="Times New Roman" w:cs="Times New Roman"/>
          <w:sz w:val="24"/>
          <w:szCs w:val="24"/>
          <w:lang w:val="ru-RU"/>
        </w:rPr>
        <w:t>и):</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Всемирный центр мониторинга охраны окружающей среды ЮНЕП (ЮНЕП-ВЦМООС)</w:t>
      </w:r>
    </w:p>
    <w:p w:rsidR="00CC6597" w:rsidRPr="00BB54F4" w:rsidRDefault="00CC6597" w:rsidP="00CC6597">
      <w:pPr>
        <w:jc w:val="both"/>
        <w:rPr>
          <w:rFonts w:ascii="Times New Roman" w:hAnsi="Times New Roman" w:cs="Times New Roman"/>
          <w:sz w:val="24"/>
          <w:szCs w:val="24"/>
          <w:lang w:val="ru-RU"/>
        </w:rPr>
      </w:pPr>
      <w:proofErr w:type="spellStart"/>
      <w:r w:rsidRPr="00BB54F4">
        <w:rPr>
          <w:rFonts w:ascii="Times New Roman" w:hAnsi="Times New Roman" w:cs="Times New Roman"/>
          <w:sz w:val="24"/>
          <w:szCs w:val="24"/>
        </w:rPr>
        <w:t>BirdLifeInternational</w:t>
      </w:r>
      <w:proofErr w:type="spellEnd"/>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BLI</w:t>
      </w:r>
      <w:r w:rsidRPr="00BB54F4">
        <w:rPr>
          <w:rFonts w:ascii="Times New Roman" w:hAnsi="Times New Roman" w:cs="Times New Roman"/>
          <w:sz w:val="24"/>
          <w:szCs w:val="24"/>
          <w:lang w:val="ru-RU"/>
        </w:rPr>
        <w:t>) - международная организация по защите птиц и сохранению их среды обитания.</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Международный союз охраны природы (МСОП)</w:t>
      </w:r>
    </w:p>
    <w:p w:rsidR="00CC6597" w:rsidRPr="00BB54F4" w:rsidRDefault="00F77398" w:rsidP="00CC6597">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Концепция</w:t>
      </w:r>
      <w:r w:rsidR="00CC6597" w:rsidRPr="00BB54F4">
        <w:rPr>
          <w:rFonts w:ascii="Times New Roman" w:hAnsi="Times New Roman" w:cs="Times New Roman"/>
          <w:b/>
          <w:sz w:val="24"/>
          <w:szCs w:val="24"/>
          <w:lang w:val="ru-RU"/>
        </w:rPr>
        <w:t xml:space="preserve"> и определения</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Определение:</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Показатель «Охват охраняемых районов по отношению к общей площади морских районов» показывает временные тенденции в процентной доле важных объектов </w:t>
      </w:r>
      <w:proofErr w:type="gramStart"/>
      <w:r w:rsidRPr="00BB54F4">
        <w:rPr>
          <w:rFonts w:ascii="Times New Roman" w:hAnsi="Times New Roman" w:cs="Times New Roman"/>
          <w:sz w:val="24"/>
          <w:szCs w:val="24"/>
          <w:lang w:val="ru-RU"/>
        </w:rPr>
        <w:t>морского</w:t>
      </w:r>
      <w:proofErr w:type="gramEnd"/>
      <w:r w:rsidRPr="00BB54F4">
        <w:rPr>
          <w:rFonts w:ascii="Times New Roman" w:hAnsi="Times New Roman" w:cs="Times New Roman"/>
          <w:sz w:val="24"/>
          <w:szCs w:val="24"/>
          <w:lang w:val="ru-RU"/>
        </w:rPr>
        <w:t xml:space="preserve"> биоразнообразия (т.е. тех, которые вносят существенный вклад в сохранение биоразнообразия), которые полностью покрываются определенными охраняемыми районами.</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Обоснование:</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Сохранение важных объектов крайне необходимо для предотвращения спада биоразнообразия и обеспечения условий для долгосрочного и устойчивого использования морских природных ресурсов. Создание охраняемых районов является важным механизмом достижения этой цели, и этот показатель служит средством измерения прогресса в сохранении, восстановлении и создании условий для устойчивого использования морских экосистем и предоставления услуг на морской территории в соответствии с обязательствами по международным соглашениям. Важно отметить, </w:t>
      </w:r>
      <w:r w:rsidR="00D05330" w:rsidRPr="00BB54F4">
        <w:rPr>
          <w:rFonts w:ascii="Times New Roman" w:hAnsi="Times New Roman" w:cs="Times New Roman"/>
          <w:sz w:val="24"/>
          <w:szCs w:val="24"/>
          <w:lang w:val="ru-RU"/>
        </w:rPr>
        <w:t>что,</w:t>
      </w:r>
      <w:r w:rsidRPr="00BB54F4">
        <w:rPr>
          <w:rFonts w:ascii="Times New Roman" w:hAnsi="Times New Roman" w:cs="Times New Roman"/>
          <w:sz w:val="24"/>
          <w:szCs w:val="24"/>
          <w:lang w:val="ru-RU"/>
        </w:rPr>
        <w:t xml:space="preserve"> несмотря на то, что этот показатель может быть дезагрегирован под одну экосистему, представляющую интерес, он не ограничивается каким-либо определенными типом экосистемы.</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Уровни доступа к охраняемым районам различаются между категориями управления охраняемыми районами. Некоторые области, такие как научные заповедники, сохраняются в их естественном состоянии и закрыты для любого другого использования. Остальные используются для отдыха или туризма или даже открыты для устойчивого извлечения природных ресурсов.</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lastRenderedPageBreak/>
        <w:t>Помимо защиты биоразнообразия, охраняемые районы имеют высокую социальную и экономическую ценность. К ним относится создание источников средств существования для местных жителей; поддержка рыболовства; сохранение богатства генетических ресурсов; поддержка процветания индустрии отдыха и туризма; сохранение экосистем для научных целей, исследований и образования и формирование основы для культурных и других нематериальных ценностей.</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Этот индикатор вносит значимую информацию, дополняет и строит традиционно простую статистику морских районов, охваченных охраняемыми районами. Он рассчитывается путем деления площади охраняемой территории внутри страны на общую площадь страны и умножения на 100 (например, </w:t>
      </w:r>
      <w:proofErr w:type="spellStart"/>
      <w:r w:rsidRPr="00BB54F4">
        <w:rPr>
          <w:rFonts w:ascii="Times New Roman" w:hAnsi="Times New Roman" w:cs="Times New Roman"/>
          <w:sz w:val="24"/>
          <w:szCs w:val="24"/>
        </w:rPr>
        <w:t>Chapeetal</w:t>
      </w:r>
      <w:proofErr w:type="spellEnd"/>
      <w:r w:rsidRPr="00BB54F4">
        <w:rPr>
          <w:rFonts w:ascii="Times New Roman" w:hAnsi="Times New Roman" w:cs="Times New Roman"/>
          <w:sz w:val="24"/>
          <w:szCs w:val="24"/>
          <w:lang w:val="ru-RU"/>
        </w:rPr>
        <w:t>. 2005). Такие статистические данные о процентной площади не отражают экстремальных вариаций биоразнообразия в пространстве (</w:t>
      </w:r>
      <w:r w:rsidRPr="00BB54F4">
        <w:rPr>
          <w:rFonts w:ascii="Times New Roman" w:hAnsi="Times New Roman" w:cs="Times New Roman"/>
          <w:sz w:val="24"/>
          <w:szCs w:val="24"/>
        </w:rPr>
        <w:t>Rodriguesetal</w:t>
      </w:r>
      <w:r w:rsidRPr="00BB54F4">
        <w:rPr>
          <w:rFonts w:ascii="Times New Roman" w:hAnsi="Times New Roman" w:cs="Times New Roman"/>
          <w:sz w:val="24"/>
          <w:szCs w:val="24"/>
          <w:lang w:val="ru-RU"/>
        </w:rPr>
        <w:t>., 2004), и, таким образом возникает риск получения обратных результатов за счет охраны природы в</w:t>
      </w:r>
      <w:r w:rsidR="00636969" w:rsidRPr="00BB54F4">
        <w:rPr>
          <w:rFonts w:ascii="Times New Roman" w:hAnsi="Times New Roman" w:cs="Times New Roman"/>
          <w:sz w:val="24"/>
          <w:szCs w:val="24"/>
          <w:lang w:val="ru-RU"/>
        </w:rPr>
        <w:t xml:space="preserve"> большихрайонах вместо тех, которые</w:t>
      </w:r>
      <w:r w:rsidRPr="00BB54F4">
        <w:rPr>
          <w:rFonts w:ascii="Times New Roman" w:hAnsi="Times New Roman" w:cs="Times New Roman"/>
          <w:sz w:val="24"/>
          <w:szCs w:val="24"/>
          <w:lang w:val="ru-RU"/>
        </w:rPr>
        <w:t xml:space="preserve"> требуют защиты.</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Этот показатель используется для отслеживания прогресса по «Стратегическому плану </w:t>
      </w:r>
      <w:proofErr w:type="spellStart"/>
      <w:r w:rsidRPr="00BB54F4">
        <w:rPr>
          <w:rFonts w:ascii="Times New Roman" w:hAnsi="Times New Roman" w:cs="Times New Roman"/>
          <w:sz w:val="24"/>
          <w:szCs w:val="24"/>
          <w:lang w:val="ru-RU"/>
        </w:rPr>
        <w:t>биоразнообразия</w:t>
      </w:r>
      <w:proofErr w:type="spellEnd"/>
      <w:r w:rsidRPr="00BB54F4">
        <w:rPr>
          <w:rFonts w:ascii="Times New Roman" w:hAnsi="Times New Roman" w:cs="Times New Roman"/>
          <w:sz w:val="24"/>
          <w:szCs w:val="24"/>
          <w:lang w:val="ru-RU"/>
        </w:rPr>
        <w:t>» на 2011-2020 годы (</w:t>
      </w:r>
      <w:r w:rsidRPr="00BB54F4">
        <w:rPr>
          <w:rFonts w:ascii="Times New Roman" w:hAnsi="Times New Roman" w:cs="Times New Roman"/>
          <w:sz w:val="24"/>
          <w:szCs w:val="24"/>
        </w:rPr>
        <w:t>CBD</w:t>
      </w:r>
      <w:r w:rsidRPr="00BB54F4">
        <w:rPr>
          <w:rFonts w:ascii="Times New Roman" w:hAnsi="Times New Roman" w:cs="Times New Roman"/>
          <w:sz w:val="24"/>
          <w:szCs w:val="24"/>
          <w:lang w:val="ru-RU"/>
        </w:rPr>
        <w:t xml:space="preserve"> 2014,</w:t>
      </w:r>
      <w:proofErr w:type="spellStart"/>
      <w:r w:rsidRPr="00BB54F4">
        <w:rPr>
          <w:rFonts w:ascii="Times New Roman" w:hAnsi="Times New Roman" w:cs="Times New Roman"/>
          <w:sz w:val="24"/>
          <w:szCs w:val="24"/>
        </w:rPr>
        <w:t>Tittensoretal</w:t>
      </w:r>
      <w:proofErr w:type="spellEnd"/>
      <w:r w:rsidRPr="00BB54F4">
        <w:rPr>
          <w:rFonts w:ascii="Times New Roman" w:hAnsi="Times New Roman" w:cs="Times New Roman"/>
          <w:sz w:val="24"/>
          <w:szCs w:val="24"/>
          <w:lang w:val="ru-RU"/>
        </w:rPr>
        <w:t>. 2014) и был использован в качестве показателя для определения целей Конвенции о биологическом разнообразии на 2010 год (</w:t>
      </w:r>
      <w:proofErr w:type="spellStart"/>
      <w:r w:rsidRPr="00BB54F4">
        <w:rPr>
          <w:rFonts w:ascii="Times New Roman" w:hAnsi="Times New Roman" w:cs="Times New Roman"/>
          <w:sz w:val="24"/>
          <w:szCs w:val="24"/>
        </w:rPr>
        <w:t>Butchartetal</w:t>
      </w:r>
      <w:proofErr w:type="spellEnd"/>
      <w:r w:rsidRPr="00BB54F4">
        <w:rPr>
          <w:rFonts w:ascii="Times New Roman" w:hAnsi="Times New Roman" w:cs="Times New Roman"/>
          <w:sz w:val="24"/>
          <w:szCs w:val="24"/>
          <w:lang w:val="ru-RU"/>
        </w:rPr>
        <w:t>., 2010).</w:t>
      </w:r>
    </w:p>
    <w:p w:rsidR="00CC6597" w:rsidRPr="00BB54F4" w:rsidRDefault="004F2BD4"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Концепция</w:t>
      </w:r>
      <w:r w:rsidR="00CC6597" w:rsidRPr="00BB54F4">
        <w:rPr>
          <w:rFonts w:ascii="Times New Roman" w:hAnsi="Times New Roman" w:cs="Times New Roman"/>
          <w:sz w:val="24"/>
          <w:szCs w:val="24"/>
          <w:lang w:val="ru-RU"/>
        </w:rPr>
        <w:t>:</w:t>
      </w:r>
    </w:p>
    <w:p w:rsidR="009D4584" w:rsidRPr="00BB54F4" w:rsidRDefault="00CC6597"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Охраняемые районы, по определению Международного союза охраны природы (IUCN;</w:t>
      </w:r>
      <w:r w:rsidRPr="00BB54F4">
        <w:rPr>
          <w:rFonts w:ascii="Times New Roman" w:hAnsi="Times New Roman" w:cs="Times New Roman"/>
          <w:sz w:val="24"/>
          <w:szCs w:val="24"/>
        </w:rPr>
        <w:t>Dudley</w:t>
      </w:r>
      <w:r w:rsidRPr="00BB54F4">
        <w:rPr>
          <w:rFonts w:ascii="Times New Roman" w:hAnsi="Times New Roman" w:cs="Times New Roman"/>
          <w:sz w:val="24"/>
          <w:szCs w:val="24"/>
          <w:lang w:val="ru-RU"/>
        </w:rPr>
        <w:t xml:space="preserve"> 2008) – это четко определенные географические пространства, признанные и управляемые посредством юридических или иных эффективных средств для достижения долгосрочного сохранения природы </w:t>
      </w:r>
      <w:r w:rsidR="009D4584" w:rsidRPr="00BB54F4">
        <w:rPr>
          <w:rFonts w:ascii="Times New Roman" w:hAnsi="Times New Roman" w:cs="Times New Roman"/>
          <w:sz w:val="24"/>
          <w:szCs w:val="24"/>
          <w:lang w:val="ru-RU"/>
        </w:rPr>
        <w:t>с соответствующими природными ресурсами и культурными ценностями</w:t>
      </w:r>
      <w:proofErr w:type="gramStart"/>
      <w:r w:rsidR="009D4584" w:rsidRPr="00BB54F4">
        <w:rPr>
          <w:rFonts w:ascii="Times New Roman" w:hAnsi="Times New Roman" w:cs="Times New Roman"/>
          <w:sz w:val="24"/>
          <w:szCs w:val="24"/>
          <w:lang w:val="ru-RU"/>
        </w:rPr>
        <w:t>.В</w:t>
      </w:r>
      <w:proofErr w:type="gramEnd"/>
      <w:r w:rsidR="009D4584" w:rsidRPr="00BB54F4">
        <w:rPr>
          <w:rFonts w:ascii="Times New Roman" w:hAnsi="Times New Roman" w:cs="Times New Roman"/>
          <w:sz w:val="24"/>
          <w:szCs w:val="24"/>
          <w:lang w:val="ru-RU"/>
        </w:rPr>
        <w:t>ажно отметить, что в рамках этого определения, охватывающего сохранение, восстановление и устойчивое использование выделяются следующие типы специализированных управляемых объектов (охраняемых зон):</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proofErr w:type="spellStart"/>
      <w:r w:rsidRPr="00BB54F4">
        <w:rPr>
          <w:rFonts w:ascii="Times New Roman" w:hAnsi="Times New Roman" w:cs="Times New Roman"/>
          <w:sz w:val="24"/>
          <w:szCs w:val="24"/>
        </w:rPr>
        <w:t>Ia</w:t>
      </w:r>
      <w:proofErr w:type="spellEnd"/>
      <w:r w:rsidRPr="00BB54F4">
        <w:rPr>
          <w:rFonts w:ascii="Times New Roman" w:hAnsi="Times New Roman" w:cs="Times New Roman"/>
          <w:sz w:val="24"/>
          <w:szCs w:val="24"/>
          <w:lang w:val="ru-RU"/>
        </w:rPr>
        <w:t>: Полный заповедник</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proofErr w:type="spellStart"/>
      <w:r w:rsidRPr="00BB54F4">
        <w:rPr>
          <w:rFonts w:ascii="Times New Roman" w:hAnsi="Times New Roman" w:cs="Times New Roman"/>
          <w:sz w:val="24"/>
          <w:szCs w:val="24"/>
        </w:rPr>
        <w:t>Ib</w:t>
      </w:r>
      <w:proofErr w:type="spellEnd"/>
      <w:r w:rsidRPr="00BB54F4">
        <w:rPr>
          <w:rFonts w:ascii="Times New Roman" w:hAnsi="Times New Roman" w:cs="Times New Roman"/>
          <w:sz w:val="24"/>
          <w:szCs w:val="24"/>
          <w:lang w:val="ru-RU"/>
        </w:rPr>
        <w:t>: Природный заповедник (местность, нетронутая деятельностью человека)</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r w:rsidRPr="00BB54F4">
        <w:rPr>
          <w:rFonts w:ascii="Times New Roman" w:hAnsi="Times New Roman" w:cs="Times New Roman"/>
          <w:sz w:val="24"/>
          <w:szCs w:val="24"/>
        </w:rPr>
        <w:t>II</w:t>
      </w:r>
      <w:r w:rsidRPr="00BB54F4">
        <w:rPr>
          <w:rFonts w:ascii="Times New Roman" w:hAnsi="Times New Roman" w:cs="Times New Roman"/>
          <w:sz w:val="24"/>
          <w:szCs w:val="24"/>
          <w:lang w:val="ru-RU"/>
        </w:rPr>
        <w:t>: Национальный парк</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r w:rsidRPr="00BB54F4">
        <w:rPr>
          <w:rFonts w:ascii="Times New Roman" w:hAnsi="Times New Roman" w:cs="Times New Roman"/>
          <w:sz w:val="24"/>
          <w:szCs w:val="24"/>
        </w:rPr>
        <w:t>III</w:t>
      </w:r>
      <w:r w:rsidRPr="00BB54F4">
        <w:rPr>
          <w:rFonts w:ascii="Times New Roman" w:hAnsi="Times New Roman" w:cs="Times New Roman"/>
          <w:sz w:val="24"/>
          <w:szCs w:val="24"/>
          <w:lang w:val="ru-RU"/>
        </w:rPr>
        <w:t>: Памятник природы или особенный природный объект</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r w:rsidRPr="00BB54F4">
        <w:rPr>
          <w:rFonts w:ascii="Times New Roman" w:hAnsi="Times New Roman" w:cs="Times New Roman"/>
          <w:sz w:val="24"/>
          <w:szCs w:val="24"/>
        </w:rPr>
        <w:t>IV</w:t>
      </w:r>
      <w:r w:rsidRPr="00BB54F4">
        <w:rPr>
          <w:rFonts w:ascii="Times New Roman" w:hAnsi="Times New Roman" w:cs="Times New Roman"/>
          <w:sz w:val="24"/>
          <w:szCs w:val="24"/>
          <w:lang w:val="ru-RU"/>
        </w:rPr>
        <w:t>: Область управления местами обитания / видами (охрана угодий)</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r w:rsidRPr="00BB54F4">
        <w:rPr>
          <w:rFonts w:ascii="Times New Roman" w:hAnsi="Times New Roman" w:cs="Times New Roman"/>
          <w:sz w:val="24"/>
          <w:szCs w:val="24"/>
        </w:rPr>
        <w:t>V</w:t>
      </w:r>
      <w:r w:rsidRPr="00BB54F4">
        <w:rPr>
          <w:rFonts w:ascii="Times New Roman" w:hAnsi="Times New Roman" w:cs="Times New Roman"/>
          <w:sz w:val="24"/>
          <w:szCs w:val="24"/>
          <w:lang w:val="ru-RU"/>
        </w:rPr>
        <w:t>: Охраняемый ландшафт / морской ландшафт</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r w:rsidRPr="00BB54F4">
        <w:rPr>
          <w:rFonts w:ascii="Times New Roman" w:hAnsi="Times New Roman" w:cs="Times New Roman"/>
          <w:sz w:val="24"/>
          <w:szCs w:val="24"/>
        </w:rPr>
        <w:t>VI</w:t>
      </w:r>
      <w:r w:rsidRPr="00BB54F4">
        <w:rPr>
          <w:rFonts w:ascii="Times New Roman" w:hAnsi="Times New Roman" w:cs="Times New Roman"/>
          <w:sz w:val="24"/>
          <w:szCs w:val="24"/>
          <w:lang w:val="ru-RU"/>
        </w:rPr>
        <w:t>: Охраняемая территория с устойчивым использованием природных ресурсов</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lastRenderedPageBreak/>
        <w:t>Статус «назначенный» (действующий) присваивается охраняемой области, когда соответствующий орган в соответствии с национальным законодательством или общей практикой (например, посредством исполнительного декрета и т. п.), официально одобряет документ о назначении. Назначение должно быть проведено для целей сохранения биоразнообразия, а не с целью фактической охраны определенных участков, для проведения иных действий (например, военных).</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Участки, вносящие значительный вклад в глобальное сохранение биоразнообразия, определяются в глобальном масштабе Стандартных критериев для определения ключевых районов биоразнообразия (МСОП-2016), применяемых на национальном уровне.</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На сегодняшний день во всех странах применяются два варианта стандартных критериев. Первый – для выявления важных районов распространения птиц и </w:t>
      </w:r>
      <w:proofErr w:type="spellStart"/>
      <w:r w:rsidRPr="00BB54F4">
        <w:rPr>
          <w:rFonts w:ascii="Times New Roman" w:hAnsi="Times New Roman" w:cs="Times New Roman"/>
          <w:sz w:val="24"/>
          <w:szCs w:val="24"/>
          <w:lang w:val="ru-RU"/>
        </w:rPr>
        <w:t>биоразнообразия</w:t>
      </w:r>
      <w:proofErr w:type="spellEnd"/>
      <w:r w:rsidRPr="00BB54F4">
        <w:rPr>
          <w:rFonts w:ascii="Times New Roman" w:hAnsi="Times New Roman" w:cs="Times New Roman"/>
          <w:sz w:val="24"/>
          <w:szCs w:val="24"/>
          <w:lang w:val="ru-RU"/>
        </w:rPr>
        <w:t xml:space="preserve">, то есть участков, вносящих существенный вклад в сохранение </w:t>
      </w:r>
      <w:proofErr w:type="spellStart"/>
      <w:r w:rsidRPr="00BB54F4">
        <w:rPr>
          <w:rFonts w:ascii="Times New Roman" w:hAnsi="Times New Roman" w:cs="Times New Roman"/>
          <w:sz w:val="24"/>
          <w:szCs w:val="24"/>
          <w:lang w:val="ru-RU"/>
        </w:rPr>
        <w:t>биоразнообразия</w:t>
      </w:r>
      <w:proofErr w:type="spellEnd"/>
      <w:r w:rsidRPr="00BB54F4">
        <w:rPr>
          <w:rFonts w:ascii="Times New Roman" w:hAnsi="Times New Roman" w:cs="Times New Roman"/>
          <w:sz w:val="24"/>
          <w:szCs w:val="24"/>
          <w:lang w:val="ru-RU"/>
        </w:rPr>
        <w:t xml:space="preserve"> на глобальном уровне, выявленное с использованием данных о птицах; более 12 000 участков было отобрано из всех стран мира (</w:t>
      </w:r>
      <w:proofErr w:type="spellStart"/>
      <w:r w:rsidRPr="00BB54F4">
        <w:rPr>
          <w:rFonts w:ascii="Times New Roman" w:hAnsi="Times New Roman" w:cs="Times New Roman"/>
          <w:sz w:val="24"/>
          <w:szCs w:val="24"/>
        </w:rPr>
        <w:t>BirdLifeInternational</w:t>
      </w:r>
      <w:proofErr w:type="spellEnd"/>
      <w:r w:rsidRPr="00BB54F4">
        <w:rPr>
          <w:rFonts w:ascii="Times New Roman" w:hAnsi="Times New Roman" w:cs="Times New Roman"/>
          <w:sz w:val="24"/>
          <w:szCs w:val="24"/>
          <w:lang w:val="ru-RU"/>
        </w:rPr>
        <w:t xml:space="preserve"> 2014). Второй – для идентификации участков «Альянса нулевого уровня исчезновения» (</w:t>
      </w:r>
      <w:r w:rsidRPr="00BB54F4">
        <w:rPr>
          <w:rFonts w:ascii="Times New Roman" w:hAnsi="Times New Roman" w:cs="Times New Roman"/>
          <w:sz w:val="24"/>
          <w:szCs w:val="24"/>
        </w:rPr>
        <w:t>Rickettsetal</w:t>
      </w:r>
      <w:r w:rsidRPr="00BB54F4">
        <w:rPr>
          <w:rFonts w:ascii="Times New Roman" w:hAnsi="Times New Roman" w:cs="Times New Roman"/>
          <w:sz w:val="24"/>
          <w:szCs w:val="24"/>
          <w:lang w:val="ru-RU"/>
        </w:rPr>
        <w:t>., 2005), то есть участков, где обитает целая популяция, по крайней мере, одного вида, оцененного как находящийся под угрозой исчезновения или находящийся под угрозой исчезновения в Красной книге угрожаемых видов МСОП. Всего было идентифицировано 587 участков «Альянса нулевого уровня исчезновения» для 920 видов млекопитающих, птиц, амфибий, рептилий, хвойных и рифообразующих кораллов. Глобальный стандарт для выявления ключевых областей биоразнообразия, объединяющих эти подходы наряду с иными механизмами идентификации важных областей для других видов и экосистем, был утвержден МСОП (2016 г).</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Комментарии и ограничения:</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Критерии контроля качества применяются для обеспечения согласованности и сопоставимости данных во всемирной базе данных по охраняемым районам. Новые данные проверяются в ЮНЕП-ВЦМООС с помощью ряда инструментов и переводятся в стандартную структуру данных Всемирной базы данных по охраняемым районам. Расхождения между данными во Всемирной базе данных по охраняемым районам и новыми данными сводятся к минимуму с помощью специального руководства (ЮНЕП-ВЦМООС-2016) и разрешаются путем договоренности с поставщиками данных. Аналогичные процессы применяются для включения данных во Всемирную базу данных ключевых областей биоразнообразия.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Показатель не измеряет эффективность охраняемых районов в отношении сокращения потери биоразнообразия, которая в конечном итоге зависит от факторов, не охваченных индикатором, таких как эффективность управления и качество исполнения. В настоящее время существует ряд инициатив, направленных на устранение этого ограничения. В частности, были разработаны многочисленные механизмы оценки эффективности управления охраняемыми районами, которые могут быть синтезированы в один показатель (</w:t>
      </w:r>
      <w:proofErr w:type="spellStart"/>
      <w:r w:rsidRPr="00BB54F4">
        <w:rPr>
          <w:rFonts w:ascii="Times New Roman" w:hAnsi="Times New Roman" w:cs="Times New Roman"/>
          <w:sz w:val="24"/>
          <w:szCs w:val="24"/>
          <w:lang w:val="ru-RU"/>
        </w:rPr>
        <w:t>Leveringtonetal</w:t>
      </w:r>
      <w:proofErr w:type="spellEnd"/>
      <w:r w:rsidRPr="00BB54F4">
        <w:rPr>
          <w:rFonts w:ascii="Times New Roman" w:hAnsi="Times New Roman" w:cs="Times New Roman"/>
          <w:sz w:val="24"/>
          <w:szCs w:val="24"/>
          <w:lang w:val="ru-RU"/>
        </w:rPr>
        <w:t xml:space="preserve">., 2010). Это используется Партнерством по индикаторам биоразнообразия как дополнительный индикатор прогресса в достижении Айтинской Цели 11 в области сохранения и устойчивого использования </w:t>
      </w:r>
      <w:r w:rsidRPr="00BB54F4">
        <w:rPr>
          <w:rFonts w:ascii="Times New Roman" w:hAnsi="Times New Roman" w:cs="Times New Roman"/>
          <w:sz w:val="24"/>
          <w:szCs w:val="24"/>
          <w:lang w:val="ru-RU"/>
        </w:rPr>
        <w:lastRenderedPageBreak/>
        <w:t>биоразнообразия (http://www.bipindicators.net/pamanagement). Однако не исключено, что связь между этими мерами и конечным состоянием охраняемых районов незначительна (</w:t>
      </w:r>
      <w:proofErr w:type="spellStart"/>
      <w:r w:rsidRPr="00BB54F4">
        <w:rPr>
          <w:rFonts w:ascii="Times New Roman" w:hAnsi="Times New Roman" w:cs="Times New Roman"/>
          <w:sz w:val="24"/>
          <w:szCs w:val="24"/>
          <w:lang w:val="ru-RU"/>
        </w:rPr>
        <w:t>Nolte&amp;Agrawal</w:t>
      </w:r>
      <w:proofErr w:type="spellEnd"/>
      <w:r w:rsidRPr="00BB54F4">
        <w:rPr>
          <w:rFonts w:ascii="Times New Roman" w:hAnsi="Times New Roman" w:cs="Times New Roman"/>
          <w:sz w:val="24"/>
          <w:szCs w:val="24"/>
          <w:lang w:val="ru-RU"/>
        </w:rPr>
        <w:t xml:space="preserve"> 2013). В последнее время стали разрабатываться подходы к «зеленому листингу» с целью включения в анализ, как эффективности управления, так и конечного состояния охраняемых районов, и они, вероятно, станут приобретать все более </w:t>
      </w:r>
      <w:proofErr w:type="gramStart"/>
      <w:r w:rsidRPr="00BB54F4">
        <w:rPr>
          <w:rFonts w:ascii="Times New Roman" w:hAnsi="Times New Roman" w:cs="Times New Roman"/>
          <w:sz w:val="24"/>
          <w:szCs w:val="24"/>
          <w:lang w:val="ru-RU"/>
        </w:rPr>
        <w:t>важное значение</w:t>
      </w:r>
      <w:proofErr w:type="gramEnd"/>
      <w:r w:rsidRPr="00BB54F4">
        <w:rPr>
          <w:rFonts w:ascii="Times New Roman" w:hAnsi="Times New Roman" w:cs="Times New Roman"/>
          <w:sz w:val="24"/>
          <w:szCs w:val="24"/>
          <w:lang w:val="ru-RU"/>
        </w:rPr>
        <w:t xml:space="preserve"> по мере их тестирования и применения в более широком плане.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Пробелы в данных и знаниях могут возникнуть из-за трудностей с определением того, соответствует ли участок определению охраняемой зоны МСОП, а некоторым охраняемым районам не предписаны категории управления. </w:t>
      </w:r>
      <w:proofErr w:type="gramStart"/>
      <w:r w:rsidRPr="00BB54F4">
        <w:rPr>
          <w:rFonts w:ascii="Times New Roman" w:hAnsi="Times New Roman" w:cs="Times New Roman"/>
          <w:sz w:val="24"/>
          <w:szCs w:val="24"/>
          <w:lang w:val="ru-RU"/>
        </w:rPr>
        <w:t>Кроме того, «другие эффективные меры по охране природы на местах», как указано в Айтинской  Цели 11 Стратегического плана по сохранению биоразнообразия, допускает, что некоторые участки, не входящие в официальную сеть охраняемых районов и не использующиеся, главным образом, для охраны природы, тем не менее, могут считаться охраняемой зоной, если они используются с целью сохранения биоразнообразия (</w:t>
      </w:r>
      <w:r w:rsidRPr="00BB54F4">
        <w:rPr>
          <w:rFonts w:ascii="Times New Roman" w:hAnsi="Times New Roman" w:cs="Times New Roman"/>
          <w:sz w:val="24"/>
          <w:szCs w:val="24"/>
        </w:rPr>
        <w:t>Jonasetall</w:t>
      </w:r>
      <w:r w:rsidRPr="00BB54F4">
        <w:rPr>
          <w:rFonts w:ascii="Times New Roman" w:hAnsi="Times New Roman" w:cs="Times New Roman"/>
          <w:sz w:val="24"/>
          <w:szCs w:val="24"/>
          <w:lang w:val="ru-RU"/>
        </w:rPr>
        <w:t>., 2014).</w:t>
      </w:r>
      <w:proofErr w:type="gramEnd"/>
      <w:r w:rsidRPr="00BB54F4">
        <w:rPr>
          <w:rFonts w:ascii="Times New Roman" w:hAnsi="Times New Roman" w:cs="Times New Roman"/>
          <w:sz w:val="24"/>
          <w:szCs w:val="24"/>
          <w:lang w:val="ru-RU"/>
        </w:rPr>
        <w:t xml:space="preserve"> Однако стандартные подходы к документированию «иных эффективных мер по охране природы на местах» до сих пор находятся в зачаточном состоянии. Поскольку они консолидированы, «иные эффективные меры по охране природы на местах» будут включены во Всемирную базу данных по охраняемым районам и, соответственно, по этому показателю.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Что касается важных участков, самым большим ограничением является то, что на сегодняшний день идентификация участков сосредоточена на конкретных подмножествах биоразнообразия, например птиц (для важных районов обитания птиц и биоразнообразия) и видов с высокой степенью угрозы вымирания (для районов «Альянса нулевого уровня исчезновения»). </w:t>
      </w:r>
      <w:proofErr w:type="gramStart"/>
      <w:r w:rsidRPr="00BB54F4">
        <w:rPr>
          <w:rFonts w:ascii="Times New Roman" w:hAnsi="Times New Roman" w:cs="Times New Roman"/>
          <w:sz w:val="24"/>
          <w:szCs w:val="24"/>
          <w:lang w:val="ru-RU"/>
        </w:rPr>
        <w:t>В то время как IBA (ключевая орнитологические территории) были отмечены как хорошие идентификаторы для важных объектов по сохранению биоразнообразия в более общем плане (</w:t>
      </w:r>
      <w:proofErr w:type="spellStart"/>
      <w:r w:rsidRPr="00BB54F4">
        <w:rPr>
          <w:rFonts w:ascii="Times New Roman" w:hAnsi="Times New Roman" w:cs="Times New Roman"/>
          <w:sz w:val="24"/>
          <w:szCs w:val="24"/>
          <w:lang w:val="ru-RU"/>
        </w:rPr>
        <w:t>Brooksetal</w:t>
      </w:r>
      <w:proofErr w:type="spellEnd"/>
      <w:r w:rsidRPr="00BB54F4">
        <w:rPr>
          <w:rFonts w:ascii="Times New Roman" w:hAnsi="Times New Roman" w:cs="Times New Roman"/>
          <w:sz w:val="24"/>
          <w:szCs w:val="24"/>
          <w:lang w:val="ru-RU"/>
        </w:rPr>
        <w:t xml:space="preserve">., 2001, </w:t>
      </w:r>
      <w:proofErr w:type="spellStart"/>
      <w:r w:rsidRPr="00BB54F4">
        <w:rPr>
          <w:rFonts w:ascii="Times New Roman" w:hAnsi="Times New Roman" w:cs="Times New Roman"/>
          <w:sz w:val="24"/>
          <w:szCs w:val="24"/>
          <w:lang w:val="ru-RU"/>
        </w:rPr>
        <w:t>Painetal</w:t>
      </w:r>
      <w:proofErr w:type="spellEnd"/>
      <w:r w:rsidRPr="00BB54F4">
        <w:rPr>
          <w:rFonts w:ascii="Times New Roman" w:hAnsi="Times New Roman" w:cs="Times New Roman"/>
          <w:sz w:val="24"/>
          <w:szCs w:val="24"/>
          <w:lang w:val="ru-RU"/>
        </w:rPr>
        <w:t>., 2005), применение единого стандарта для идентификации «Ключевых зон биоразнообразия» (МСОП 2016) на разных уровнях биоразнообразия (гены, виды, экосистемы) и различных таксономических групп по-прежнему являются первоочередной задачей (</w:t>
      </w:r>
      <w:proofErr w:type="spellStart"/>
      <w:r w:rsidRPr="00BB54F4">
        <w:rPr>
          <w:rFonts w:ascii="Times New Roman" w:hAnsi="Times New Roman" w:cs="Times New Roman"/>
          <w:sz w:val="24"/>
          <w:szCs w:val="24"/>
          <w:lang w:val="ru-RU"/>
        </w:rPr>
        <w:t>Ekenetal</w:t>
      </w:r>
      <w:proofErr w:type="spellEnd"/>
      <w:r w:rsidRPr="00BB54F4">
        <w:rPr>
          <w:rFonts w:ascii="Times New Roman" w:hAnsi="Times New Roman" w:cs="Times New Roman"/>
          <w:sz w:val="24"/>
          <w:szCs w:val="24"/>
          <w:lang w:val="ru-RU"/>
        </w:rPr>
        <w:t xml:space="preserve">., 2004, </w:t>
      </w:r>
      <w:proofErr w:type="spellStart"/>
      <w:r w:rsidRPr="00BB54F4">
        <w:rPr>
          <w:rFonts w:ascii="Times New Roman" w:hAnsi="Times New Roman" w:cs="Times New Roman"/>
          <w:sz w:val="24"/>
          <w:szCs w:val="24"/>
          <w:lang w:val="ru-RU"/>
        </w:rPr>
        <w:t>Knightetal</w:t>
      </w:r>
      <w:proofErr w:type="spellEnd"/>
      <w:r w:rsidRPr="00BB54F4">
        <w:rPr>
          <w:rFonts w:ascii="Times New Roman" w:hAnsi="Times New Roman" w:cs="Times New Roman"/>
          <w:sz w:val="24"/>
          <w:szCs w:val="24"/>
          <w:lang w:val="ru-RU"/>
        </w:rPr>
        <w:t xml:space="preserve">., 2007, </w:t>
      </w:r>
      <w:proofErr w:type="spellStart"/>
      <w:r w:rsidRPr="00BB54F4">
        <w:rPr>
          <w:rFonts w:ascii="Times New Roman" w:hAnsi="Times New Roman" w:cs="Times New Roman"/>
          <w:sz w:val="24"/>
          <w:szCs w:val="24"/>
          <w:lang w:val="ru-RU"/>
        </w:rPr>
        <w:t>Langhammeretal</w:t>
      </w:r>
      <w:proofErr w:type="spellEnd"/>
      <w:r w:rsidRPr="00BB54F4">
        <w:rPr>
          <w:rFonts w:ascii="Times New Roman" w:hAnsi="Times New Roman" w:cs="Times New Roman"/>
          <w:sz w:val="24"/>
          <w:szCs w:val="24"/>
          <w:lang w:val="ru-RU"/>
        </w:rPr>
        <w:t xml:space="preserve">., 2007, </w:t>
      </w:r>
      <w:proofErr w:type="spellStart"/>
      <w:r w:rsidRPr="00BB54F4">
        <w:rPr>
          <w:rFonts w:ascii="Times New Roman" w:hAnsi="Times New Roman" w:cs="Times New Roman"/>
          <w:sz w:val="24"/>
          <w:szCs w:val="24"/>
          <w:lang w:val="ru-RU"/>
        </w:rPr>
        <w:t>Fosteretal</w:t>
      </w:r>
      <w:proofErr w:type="spellEnd"/>
      <w:r w:rsidRPr="00BB54F4">
        <w:rPr>
          <w:rFonts w:ascii="Times New Roman" w:hAnsi="Times New Roman" w:cs="Times New Roman"/>
          <w:sz w:val="24"/>
          <w:szCs w:val="24"/>
          <w:lang w:val="ru-RU"/>
        </w:rPr>
        <w:t xml:space="preserve">., 2012). </w:t>
      </w:r>
      <w:proofErr w:type="gramEnd"/>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Идентификация «Ключевых зон биоразнообразия» (КЗБ) была введена для ряда стран и регионов, где всеобъемлющие данные о биоразнообразии позволяют формально оценивать важность участка (или его «незаменимость») с использованием систематических методов планирования охраны природы (</w:t>
      </w:r>
      <w:proofErr w:type="spellStart"/>
      <w:r w:rsidRPr="00BB54F4">
        <w:rPr>
          <w:rFonts w:ascii="Times New Roman" w:hAnsi="Times New Roman" w:cs="Times New Roman"/>
          <w:sz w:val="24"/>
          <w:szCs w:val="24"/>
          <w:lang w:val="ru-RU"/>
        </w:rPr>
        <w:t>DiMarcoetal</w:t>
      </w:r>
      <w:proofErr w:type="spellEnd"/>
      <w:r w:rsidRPr="00BB54F4">
        <w:rPr>
          <w:rFonts w:ascii="Times New Roman" w:hAnsi="Times New Roman" w:cs="Times New Roman"/>
          <w:sz w:val="24"/>
          <w:szCs w:val="24"/>
          <w:lang w:val="ru-RU"/>
        </w:rPr>
        <w:t xml:space="preserve">., 2016, </w:t>
      </w:r>
      <w:proofErr w:type="spellStart"/>
      <w:r w:rsidRPr="00BB54F4">
        <w:rPr>
          <w:rFonts w:ascii="Times New Roman" w:hAnsi="Times New Roman" w:cs="Times New Roman"/>
          <w:sz w:val="24"/>
          <w:szCs w:val="24"/>
          <w:lang w:val="ru-RU"/>
        </w:rPr>
        <w:t>MontesinoPouzolsetAl</w:t>
      </w:r>
      <w:proofErr w:type="spellEnd"/>
      <w:r w:rsidRPr="00BB54F4">
        <w:rPr>
          <w:rFonts w:ascii="Times New Roman" w:hAnsi="Times New Roman" w:cs="Times New Roman"/>
          <w:sz w:val="24"/>
          <w:szCs w:val="24"/>
          <w:lang w:val="ru-RU"/>
        </w:rPr>
        <w:t xml:space="preserve">. 2014).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Будущие разработки индикатора будут включать: a) расширение таксономического охвата морских КЗБ путем применения стандарта ключевых зон биоразнообразия (МСОП2016) для широкого круга морских позвоночных, беспозвоночных, растений и типов экосистем; </w:t>
      </w:r>
      <w:r w:rsidRPr="00BB54F4">
        <w:rPr>
          <w:rFonts w:ascii="Times New Roman" w:hAnsi="Times New Roman" w:cs="Times New Roman"/>
          <w:sz w:val="24"/>
          <w:szCs w:val="24"/>
        </w:rPr>
        <w:t>b</w:t>
      </w:r>
      <w:r w:rsidRPr="00BB54F4">
        <w:rPr>
          <w:rFonts w:ascii="Times New Roman" w:hAnsi="Times New Roman" w:cs="Times New Roman"/>
          <w:sz w:val="24"/>
          <w:szCs w:val="24"/>
          <w:lang w:val="ru-RU"/>
        </w:rPr>
        <w:t>) улучшение данных по охраняемым районам путем продолжения увеличения доли участков с задокументированными датами назначения и оцифрованными пограничными многоугольниками (а не координатами); и c) изучение других методов оценки и представления временных тенденций в охраняемых районах.</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lastRenderedPageBreak/>
        <w:t>Методология</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Метод расчета: </w:t>
      </w:r>
    </w:p>
    <w:p w:rsidR="00EC03F3" w:rsidRPr="00BB54F4" w:rsidRDefault="00EC03F3" w:rsidP="00EC03F3">
      <w:pPr>
        <w:jc w:val="both"/>
        <w:rPr>
          <w:rFonts w:ascii="Times New Roman" w:hAnsi="Times New Roman" w:cs="Times New Roman"/>
          <w:sz w:val="24"/>
          <w:szCs w:val="24"/>
          <w:lang w:val="ru-RU"/>
        </w:rPr>
      </w:pPr>
      <w:proofErr w:type="gramStart"/>
      <w:r w:rsidRPr="00BB54F4">
        <w:rPr>
          <w:rFonts w:ascii="Times New Roman" w:hAnsi="Times New Roman" w:cs="Times New Roman"/>
          <w:sz w:val="24"/>
          <w:szCs w:val="24"/>
          <w:lang w:val="ru-RU"/>
        </w:rPr>
        <w:t xml:space="preserve">Этот показатель рассчитывается на основании данных, полученных в результате пространственного перекрытия между цифровыми многоугольниками для охраняемых районов из Всемирной базы данных об охраняемых районах (МСОП и ЮНЕП-ВЦМООС-2015) и цифровых многоугольников для </w:t>
      </w:r>
      <w:r w:rsidR="00CC4669" w:rsidRPr="00BB54F4">
        <w:rPr>
          <w:rFonts w:ascii="Times New Roman" w:hAnsi="Times New Roman" w:cs="Times New Roman"/>
          <w:sz w:val="24"/>
          <w:szCs w:val="24"/>
          <w:lang w:val="ru-RU"/>
        </w:rPr>
        <w:t>морских</w:t>
      </w:r>
      <w:r w:rsidRPr="00BB54F4">
        <w:rPr>
          <w:rFonts w:ascii="Times New Roman" w:hAnsi="Times New Roman" w:cs="Times New Roman"/>
          <w:sz w:val="24"/>
          <w:szCs w:val="24"/>
          <w:lang w:val="ru-RU"/>
        </w:rPr>
        <w:t xml:space="preserve"> ключевых зон биоразнообразия (из Всемирной базы данных Ключевых зон биоразнообразия, включая важные районы обитания птиц и биоразнообразия, участки «Альянс нулевого уровня вымирания» и другие ключевые зоны биоразнообразия, доступные</w:t>
      </w:r>
      <w:proofErr w:type="gramEnd"/>
      <w:r w:rsidRPr="00BB54F4">
        <w:rPr>
          <w:rFonts w:ascii="Times New Roman" w:hAnsi="Times New Roman" w:cs="Times New Roman"/>
          <w:sz w:val="24"/>
          <w:szCs w:val="24"/>
          <w:lang w:val="ru-RU"/>
        </w:rPr>
        <w:t xml:space="preserve"> через Комплексный инструмент оценки биоразнообразия по адресу https://www.ibat-alliance.org/ibatconservation/login). Все </w:t>
      </w:r>
      <w:r w:rsidR="00B95BE5" w:rsidRPr="00BB54F4">
        <w:rPr>
          <w:rFonts w:ascii="Times New Roman" w:hAnsi="Times New Roman" w:cs="Times New Roman"/>
          <w:sz w:val="24"/>
          <w:szCs w:val="24"/>
          <w:lang w:val="ru-RU"/>
        </w:rPr>
        <w:t>морские</w:t>
      </w:r>
      <w:r w:rsidRPr="00BB54F4">
        <w:rPr>
          <w:rFonts w:ascii="Times New Roman" w:hAnsi="Times New Roman" w:cs="Times New Roman"/>
          <w:sz w:val="24"/>
          <w:szCs w:val="24"/>
          <w:lang w:val="ru-RU"/>
        </w:rPr>
        <w:t xml:space="preserve"> ключевые зоны биоразнообразия, более 98%  территории которых перекрывается одной или несколькими охраняемыми районами, были определены как полностью охраняемые (для учета ошибок разрешения и оцифровки в пространственном массиве данных, лежащем в основе). Значение показателя в данный момент времени, основанное на данных о году создания охраняемой территории, зарегистрированное во Всемирной базе данных по охраняемым районам, затем рассчитывается путем деления общего числа КЗБ, полностью охваченных охраняемыми районами, на общее число КЗБ в каждой стране и умножения на 100.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Год создания охраняемой территории не определён для 12% охраняемых районов во Всемирной базе данных по охраняемым районам, что создает неясность в отношении изменения покрытия охраняемых районов с течением времени. Чтобы отразить эту неопределенность, год был случайным образом взят по другому охраняемому району в той же стране, и затем эта процедура повторялась 1000 раз, с медианным графиком (</w:t>
      </w:r>
      <w:proofErr w:type="spellStart"/>
      <w:r w:rsidRPr="00BB54F4">
        <w:rPr>
          <w:rFonts w:ascii="Times New Roman" w:hAnsi="Times New Roman" w:cs="Times New Roman"/>
          <w:sz w:val="24"/>
          <w:szCs w:val="24"/>
          <w:lang w:val="ru-RU"/>
        </w:rPr>
        <w:t>Butchartetal</w:t>
      </w:r>
      <w:proofErr w:type="spellEnd"/>
      <w:r w:rsidRPr="00BB54F4">
        <w:rPr>
          <w:rFonts w:ascii="Times New Roman" w:hAnsi="Times New Roman" w:cs="Times New Roman"/>
          <w:sz w:val="24"/>
          <w:szCs w:val="24"/>
          <w:lang w:val="ru-RU"/>
        </w:rPr>
        <w:t>., 2012, 2015).</w:t>
      </w:r>
    </w:p>
    <w:p w:rsidR="00EC03F3" w:rsidRPr="00BB54F4" w:rsidRDefault="004141EE" w:rsidP="00EC03F3">
      <w:pPr>
        <w:jc w:val="both"/>
        <w:rPr>
          <w:rFonts w:ascii="Times New Roman" w:hAnsi="Times New Roman" w:cs="Times New Roman"/>
          <w:b/>
          <w:sz w:val="24"/>
          <w:szCs w:val="24"/>
          <w:lang w:val="ru-RU"/>
        </w:rPr>
      </w:pPr>
      <w:r>
        <w:rPr>
          <w:rFonts w:ascii="Times New Roman" w:hAnsi="Times New Roman" w:cs="Times New Roman"/>
          <w:b/>
          <w:sz w:val="24"/>
          <w:szCs w:val="24"/>
          <w:lang w:val="ru-RU"/>
        </w:rPr>
        <w:t>Дезагрегация</w:t>
      </w:r>
      <w:bookmarkStart w:id="0" w:name="_GoBack"/>
      <w:bookmarkEnd w:id="0"/>
      <w:r w:rsidR="00EC03F3" w:rsidRPr="00BB54F4">
        <w:rPr>
          <w:rFonts w:ascii="Times New Roman" w:hAnsi="Times New Roman" w:cs="Times New Roman"/>
          <w:b/>
          <w:sz w:val="24"/>
          <w:szCs w:val="24"/>
          <w:lang w:val="ru-RU"/>
        </w:rPr>
        <w:t xml:space="preserve">: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Учитывая, что данные для глобального индикатора компилируются на национальном уровне, их можно дезагрегировать на национальный и региональный уровень (например, </w:t>
      </w:r>
      <w:proofErr w:type="spellStart"/>
      <w:r w:rsidRPr="00BB54F4">
        <w:rPr>
          <w:rFonts w:ascii="Times New Roman" w:hAnsi="Times New Roman" w:cs="Times New Roman"/>
          <w:sz w:val="24"/>
          <w:szCs w:val="24"/>
          <w:lang w:val="ru-RU"/>
        </w:rPr>
        <w:t>Han</w:t>
      </w:r>
      <w:r w:rsidRPr="00BB54F4">
        <w:rPr>
          <w:rFonts w:ascii="Times New Roman" w:hAnsi="Times New Roman" w:cs="Times New Roman"/>
          <w:sz w:val="24"/>
          <w:szCs w:val="24"/>
        </w:rPr>
        <w:t>etal</w:t>
      </w:r>
      <w:proofErr w:type="spellEnd"/>
      <w:r w:rsidRPr="00BB54F4">
        <w:rPr>
          <w:rFonts w:ascii="Times New Roman" w:hAnsi="Times New Roman" w:cs="Times New Roman"/>
          <w:sz w:val="24"/>
          <w:szCs w:val="24"/>
          <w:lang w:val="ru-RU"/>
        </w:rPr>
        <w:t xml:space="preserve">. 2014) или, наоборот, агрегировать на глобальный уровень. Ключевые зоны биоразнообразия охватывают все типы </w:t>
      </w:r>
      <w:proofErr w:type="spellStart"/>
      <w:r w:rsidRPr="00BB54F4">
        <w:rPr>
          <w:rFonts w:ascii="Times New Roman" w:hAnsi="Times New Roman" w:cs="Times New Roman"/>
          <w:sz w:val="24"/>
          <w:szCs w:val="24"/>
          <w:lang w:val="ru-RU"/>
        </w:rPr>
        <w:t>экосистеммор</w:t>
      </w:r>
      <w:r w:rsidR="002014A1" w:rsidRPr="00BB54F4">
        <w:rPr>
          <w:rFonts w:ascii="Times New Roman" w:hAnsi="Times New Roman" w:cs="Times New Roman"/>
          <w:sz w:val="24"/>
          <w:szCs w:val="24"/>
          <w:lang w:val="ru-RU"/>
        </w:rPr>
        <w:t>ской</w:t>
      </w:r>
      <w:proofErr w:type="spellEnd"/>
      <w:r w:rsidR="002014A1" w:rsidRPr="00BB54F4">
        <w:rPr>
          <w:rFonts w:ascii="Times New Roman" w:hAnsi="Times New Roman" w:cs="Times New Roman"/>
          <w:sz w:val="24"/>
          <w:szCs w:val="24"/>
          <w:lang w:val="ru-RU"/>
        </w:rPr>
        <w:t xml:space="preserve"> среды</w:t>
      </w:r>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Edgaret</w:t>
      </w:r>
      <w:r w:rsidR="002014A1" w:rsidRPr="00BB54F4">
        <w:rPr>
          <w:rFonts w:ascii="Times New Roman" w:hAnsi="Times New Roman" w:cs="Times New Roman"/>
          <w:sz w:val="24"/>
          <w:szCs w:val="24"/>
          <w:lang w:val="ru-RU"/>
        </w:rPr>
        <w:t>al</w:t>
      </w:r>
      <w:proofErr w:type="spellEnd"/>
      <w:r w:rsidR="002014A1" w:rsidRPr="00BB54F4">
        <w:rPr>
          <w:rFonts w:ascii="Times New Roman" w:hAnsi="Times New Roman" w:cs="Times New Roman"/>
          <w:sz w:val="24"/>
          <w:szCs w:val="24"/>
          <w:lang w:val="ru-RU"/>
        </w:rPr>
        <w:t>. 2008) и за ее пределами</w:t>
      </w:r>
      <w:r w:rsidRPr="00BB54F4">
        <w:rPr>
          <w:rFonts w:ascii="Times New Roman" w:hAnsi="Times New Roman" w:cs="Times New Roman"/>
          <w:sz w:val="24"/>
          <w:szCs w:val="24"/>
          <w:lang w:val="ru-RU"/>
        </w:rPr>
        <w:t xml:space="preserve">. Поэтому индикатор может быть представлен в совокупности по всем </w:t>
      </w:r>
      <w:r w:rsidR="003872A5" w:rsidRPr="00BB54F4">
        <w:rPr>
          <w:rFonts w:ascii="Times New Roman" w:hAnsi="Times New Roman" w:cs="Times New Roman"/>
          <w:sz w:val="24"/>
          <w:szCs w:val="24"/>
          <w:lang w:val="ru-RU"/>
        </w:rPr>
        <w:t xml:space="preserve">морским </w:t>
      </w:r>
      <w:r w:rsidRPr="00BB54F4">
        <w:rPr>
          <w:rFonts w:ascii="Times New Roman" w:hAnsi="Times New Roman" w:cs="Times New Roman"/>
          <w:sz w:val="24"/>
          <w:szCs w:val="24"/>
          <w:lang w:val="ru-RU"/>
        </w:rPr>
        <w:t xml:space="preserve">(а также </w:t>
      </w:r>
      <w:r w:rsidR="003872A5" w:rsidRPr="00BB54F4">
        <w:rPr>
          <w:rFonts w:ascii="Times New Roman" w:hAnsi="Times New Roman" w:cs="Times New Roman"/>
          <w:sz w:val="24"/>
          <w:szCs w:val="24"/>
          <w:lang w:val="ru-RU"/>
        </w:rPr>
        <w:t>наземным и пресноводным</w:t>
      </w:r>
      <w:r w:rsidRPr="00BB54F4">
        <w:rPr>
          <w:rFonts w:ascii="Times New Roman" w:hAnsi="Times New Roman" w:cs="Times New Roman"/>
          <w:sz w:val="24"/>
          <w:szCs w:val="24"/>
          <w:lang w:val="ru-RU"/>
        </w:rPr>
        <w:t xml:space="preserve">) системам, или по каждой из них в отдельности. Однако отдельные ключевые зоны биоразнообразия могут одновременно охватывать морские, наземные и пресноводные системы, поэтому метод вычисления не являются просто аддитивным. Наконец, показатель можно дезагрегировать в соответствии с различными категориями </w:t>
      </w:r>
      <w:proofErr w:type="gramStart"/>
      <w:r w:rsidRPr="00BB54F4">
        <w:rPr>
          <w:rFonts w:ascii="Times New Roman" w:hAnsi="Times New Roman" w:cs="Times New Roman"/>
          <w:sz w:val="24"/>
          <w:szCs w:val="24"/>
          <w:lang w:val="ru-RU"/>
        </w:rPr>
        <w:t>управления</w:t>
      </w:r>
      <w:proofErr w:type="gramEnd"/>
      <w:r w:rsidRPr="00BB54F4">
        <w:rPr>
          <w:rFonts w:ascii="Times New Roman" w:hAnsi="Times New Roman" w:cs="Times New Roman"/>
          <w:sz w:val="24"/>
          <w:szCs w:val="24"/>
          <w:lang w:val="ru-RU"/>
        </w:rPr>
        <w:t xml:space="preserve"> охраняемыми районами (категории I-VI), чтобы отразить различные конкретные задачи управления охраняемыми районами.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Помимо агрегирования охвата охраняемых районов на важных участках </w:t>
      </w:r>
      <w:r w:rsidR="00F70075" w:rsidRPr="00BB54F4">
        <w:rPr>
          <w:rFonts w:ascii="Times New Roman" w:hAnsi="Times New Roman" w:cs="Times New Roman"/>
          <w:sz w:val="24"/>
          <w:szCs w:val="24"/>
          <w:lang w:val="ru-RU"/>
        </w:rPr>
        <w:t>морского</w:t>
      </w:r>
      <w:r w:rsidRPr="00BB54F4">
        <w:rPr>
          <w:rFonts w:ascii="Times New Roman" w:hAnsi="Times New Roman" w:cs="Times New Roman"/>
          <w:sz w:val="24"/>
          <w:szCs w:val="24"/>
          <w:lang w:val="ru-RU"/>
        </w:rPr>
        <w:t xml:space="preserve"> биоразнообразия в качестве показателя по отношению к ЦУР 14.5, другие дезагрегированные данные по охвату охраняемых районов, которые имеют особое значение в качестве показателей для достижения ЦУР, включают: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lastRenderedPageBreak/>
        <w:t xml:space="preserve">ЦУР 6.6 Покрытие охраняемыми районами важных объектов для </w:t>
      </w:r>
      <w:proofErr w:type="gramStart"/>
      <w:r w:rsidRPr="00BB54F4">
        <w:rPr>
          <w:rFonts w:ascii="Times New Roman" w:hAnsi="Times New Roman" w:cs="Times New Roman"/>
          <w:sz w:val="24"/>
          <w:szCs w:val="24"/>
          <w:lang w:val="ru-RU"/>
        </w:rPr>
        <w:t>пресноводного</w:t>
      </w:r>
      <w:proofErr w:type="gramEnd"/>
      <w:r w:rsidRPr="00BB54F4">
        <w:rPr>
          <w:rFonts w:ascii="Times New Roman" w:hAnsi="Times New Roman" w:cs="Times New Roman"/>
          <w:sz w:val="24"/>
          <w:szCs w:val="24"/>
          <w:lang w:val="ru-RU"/>
        </w:rPr>
        <w:t xml:space="preserve"> биоразнообразия.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ЦУР 15.1 Доля важных участков для наземного и пресноводного биоразнообразия, охваченных охраняемыми районами, по типу экосистем.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ЦУР 15.4 Покрытие охраняемыми районами важных объектов биоразнообразия горных районов.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Данные об охвате охраняемых районов могут комбинироваться с другими источниками данных для получения дополнительных показателей. Например, наложение охраняемых районов на </w:t>
      </w:r>
      <w:proofErr w:type="spellStart"/>
      <w:r w:rsidRPr="00BB54F4">
        <w:rPr>
          <w:rFonts w:ascii="Times New Roman" w:hAnsi="Times New Roman" w:cs="Times New Roman"/>
          <w:sz w:val="24"/>
          <w:szCs w:val="24"/>
          <w:lang w:val="ru-RU"/>
        </w:rPr>
        <w:t>экорегиональных</w:t>
      </w:r>
      <w:proofErr w:type="spellEnd"/>
      <w:r w:rsidRPr="00BB54F4">
        <w:rPr>
          <w:rFonts w:ascii="Times New Roman" w:hAnsi="Times New Roman" w:cs="Times New Roman"/>
          <w:sz w:val="24"/>
          <w:szCs w:val="24"/>
          <w:lang w:val="ru-RU"/>
        </w:rPr>
        <w:t xml:space="preserve"> картах может использоваться для предоставления информации об охвате охраняемых районов в различных широких биогеографических регионах. Охват охраняемых районов с распределением различных групп видов (например, млекопитающих, птиц) может аналогичным образом являться индикатором тенденций в охвате биоразнообразия на уровне видов. Охват охраняемых районов может сочетаться с Индексом красной книги для получения показателей воздействия охраняемых районов в целях сокращения утраты </w:t>
      </w:r>
      <w:proofErr w:type="spellStart"/>
      <w:r w:rsidRPr="00BB54F4">
        <w:rPr>
          <w:rFonts w:ascii="Times New Roman" w:hAnsi="Times New Roman" w:cs="Times New Roman"/>
          <w:sz w:val="24"/>
          <w:szCs w:val="24"/>
          <w:lang w:val="ru-RU"/>
        </w:rPr>
        <w:t>биоразнообразия</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Butchartetal</w:t>
      </w:r>
      <w:proofErr w:type="spellEnd"/>
      <w:r w:rsidRPr="00BB54F4">
        <w:rPr>
          <w:rFonts w:ascii="Times New Roman" w:hAnsi="Times New Roman" w:cs="Times New Roman"/>
          <w:sz w:val="24"/>
          <w:szCs w:val="24"/>
          <w:lang w:val="ru-RU"/>
        </w:rPr>
        <w:t>., 2012). Наконец, индикаторы, полученные в результате наложения охраняемых природных зон, могут также способствовать устойчивому развитию городов; например, наложение охраняемых районов на городские карты могло бы стать основой для показателя общественного пространства как доли от общего городского пространства.</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Обработка отсутствующих значений: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На страновом уровне</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Данные доступны для охраняемых районов и ключевых зон биоразнообразия во всех странах мира, поэтому не требуется вычисление или оценка данных на национальном уровне.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На региональном и глобальном уровне</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Глобальные показатели охвата охраняемыми районами важных объектов биоразнообразия рассчитываются как процентная доля всех ключевых зон биоразнообразия, которые полностью покрываются охраняемыми районами. Данные генерируются на основе данных обо всех странах, поэтому, несмотря на неопределенность в отношении данных, нет никаких пропущенных значений как таковых, и поэтому нет необходимости в вычислении или оценке данных.</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Региональные агрегированные показатели: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ЮНЕП-ВЦМООС является органом, отвечающим за расчет и представление глобальных и региональных данных по этому показателю, работая с </w:t>
      </w:r>
      <w:proofErr w:type="spellStart"/>
      <w:r w:rsidRPr="00BB54F4">
        <w:rPr>
          <w:rFonts w:ascii="Times New Roman" w:hAnsi="Times New Roman" w:cs="Times New Roman"/>
          <w:sz w:val="24"/>
          <w:szCs w:val="24"/>
          <w:lang w:val="ru-RU"/>
        </w:rPr>
        <w:t>BirdLifeInternational</w:t>
      </w:r>
      <w:proofErr w:type="spellEnd"/>
      <w:r w:rsidRPr="00BB54F4">
        <w:rPr>
          <w:rFonts w:ascii="Times New Roman" w:hAnsi="Times New Roman" w:cs="Times New Roman"/>
          <w:sz w:val="24"/>
          <w:szCs w:val="24"/>
          <w:lang w:val="ru-RU"/>
        </w:rPr>
        <w:t xml:space="preserve"> и МСОП для объединения данных по охраняемым районам с теми, которые важны для сохранения биоразнообразия. ЮНЕП-ВЦМООС объединяет глобальные и региональные данные по охраняемым районам с национальными данными, которые рассчитываются из Всемирной базы данных по охраняемым районам и распространяются через базу «Охраняемая планета»</w:t>
      </w:r>
      <w:r w:rsidRPr="00BB54F4">
        <w:rPr>
          <w:rFonts w:ascii="Times New Roman" w:hAnsi="Times New Roman" w:cs="Times New Roman"/>
          <w:i/>
          <w:sz w:val="24"/>
          <w:szCs w:val="24"/>
          <w:lang w:val="ru-RU"/>
        </w:rPr>
        <w:t>.</w:t>
      </w:r>
      <w:r w:rsidRPr="00BB54F4">
        <w:rPr>
          <w:rFonts w:ascii="Times New Roman" w:hAnsi="Times New Roman" w:cs="Times New Roman"/>
          <w:sz w:val="24"/>
          <w:szCs w:val="24"/>
          <w:lang w:val="ru-RU"/>
        </w:rPr>
        <w:t xml:space="preserve"> Всемирная база данных по охраняемым районам и база «Охраняемая планета» совместно управляется ЮНЕП-</w:t>
      </w:r>
      <w:r w:rsidRPr="00BB54F4">
        <w:rPr>
          <w:rFonts w:ascii="Times New Roman" w:hAnsi="Times New Roman" w:cs="Times New Roman"/>
          <w:sz w:val="24"/>
          <w:szCs w:val="24"/>
          <w:lang w:val="ru-RU"/>
        </w:rPr>
        <w:lastRenderedPageBreak/>
        <w:t xml:space="preserve">ВЦМООС и МСОП и Всемирной комиссией по охраняемым районам. Всемирная база данных об охраняемых районах хранится в Географической информационной системе, которая хранит информацию об охраняемых районах, таких как название, размер, тип, дата создания, географическое положение (точка) и / или граница (многоугольник). Охват охраняемой территории рассчитывается с использованием всех охраняемых районов, зарегистрированных во Всемирной базе данных по охраняемым районам, местоположение и масштабы которых известны. Охраняемые области без цифровых границ исключаются из индикатора.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Важные районы обитания птиц и биоразнообразия являются объектами международного значения для сохранения биоразнообразия, идентифицированные с использованием данных о птицах. Важные ареалы обитания птиц и биоразнообразия определяются с использованием стандартизированного набора критериев и пороговых значений, определяемых данными, в отношении видов, находящихся под угрозой исчезновения и стайных видов. Важные ареалы обитания птиц и биоразнообразия разделены таким образом, чтобы они, насколько это возможно: (а) различались по своему характеру, месту обитания или орнитологической важности от окружающих районов; (</w:t>
      </w:r>
      <w:r w:rsidRPr="00BB54F4">
        <w:rPr>
          <w:rFonts w:ascii="Times New Roman" w:hAnsi="Times New Roman" w:cs="Times New Roman"/>
          <w:sz w:val="24"/>
          <w:szCs w:val="24"/>
        </w:rPr>
        <w:t>b</w:t>
      </w:r>
      <w:r w:rsidRPr="00BB54F4">
        <w:rPr>
          <w:rFonts w:ascii="Times New Roman" w:hAnsi="Times New Roman" w:cs="Times New Roman"/>
          <w:sz w:val="24"/>
          <w:szCs w:val="24"/>
          <w:lang w:val="ru-RU"/>
        </w:rPr>
        <w:t xml:space="preserve">) обеспечивали требования триггерных видов (то есть тех, для которых данная область соответствует важнейшим критериям), при их наличии, отдельно или в сочетании с другими объектами и (c) использовались или могли каким-то образом использоваться для охраны природы. </w:t>
      </w:r>
    </w:p>
    <w:p w:rsidR="00EC03F3" w:rsidRPr="00BB54F4" w:rsidRDefault="00EC03F3" w:rsidP="00EC03F3">
      <w:pPr>
        <w:jc w:val="both"/>
        <w:rPr>
          <w:rFonts w:ascii="Times New Roman" w:hAnsi="Times New Roman" w:cs="Times New Roman"/>
          <w:sz w:val="24"/>
          <w:szCs w:val="24"/>
          <w:lang w:val="ru-RU"/>
        </w:rPr>
      </w:pPr>
      <w:proofErr w:type="gramStart"/>
      <w:r w:rsidRPr="00BB54F4">
        <w:rPr>
          <w:rFonts w:ascii="Times New Roman" w:hAnsi="Times New Roman" w:cs="Times New Roman"/>
          <w:sz w:val="24"/>
          <w:szCs w:val="24"/>
          <w:lang w:val="ru-RU"/>
        </w:rPr>
        <w:t>Участки Альянса нулевого уровня вымирания отвечают трем критериям: нахождение под угрозой (поддерживающая, по крайней мере, один вид, находящийся под угрозой исчезновения или находящийся под угрозой исчезновения, как указано в Красной книге МСОП); незаменимость (удерживание единственной или исключительно значимой (= 95%) известной популяции целевого вида, по крайней мере, для одного сегмента жизненного цикла);</w:t>
      </w:r>
      <w:proofErr w:type="gramEnd"/>
      <w:r w:rsidRPr="00BB54F4">
        <w:rPr>
          <w:rFonts w:ascii="Times New Roman" w:hAnsi="Times New Roman" w:cs="Times New Roman"/>
          <w:sz w:val="24"/>
          <w:szCs w:val="24"/>
          <w:lang w:val="ru-RU"/>
        </w:rPr>
        <w:t xml:space="preserve"> и дискретности (с определяемой границей, в которой характер местообитаний, биологических сообществ и / или проблем управления имеют больше общего друг с другом, чем с теми, которые находятся в смежных областях). Следовательно, участки Альянса нулевого уровня вымирания представляют собой места, в которых исчезновение видов неизбежно, если только они не будут надлежащим образом защищены (т.е. не будут иметь статуса охраняемой зоны или устойчиво использоваться в соответствии с целью сохранения популяций целевых видов).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Важные районы обитания птиц и биоразнообразия и районы «Альянса нулевого уровня вымирания» по определению представляют собой области, имеющие особую важность для биоразнообразия, обозначенные в Айтинской Цели 11 по сохранению биоразнообразия, и представляют собой единственные области таких объектов, которые систематически идентифицированы по всему миру. Следовательно, они представляют собой важные области, которые следует рассматривать в качестве официальных охраняемых районов.</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Источники расхождений: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lastRenderedPageBreak/>
        <w:t xml:space="preserve">Национальные процессы обеспечивают большую часть данных, которые затем агрегируются как во Всемирной базе данных по охраняемым районам, так и во Всемирной базе данных ключевых зон биоразнообразия, и поэтому различия между национальными и глобальными показателями минимальны. Одним из незначительных источников расхождений является то, что Всемирная база данных по охраняемым районам включает в себя охраняемые районы, расположенные на международном уровне (например, объекты всемирного наследия, </w:t>
      </w:r>
      <w:proofErr w:type="spellStart"/>
      <w:r w:rsidRPr="00BB54F4">
        <w:rPr>
          <w:rFonts w:ascii="Times New Roman" w:hAnsi="Times New Roman" w:cs="Times New Roman"/>
          <w:sz w:val="24"/>
          <w:szCs w:val="24"/>
          <w:lang w:val="ru-RU"/>
        </w:rPr>
        <w:t>Рамсарские</w:t>
      </w:r>
      <w:proofErr w:type="spellEnd"/>
      <w:r w:rsidRPr="00BB54F4">
        <w:rPr>
          <w:rFonts w:ascii="Times New Roman" w:hAnsi="Times New Roman" w:cs="Times New Roman"/>
          <w:sz w:val="24"/>
          <w:szCs w:val="24"/>
          <w:lang w:val="ru-RU"/>
        </w:rPr>
        <w:t xml:space="preserve"> угодья и т. д.), некоторые из которых не считаются охраняемыми районами в их суверенных государствах.</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Источники данных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Данные охраняемых районов составляются министерствами окружающей среды и другими министерствами, ответственными за назначение и содержание охраняемых районов. Данные охраняемых районов для участков, обозначенных в соответствии с </w:t>
      </w:r>
      <w:proofErr w:type="spellStart"/>
      <w:r w:rsidRPr="00BB54F4">
        <w:rPr>
          <w:rFonts w:ascii="Times New Roman" w:hAnsi="Times New Roman" w:cs="Times New Roman"/>
          <w:sz w:val="24"/>
          <w:szCs w:val="24"/>
          <w:lang w:val="ru-RU"/>
        </w:rPr>
        <w:t>Рамсарской</w:t>
      </w:r>
      <w:proofErr w:type="spellEnd"/>
      <w:r w:rsidRPr="00BB54F4">
        <w:rPr>
          <w:rFonts w:ascii="Times New Roman" w:hAnsi="Times New Roman" w:cs="Times New Roman"/>
          <w:sz w:val="24"/>
          <w:szCs w:val="24"/>
          <w:lang w:val="ru-RU"/>
        </w:rPr>
        <w:t xml:space="preserve"> конвенцией и Конвенцией о всемирном наследии ЮНЕСКО, собираются через соответствующие секретариаты соответствующих конвенций. Данные охраняемых районов агрегируются глобально в Мировой базе данных по охраняемым районам Всемирным центром мониторинга охраны окружающей среды ЮНЕП в соответствии с мандатом на подготовку Перечня охраняемых районов Организации Объединенных Наций (</w:t>
      </w:r>
      <w:proofErr w:type="spellStart"/>
      <w:r w:rsidRPr="00BB54F4">
        <w:rPr>
          <w:rFonts w:ascii="Times New Roman" w:hAnsi="Times New Roman" w:cs="Times New Roman"/>
          <w:sz w:val="24"/>
          <w:szCs w:val="24"/>
          <w:lang w:val="ru-RU"/>
        </w:rPr>
        <w:t>Deguignetetal</w:t>
      </w:r>
      <w:proofErr w:type="spellEnd"/>
      <w:r w:rsidRPr="00BB54F4">
        <w:rPr>
          <w:rFonts w:ascii="Times New Roman" w:hAnsi="Times New Roman" w:cs="Times New Roman"/>
          <w:sz w:val="24"/>
          <w:szCs w:val="24"/>
          <w:lang w:val="ru-RU"/>
        </w:rPr>
        <w:t>., 2014). Они распространяются через базу «Охраняемая планета» http://www.protectedplanet.net/, который совместно управляется ЮНЕП-ВЦМООС и МСОП и его Всемирной комиссией по охраняемым районам (</w:t>
      </w:r>
      <w:proofErr w:type="spellStart"/>
      <w:r w:rsidRPr="00BB54F4">
        <w:rPr>
          <w:rFonts w:ascii="Times New Roman" w:hAnsi="Times New Roman" w:cs="Times New Roman"/>
          <w:sz w:val="24"/>
          <w:szCs w:val="24"/>
          <w:lang w:val="ru-RU"/>
        </w:rPr>
        <w:t>Juffe-Bignolietal</w:t>
      </w:r>
      <w:proofErr w:type="spellEnd"/>
      <w:r w:rsidRPr="00BB54F4">
        <w:rPr>
          <w:rFonts w:ascii="Times New Roman" w:hAnsi="Times New Roman" w:cs="Times New Roman"/>
          <w:sz w:val="24"/>
          <w:szCs w:val="24"/>
          <w:lang w:val="ru-RU"/>
        </w:rPr>
        <w:t>., 2014).</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Ключевые области биоразнообразия определены в национальных масштабах с участием многих заинтересованных сторон, посредством следования стандартным критериям и пороговым значениям. Данные о ключевых аспектах биоразнообразия объединены во Всемирную базу данных по ключевым областям </w:t>
      </w:r>
      <w:proofErr w:type="spellStart"/>
      <w:r w:rsidRPr="00BB54F4">
        <w:rPr>
          <w:rFonts w:ascii="Times New Roman" w:hAnsi="Times New Roman" w:cs="Times New Roman"/>
          <w:sz w:val="24"/>
          <w:szCs w:val="24"/>
          <w:lang w:val="ru-RU"/>
        </w:rPr>
        <w:t>биоразнообразия</w:t>
      </w:r>
      <w:proofErr w:type="spellEnd"/>
      <w:r w:rsidRPr="00BB54F4">
        <w:rPr>
          <w:rFonts w:ascii="Times New Roman" w:hAnsi="Times New Roman" w:cs="Times New Roman"/>
          <w:sz w:val="24"/>
          <w:szCs w:val="24"/>
          <w:lang w:val="ru-RU"/>
        </w:rPr>
        <w:t xml:space="preserve">, которой управляет </w:t>
      </w:r>
      <w:proofErr w:type="spellStart"/>
      <w:r w:rsidRPr="00BB54F4">
        <w:rPr>
          <w:rFonts w:ascii="Times New Roman" w:hAnsi="Times New Roman" w:cs="Times New Roman"/>
          <w:sz w:val="24"/>
          <w:szCs w:val="24"/>
          <w:lang w:val="ru-RU"/>
        </w:rPr>
        <w:t>BirdLifeInternational</w:t>
      </w:r>
      <w:proofErr w:type="spellEnd"/>
      <w:r w:rsidRPr="00BB54F4">
        <w:rPr>
          <w:rFonts w:ascii="Times New Roman" w:hAnsi="Times New Roman" w:cs="Times New Roman"/>
          <w:sz w:val="24"/>
          <w:szCs w:val="24"/>
          <w:lang w:val="ru-RU"/>
        </w:rPr>
        <w:t xml:space="preserve">. </w:t>
      </w:r>
      <w:proofErr w:type="gramStart"/>
      <w:r w:rsidRPr="00BB54F4">
        <w:rPr>
          <w:rFonts w:ascii="Times New Roman" w:hAnsi="Times New Roman" w:cs="Times New Roman"/>
          <w:sz w:val="24"/>
          <w:szCs w:val="24"/>
          <w:lang w:val="ru-RU"/>
        </w:rPr>
        <w:t xml:space="preserve">В частности, данные по важным районам птиц и биоразнообразия доступны в Интернете по адресу: </w:t>
      </w:r>
      <w:hyperlink r:id="rId4" w:history="1">
        <w:r w:rsidRPr="00BB54F4">
          <w:rPr>
            <w:rStyle w:val="a3"/>
            <w:rFonts w:ascii="Times New Roman" w:hAnsi="Times New Roman" w:cs="Times New Roman"/>
            <w:color w:val="auto"/>
            <w:sz w:val="24"/>
            <w:szCs w:val="24"/>
            <w:lang w:val="ru-RU"/>
          </w:rPr>
          <w:t>http://www.birdlife.org/datazone/site/search</w:t>
        </w:r>
      </w:hyperlink>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BirdLifeInternational</w:t>
      </w:r>
      <w:proofErr w:type="spellEnd"/>
      <w:r w:rsidRPr="00BB54F4">
        <w:rPr>
          <w:rFonts w:ascii="Times New Roman" w:hAnsi="Times New Roman" w:cs="Times New Roman"/>
          <w:sz w:val="24"/>
          <w:szCs w:val="24"/>
          <w:lang w:val="ru-RU"/>
        </w:rPr>
        <w:t xml:space="preserve"> 2016), а данные по сайтам «Альянса нулевого уровня вымирания» доступны в Интернете по адресу  http://www.zeroextinction.org/ (AZE 2010) . Оба набора данных, а также ключевые области биоразнообразия, определенные другими процессами, и Всемирная база данных по охраняемым районам</w:t>
      </w:r>
      <w:proofErr w:type="gramEnd"/>
      <w:r w:rsidRPr="00BB54F4">
        <w:rPr>
          <w:rFonts w:ascii="Times New Roman" w:hAnsi="Times New Roman" w:cs="Times New Roman"/>
          <w:sz w:val="24"/>
          <w:szCs w:val="24"/>
          <w:lang w:val="ru-RU"/>
        </w:rPr>
        <w:t xml:space="preserve">, также распространяются через Комплексный инструмент оценки биоразнообразия для планирования исследований и сохранения, доступный в Интернете по адресу </w:t>
      </w:r>
      <w:r w:rsidR="00084793">
        <w:fldChar w:fldCharType="begin"/>
      </w:r>
      <w:r w:rsidR="00084793">
        <w:instrText>HYPERLINK</w:instrText>
      </w:r>
      <w:r w:rsidR="00084793" w:rsidRPr="00197870">
        <w:rPr>
          <w:lang w:val="ru-RU"/>
        </w:rPr>
        <w:instrText xml:space="preserve"> "</w:instrText>
      </w:r>
      <w:r w:rsidR="00084793">
        <w:instrText>https</w:instrText>
      </w:r>
      <w:r w:rsidR="00084793" w:rsidRPr="00197870">
        <w:rPr>
          <w:lang w:val="ru-RU"/>
        </w:rPr>
        <w:instrText>://</w:instrText>
      </w:r>
      <w:r w:rsidR="00084793">
        <w:instrText>www</w:instrText>
      </w:r>
      <w:r w:rsidR="00084793" w:rsidRPr="00197870">
        <w:rPr>
          <w:lang w:val="ru-RU"/>
        </w:rPr>
        <w:instrText>.</w:instrText>
      </w:r>
      <w:r w:rsidR="00084793">
        <w:instrText>ibat</w:instrText>
      </w:r>
      <w:r w:rsidR="00084793" w:rsidRPr="00197870">
        <w:rPr>
          <w:lang w:val="ru-RU"/>
        </w:rPr>
        <w:instrText>-</w:instrText>
      </w:r>
      <w:r w:rsidR="00084793">
        <w:instrText>alliance</w:instrText>
      </w:r>
      <w:r w:rsidR="00084793" w:rsidRPr="00197870">
        <w:rPr>
          <w:lang w:val="ru-RU"/>
        </w:rPr>
        <w:instrText>.</w:instrText>
      </w:r>
      <w:r w:rsidR="00084793">
        <w:instrText>org</w:instrText>
      </w:r>
      <w:r w:rsidR="00084793" w:rsidRPr="00197870">
        <w:rPr>
          <w:lang w:val="ru-RU"/>
        </w:rPr>
        <w:instrText>/</w:instrText>
      </w:r>
      <w:r w:rsidR="00084793">
        <w:instrText>ibat</w:instrText>
      </w:r>
      <w:r w:rsidR="00084793" w:rsidRPr="00197870">
        <w:rPr>
          <w:lang w:val="ru-RU"/>
        </w:rPr>
        <w:instrText>-</w:instrText>
      </w:r>
      <w:r w:rsidR="00084793">
        <w:instrText>conservation</w:instrText>
      </w:r>
      <w:r w:rsidR="00084793" w:rsidRPr="00197870">
        <w:rPr>
          <w:lang w:val="ru-RU"/>
        </w:rPr>
        <w:instrText>/</w:instrText>
      </w:r>
      <w:r w:rsidR="00084793">
        <w:instrText>login</w:instrText>
      </w:r>
      <w:r w:rsidR="00084793" w:rsidRPr="00197870">
        <w:rPr>
          <w:lang w:val="ru-RU"/>
        </w:rPr>
        <w:instrText>"</w:instrText>
      </w:r>
      <w:r w:rsidR="00084793">
        <w:fldChar w:fldCharType="separate"/>
      </w:r>
      <w:r w:rsidRPr="00BB54F4">
        <w:rPr>
          <w:rStyle w:val="a3"/>
          <w:rFonts w:ascii="Times New Roman" w:hAnsi="Times New Roman" w:cs="Times New Roman"/>
          <w:color w:val="auto"/>
          <w:sz w:val="24"/>
          <w:szCs w:val="24"/>
          <w:lang w:val="ru-RU"/>
        </w:rPr>
        <w:t>https://www.ibat-alliance.org/ibat-conservation/login</w:t>
      </w:r>
      <w:r w:rsidR="00084793">
        <w:fldChar w:fldCharType="end"/>
      </w:r>
      <w:r w:rsidRPr="00BB54F4">
        <w:rPr>
          <w:rFonts w:ascii="Times New Roman" w:hAnsi="Times New Roman" w:cs="Times New Roman"/>
          <w:sz w:val="24"/>
          <w:szCs w:val="24"/>
          <w:lang w:val="ru-RU"/>
        </w:rPr>
        <w:t>.</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Доступность данных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Описание: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Этот показатель был классифицирован Межведомственной экспертной группой по индикаторам ЦУР как уровень 1. Текущие данные доступны для всех стран мира, и они обновляются на постоянной основе.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Временной ряд: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lastRenderedPageBreak/>
        <w:t>~ 150 лет</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Календарь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Сбор данных:</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ЮНЕП-ВЦМООС приводит список охраняемых районов ООН каждые 5-10 лет на основе информации, представленной национальными министерствами/ведомствами. В промежуточный период между публикацией сборников-списков ООН ЮНЕП-ВЦМООС тесно сотрудничает с национальными министерствами/ведомствами и НПО (неправительственные организации), ответственными за назначение и поддержание охраняемых районов, постоянно обновляя Всемирную базу данных по охраняемым районам по мере поступления новых данных. Всемирная база данных ключевых областей биоразнообразия также обновляется на постоянной основе, поскольку предоставляются новые национальные данные.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Выпуск данных: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Ожидается, что показатель охвата охраняемыми районами важных объектов для биоразнообразия будет выпускаться ежегодно.</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Поставщики данных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Данные охраняемых районов составляются министерствами окружающей среды и другими министерствами, ответственными за назначение и содержание охраняемых районов. Ключевые области биоразнообразия определены в национальных масштабах посредством процессов с участием многих заинтересованных сторон, с учетом следования стандартным критериям и пороговым значениям. </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Составители данных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Н</w:t>
      </w:r>
      <w:r w:rsidR="00910FB3" w:rsidRPr="00BB54F4">
        <w:rPr>
          <w:rFonts w:ascii="Times New Roman" w:hAnsi="Times New Roman" w:cs="Times New Roman"/>
          <w:sz w:val="24"/>
          <w:szCs w:val="24"/>
          <w:lang w:val="ru-RU"/>
        </w:rPr>
        <w:t>аименование</w:t>
      </w:r>
      <w:r w:rsidRPr="00BB54F4">
        <w:rPr>
          <w:rFonts w:ascii="Times New Roman" w:hAnsi="Times New Roman" w:cs="Times New Roman"/>
          <w:sz w:val="24"/>
          <w:szCs w:val="24"/>
          <w:lang w:val="ru-RU"/>
        </w:rPr>
        <w:t>: ЮНЕП-ВЦМООС и МСОП</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Описание:</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Данные охраняемых районов агрегируются глобально в Мировой базе данных по охраняемым районам Всемирным центром мониторинга охраны окружающей среды ЮНЕП в соответствии с мандатом на подготовку Перечня охраняемых районов Организации Объединенных Наций (</w:t>
      </w:r>
      <w:proofErr w:type="spellStart"/>
      <w:r w:rsidRPr="00BB54F4">
        <w:rPr>
          <w:rFonts w:ascii="Times New Roman" w:hAnsi="Times New Roman" w:cs="Times New Roman"/>
          <w:sz w:val="24"/>
          <w:szCs w:val="24"/>
          <w:lang w:val="ru-RU"/>
        </w:rPr>
        <w:t>Deguignetetal</w:t>
      </w:r>
      <w:proofErr w:type="spellEnd"/>
      <w:r w:rsidRPr="00BB54F4">
        <w:rPr>
          <w:rFonts w:ascii="Times New Roman" w:hAnsi="Times New Roman" w:cs="Times New Roman"/>
          <w:sz w:val="24"/>
          <w:szCs w:val="24"/>
          <w:lang w:val="ru-RU"/>
        </w:rPr>
        <w:t>., 2014). Они распространяются через базу «Охраняемая планета» http://www.protectedplanet.net/, который совместно управляется ЮНЕП-ВЦМООС и МСОП и его Всемирной комиссией по охраняемым районам (</w:t>
      </w:r>
      <w:proofErr w:type="spellStart"/>
      <w:r w:rsidRPr="00BB54F4">
        <w:rPr>
          <w:rFonts w:ascii="Times New Roman" w:hAnsi="Times New Roman" w:cs="Times New Roman"/>
          <w:sz w:val="24"/>
          <w:szCs w:val="24"/>
          <w:lang w:val="ru-RU"/>
        </w:rPr>
        <w:t>Juffe-Bignolietal</w:t>
      </w:r>
      <w:proofErr w:type="spellEnd"/>
      <w:r w:rsidRPr="00BB54F4">
        <w:rPr>
          <w:rFonts w:ascii="Times New Roman" w:hAnsi="Times New Roman" w:cs="Times New Roman"/>
          <w:sz w:val="24"/>
          <w:szCs w:val="24"/>
          <w:lang w:val="ru-RU"/>
        </w:rPr>
        <w:t xml:space="preserve">., 2014). Данные о ключевых аспектах биоразнообразия объединены во Всемирную базу данных по ключевым областям </w:t>
      </w:r>
      <w:proofErr w:type="spellStart"/>
      <w:r w:rsidRPr="00BB54F4">
        <w:rPr>
          <w:rFonts w:ascii="Times New Roman" w:hAnsi="Times New Roman" w:cs="Times New Roman"/>
          <w:sz w:val="24"/>
          <w:szCs w:val="24"/>
          <w:lang w:val="ru-RU"/>
        </w:rPr>
        <w:t>биоразнообразия</w:t>
      </w:r>
      <w:proofErr w:type="spellEnd"/>
      <w:r w:rsidRPr="00BB54F4">
        <w:rPr>
          <w:rFonts w:ascii="Times New Roman" w:hAnsi="Times New Roman" w:cs="Times New Roman"/>
          <w:sz w:val="24"/>
          <w:szCs w:val="24"/>
          <w:lang w:val="ru-RU"/>
        </w:rPr>
        <w:t xml:space="preserve">, которой управляет </w:t>
      </w:r>
      <w:proofErr w:type="spellStart"/>
      <w:r w:rsidRPr="00BB54F4">
        <w:rPr>
          <w:rFonts w:ascii="Times New Roman" w:hAnsi="Times New Roman" w:cs="Times New Roman"/>
          <w:sz w:val="24"/>
          <w:szCs w:val="24"/>
          <w:lang w:val="ru-RU"/>
        </w:rPr>
        <w:t>BirdLifeInternational</w:t>
      </w:r>
      <w:proofErr w:type="spellEnd"/>
      <w:r w:rsidRPr="00BB54F4">
        <w:rPr>
          <w:rFonts w:ascii="Times New Roman" w:hAnsi="Times New Roman" w:cs="Times New Roman"/>
          <w:sz w:val="24"/>
          <w:szCs w:val="24"/>
          <w:lang w:val="ru-RU"/>
        </w:rPr>
        <w:t>. В частности, данные по важным районам птиц и биоразнообразия доступны в Интернете по адресу: http://www.birdlife.org/datazone/site/search (</w:t>
      </w:r>
      <w:proofErr w:type="spellStart"/>
      <w:r w:rsidRPr="00BB54F4">
        <w:rPr>
          <w:rFonts w:ascii="Times New Roman" w:hAnsi="Times New Roman" w:cs="Times New Roman"/>
          <w:sz w:val="24"/>
          <w:szCs w:val="24"/>
          <w:lang w:val="ru-RU"/>
        </w:rPr>
        <w:t>BirdLifeInternational</w:t>
      </w:r>
      <w:proofErr w:type="spellEnd"/>
      <w:r w:rsidRPr="00BB54F4">
        <w:rPr>
          <w:rFonts w:ascii="Times New Roman" w:hAnsi="Times New Roman" w:cs="Times New Roman"/>
          <w:sz w:val="24"/>
          <w:szCs w:val="24"/>
          <w:lang w:val="ru-RU"/>
        </w:rPr>
        <w:t xml:space="preserve"> 2016), а данные по сайтам «Альянса нулевого уровня вымирания» доступны в Интернете по адресу http: // www.zeroextinction.org / (AZE 2010). Оба набора данных вместе </w:t>
      </w:r>
      <w:proofErr w:type="gramStart"/>
      <w:r w:rsidRPr="00BB54F4">
        <w:rPr>
          <w:rFonts w:ascii="Times New Roman" w:hAnsi="Times New Roman" w:cs="Times New Roman"/>
          <w:sz w:val="24"/>
          <w:szCs w:val="24"/>
          <w:lang w:val="ru-RU"/>
        </w:rPr>
        <w:t>со</w:t>
      </w:r>
      <w:proofErr w:type="gramEnd"/>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lang w:val="ru-RU"/>
        </w:rPr>
        <w:lastRenderedPageBreak/>
        <w:t xml:space="preserve">Всемирной базой данных по охраняемым районам также распространяются через Комплексный инструмент оценки биоразнообразия для исследований и планирования охраны, доступный в Интернете по адресу </w:t>
      </w:r>
      <w:r w:rsidR="00084793">
        <w:fldChar w:fldCharType="begin"/>
      </w:r>
      <w:r w:rsidR="00084793">
        <w:instrText>HYPERLINK</w:instrText>
      </w:r>
      <w:r w:rsidR="00084793" w:rsidRPr="00197870">
        <w:rPr>
          <w:lang w:val="ru-RU"/>
        </w:rPr>
        <w:instrText xml:space="preserve"> "</w:instrText>
      </w:r>
      <w:r w:rsidR="00084793">
        <w:instrText>https</w:instrText>
      </w:r>
      <w:r w:rsidR="00084793" w:rsidRPr="00197870">
        <w:rPr>
          <w:lang w:val="ru-RU"/>
        </w:rPr>
        <w:instrText>://</w:instrText>
      </w:r>
      <w:r w:rsidR="00084793">
        <w:instrText>www</w:instrText>
      </w:r>
      <w:r w:rsidR="00084793" w:rsidRPr="00197870">
        <w:rPr>
          <w:lang w:val="ru-RU"/>
        </w:rPr>
        <w:instrText>.</w:instrText>
      </w:r>
      <w:r w:rsidR="00084793">
        <w:instrText>ibat</w:instrText>
      </w:r>
      <w:r w:rsidR="00084793" w:rsidRPr="00197870">
        <w:rPr>
          <w:lang w:val="ru-RU"/>
        </w:rPr>
        <w:instrText>-</w:instrText>
      </w:r>
      <w:r w:rsidR="00084793">
        <w:instrText>alliance</w:instrText>
      </w:r>
      <w:r w:rsidR="00084793" w:rsidRPr="00197870">
        <w:rPr>
          <w:lang w:val="ru-RU"/>
        </w:rPr>
        <w:instrText>.</w:instrText>
      </w:r>
      <w:r w:rsidR="00084793">
        <w:instrText>org</w:instrText>
      </w:r>
      <w:r w:rsidR="00084793" w:rsidRPr="00197870">
        <w:rPr>
          <w:lang w:val="ru-RU"/>
        </w:rPr>
        <w:instrText>/</w:instrText>
      </w:r>
      <w:r w:rsidR="00084793">
        <w:instrText>ibat</w:instrText>
      </w:r>
      <w:r w:rsidR="00084793" w:rsidRPr="00197870">
        <w:rPr>
          <w:lang w:val="ru-RU"/>
        </w:rPr>
        <w:instrText>-</w:instrText>
      </w:r>
      <w:r w:rsidR="00084793">
        <w:instrText>conservation</w:instrText>
      </w:r>
      <w:r w:rsidR="00084793" w:rsidRPr="00197870">
        <w:rPr>
          <w:lang w:val="ru-RU"/>
        </w:rPr>
        <w:instrText>/</w:instrText>
      </w:r>
      <w:r w:rsidR="00084793">
        <w:instrText>login</w:instrText>
      </w:r>
      <w:r w:rsidR="00084793" w:rsidRPr="00197870">
        <w:rPr>
          <w:lang w:val="ru-RU"/>
        </w:rPr>
        <w:instrText>"</w:instrText>
      </w:r>
      <w:r w:rsidR="00084793">
        <w:fldChar w:fldCharType="separate"/>
      </w:r>
      <w:r w:rsidR="005E3017" w:rsidRPr="00BB54F4">
        <w:rPr>
          <w:rStyle w:val="a3"/>
          <w:rFonts w:ascii="Times New Roman" w:hAnsi="Times New Roman" w:cs="Times New Roman"/>
          <w:color w:val="auto"/>
          <w:sz w:val="24"/>
          <w:szCs w:val="24"/>
          <w:lang w:val="ru-RU"/>
        </w:rPr>
        <w:t>https://www.ibat-alliance.org/ibat-conservation/login</w:t>
      </w:r>
      <w:r w:rsidR="00084793">
        <w:fldChar w:fldCharType="end"/>
      </w:r>
      <w:r w:rsidRPr="00BB54F4">
        <w:rPr>
          <w:rFonts w:ascii="Times New Roman" w:hAnsi="Times New Roman" w:cs="Times New Roman"/>
          <w:sz w:val="24"/>
          <w:szCs w:val="24"/>
          <w:lang w:val="ru-RU"/>
        </w:rPr>
        <w:t>.</w:t>
      </w:r>
    </w:p>
    <w:p w:rsidR="005E3017" w:rsidRPr="00BB54F4" w:rsidRDefault="005E3017" w:rsidP="005E3017">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Ссылки:</w:t>
      </w:r>
    </w:p>
    <w:p w:rsidR="005E3017" w:rsidRPr="00BB54F4" w:rsidRDefault="005E3017" w:rsidP="005E3017">
      <w:pPr>
        <w:jc w:val="both"/>
        <w:rPr>
          <w:rFonts w:ascii="Times New Roman" w:hAnsi="Times New Roman" w:cs="Times New Roman"/>
          <w:sz w:val="24"/>
          <w:szCs w:val="24"/>
          <w:lang w:val="ru-RU"/>
        </w:rPr>
      </w:pPr>
      <w:r w:rsidRPr="00BB54F4">
        <w:rPr>
          <w:rFonts w:ascii="Times New Roman" w:hAnsi="Times New Roman" w:cs="Times New Roman"/>
          <w:sz w:val="24"/>
          <w:szCs w:val="24"/>
        </w:rPr>
        <w:t>URL</w:t>
      </w:r>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http</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www</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unep</w:t>
      </w:r>
      <w:proofErr w:type="spellEnd"/>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wcmc</w:t>
      </w:r>
      <w:proofErr w:type="spellEnd"/>
      <w:r w:rsidRPr="00BB54F4">
        <w:rPr>
          <w:rFonts w:ascii="Times New Roman" w:hAnsi="Times New Roman" w:cs="Times New Roman"/>
          <w:sz w:val="24"/>
          <w:szCs w:val="24"/>
          <w:lang w:val="ru-RU"/>
        </w:rPr>
        <w:t>.</w:t>
      </w:r>
      <w:r w:rsidRPr="00BB54F4">
        <w:rPr>
          <w:rFonts w:ascii="Times New Roman" w:hAnsi="Times New Roman" w:cs="Times New Roman"/>
          <w:sz w:val="24"/>
          <w:szCs w:val="24"/>
        </w:rPr>
        <w:t>org</w:t>
      </w:r>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http</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www</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birdlife</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org</w:t>
      </w:r>
      <w:r w:rsidRPr="00BB54F4">
        <w:rPr>
          <w:rFonts w:ascii="Times New Roman" w:hAnsi="Times New Roman" w:cs="Times New Roman"/>
          <w:sz w:val="24"/>
          <w:szCs w:val="24"/>
          <w:lang w:val="ru-RU"/>
        </w:rPr>
        <w:t xml:space="preserve">/; </w:t>
      </w:r>
      <w:r w:rsidR="00084793">
        <w:fldChar w:fldCharType="begin"/>
      </w:r>
      <w:r w:rsidR="00084793">
        <w:instrText>HYPERLINK</w:instrText>
      </w:r>
      <w:r w:rsidR="00084793" w:rsidRPr="00197870">
        <w:rPr>
          <w:lang w:val="ru-RU"/>
        </w:rPr>
        <w:instrText xml:space="preserve"> "</w:instrText>
      </w:r>
      <w:r w:rsidR="00084793">
        <w:instrText>http</w:instrText>
      </w:r>
      <w:r w:rsidR="00084793" w:rsidRPr="00197870">
        <w:rPr>
          <w:lang w:val="ru-RU"/>
        </w:rPr>
        <w:instrText>://</w:instrText>
      </w:r>
      <w:r w:rsidR="00084793">
        <w:instrText>www</w:instrText>
      </w:r>
      <w:r w:rsidR="00084793" w:rsidRPr="00197870">
        <w:rPr>
          <w:lang w:val="ru-RU"/>
        </w:rPr>
        <w:instrText>.</w:instrText>
      </w:r>
      <w:r w:rsidR="00084793">
        <w:instrText>iucn</w:instrText>
      </w:r>
      <w:r w:rsidR="00084793" w:rsidRPr="00197870">
        <w:rPr>
          <w:lang w:val="ru-RU"/>
        </w:rPr>
        <w:instrText>.</w:instrText>
      </w:r>
      <w:r w:rsidR="00084793">
        <w:instrText>org</w:instrText>
      </w:r>
      <w:r w:rsidR="00084793" w:rsidRPr="00197870">
        <w:rPr>
          <w:lang w:val="ru-RU"/>
        </w:rPr>
        <w:instrText>/"</w:instrText>
      </w:r>
      <w:r w:rsidR="00084793">
        <w:fldChar w:fldCharType="separate"/>
      </w:r>
      <w:r w:rsidRPr="00BB54F4">
        <w:rPr>
          <w:rStyle w:val="a3"/>
          <w:rFonts w:ascii="Times New Roman" w:hAnsi="Times New Roman" w:cs="Times New Roman"/>
          <w:color w:val="auto"/>
          <w:sz w:val="24"/>
          <w:szCs w:val="24"/>
        </w:rPr>
        <w:t>http</w:t>
      </w:r>
      <w:r w:rsidRPr="00BB54F4">
        <w:rPr>
          <w:rStyle w:val="a3"/>
          <w:rFonts w:ascii="Times New Roman" w:hAnsi="Times New Roman" w:cs="Times New Roman"/>
          <w:color w:val="auto"/>
          <w:sz w:val="24"/>
          <w:szCs w:val="24"/>
          <w:lang w:val="ru-RU"/>
        </w:rPr>
        <w:t>://</w:t>
      </w:r>
      <w:r w:rsidRPr="00BB54F4">
        <w:rPr>
          <w:rStyle w:val="a3"/>
          <w:rFonts w:ascii="Times New Roman" w:hAnsi="Times New Roman" w:cs="Times New Roman"/>
          <w:color w:val="auto"/>
          <w:sz w:val="24"/>
          <w:szCs w:val="24"/>
        </w:rPr>
        <w:t>www</w:t>
      </w:r>
      <w:r w:rsidRPr="00BB54F4">
        <w:rPr>
          <w:rStyle w:val="a3"/>
          <w:rFonts w:ascii="Times New Roman" w:hAnsi="Times New Roman" w:cs="Times New Roman"/>
          <w:color w:val="auto"/>
          <w:sz w:val="24"/>
          <w:szCs w:val="24"/>
          <w:lang w:val="ru-RU"/>
        </w:rPr>
        <w:t>.</w:t>
      </w:r>
      <w:proofErr w:type="spellStart"/>
      <w:r w:rsidRPr="00BB54F4">
        <w:rPr>
          <w:rStyle w:val="a3"/>
          <w:rFonts w:ascii="Times New Roman" w:hAnsi="Times New Roman" w:cs="Times New Roman"/>
          <w:color w:val="auto"/>
          <w:sz w:val="24"/>
          <w:szCs w:val="24"/>
        </w:rPr>
        <w:t>iucn</w:t>
      </w:r>
      <w:proofErr w:type="spellEnd"/>
      <w:r w:rsidRPr="00BB54F4">
        <w:rPr>
          <w:rStyle w:val="a3"/>
          <w:rFonts w:ascii="Times New Roman" w:hAnsi="Times New Roman" w:cs="Times New Roman"/>
          <w:color w:val="auto"/>
          <w:sz w:val="24"/>
          <w:szCs w:val="24"/>
          <w:lang w:val="ru-RU"/>
        </w:rPr>
        <w:t>.</w:t>
      </w:r>
      <w:r w:rsidRPr="00BB54F4">
        <w:rPr>
          <w:rStyle w:val="a3"/>
          <w:rFonts w:ascii="Times New Roman" w:hAnsi="Times New Roman" w:cs="Times New Roman"/>
          <w:color w:val="auto"/>
          <w:sz w:val="24"/>
          <w:szCs w:val="24"/>
        </w:rPr>
        <w:t>org</w:t>
      </w:r>
      <w:r w:rsidRPr="00BB54F4">
        <w:rPr>
          <w:rStyle w:val="a3"/>
          <w:rFonts w:ascii="Times New Roman" w:hAnsi="Times New Roman" w:cs="Times New Roman"/>
          <w:color w:val="auto"/>
          <w:sz w:val="24"/>
          <w:szCs w:val="24"/>
          <w:lang w:val="ru-RU"/>
        </w:rPr>
        <w:t>/</w:t>
      </w:r>
      <w:r w:rsidR="00084793">
        <w:fldChar w:fldCharType="end"/>
      </w:r>
    </w:p>
    <w:p w:rsidR="005E3017" w:rsidRPr="00BB54F4" w:rsidRDefault="005E3017" w:rsidP="005E301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Ссылки:</w:t>
      </w:r>
    </w:p>
    <w:p w:rsidR="005E3017" w:rsidRPr="00BB54F4" w:rsidRDefault="005E3017" w:rsidP="005E301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Эти метаданные основаны на следующих источниках:</w:t>
      </w:r>
    </w:p>
    <w:p w:rsidR="005E3017" w:rsidRPr="00BB54F4" w:rsidRDefault="005E3017" w:rsidP="005E3017">
      <w:pPr>
        <w:jc w:val="both"/>
        <w:rPr>
          <w:rFonts w:ascii="Times New Roman" w:hAnsi="Times New Roman" w:cs="Times New Roman"/>
          <w:sz w:val="24"/>
          <w:szCs w:val="24"/>
          <w:lang w:val="ru-RU"/>
        </w:rPr>
      </w:pPr>
      <w:r w:rsidRPr="00BB54F4">
        <w:rPr>
          <w:rFonts w:ascii="Times New Roman" w:hAnsi="Times New Roman" w:cs="Times New Roman"/>
          <w:sz w:val="24"/>
          <w:szCs w:val="24"/>
        </w:rPr>
        <w:t>http</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mdgs</w:t>
      </w:r>
      <w:proofErr w:type="spellEnd"/>
      <w:r w:rsidRPr="00BB54F4">
        <w:rPr>
          <w:rFonts w:ascii="Times New Roman" w:hAnsi="Times New Roman" w:cs="Times New Roman"/>
          <w:sz w:val="24"/>
          <w:szCs w:val="24"/>
          <w:lang w:val="ru-RU"/>
        </w:rPr>
        <w:t>.</w:t>
      </w:r>
      <w:r w:rsidRPr="00BB54F4">
        <w:rPr>
          <w:rFonts w:ascii="Times New Roman" w:hAnsi="Times New Roman" w:cs="Times New Roman"/>
          <w:sz w:val="24"/>
          <w:szCs w:val="24"/>
        </w:rPr>
        <w:t>un</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org</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unsd</w:t>
      </w:r>
      <w:proofErr w:type="spellEnd"/>
      <w:r w:rsidRPr="00BB54F4">
        <w:rPr>
          <w:rFonts w:ascii="Times New Roman" w:hAnsi="Times New Roman" w:cs="Times New Roman"/>
          <w:sz w:val="24"/>
          <w:szCs w:val="24"/>
          <w:lang w:val="ru-RU"/>
        </w:rPr>
        <w:t>/</w:t>
      </w:r>
      <w:r w:rsidRPr="00BB54F4">
        <w:rPr>
          <w:rFonts w:ascii="Times New Roman" w:hAnsi="Times New Roman" w:cs="Times New Roman"/>
          <w:sz w:val="24"/>
          <w:szCs w:val="24"/>
        </w:rPr>
        <w:t>mi</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wiki</w:t>
      </w:r>
      <w:r w:rsidRPr="00BB54F4">
        <w:rPr>
          <w:rFonts w:ascii="Times New Roman" w:hAnsi="Times New Roman" w:cs="Times New Roman"/>
          <w:sz w:val="24"/>
          <w:szCs w:val="24"/>
          <w:lang w:val="ru-RU"/>
        </w:rPr>
        <w:t>/7-6-</w:t>
      </w:r>
      <w:r w:rsidRPr="00BB54F4">
        <w:rPr>
          <w:rFonts w:ascii="Times New Roman" w:hAnsi="Times New Roman" w:cs="Times New Roman"/>
          <w:sz w:val="24"/>
          <w:szCs w:val="24"/>
        </w:rPr>
        <w:t>Proportion</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of</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terrestrial</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andmarine</w:t>
      </w:r>
      <w:proofErr w:type="spellEnd"/>
      <w:r w:rsidRPr="00BB54F4">
        <w:rPr>
          <w:rFonts w:ascii="Times New Roman" w:hAnsi="Times New Roman" w:cs="Times New Roman"/>
          <w:sz w:val="24"/>
          <w:szCs w:val="24"/>
          <w:lang w:val="ru-RU"/>
        </w:rPr>
        <w:t>-</w:t>
      </w:r>
      <w:r w:rsidRPr="00BB54F4">
        <w:rPr>
          <w:rFonts w:ascii="Times New Roman" w:hAnsi="Times New Roman" w:cs="Times New Roman"/>
          <w:sz w:val="24"/>
          <w:szCs w:val="24"/>
        </w:rPr>
        <w:t>areas</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protected</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ashx</w:t>
      </w:r>
      <w:proofErr w:type="spellEnd"/>
      <w:r w:rsidRPr="00BB54F4">
        <w:rPr>
          <w:rFonts w:ascii="Times New Roman" w:hAnsi="Times New Roman" w:cs="Times New Roman"/>
          <w:sz w:val="24"/>
          <w:szCs w:val="24"/>
          <w:lang w:val="ru-RU"/>
        </w:rPr>
        <w:t xml:space="preserve">, при поддержке </w:t>
      </w:r>
      <w:r w:rsidRPr="00BB54F4">
        <w:rPr>
          <w:rFonts w:ascii="Times New Roman" w:hAnsi="Times New Roman" w:cs="Times New Roman"/>
          <w:sz w:val="24"/>
          <w:szCs w:val="24"/>
        </w:rPr>
        <w:t>http</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www</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bipindicators</w:t>
      </w:r>
      <w:proofErr w:type="spellEnd"/>
      <w:r w:rsidRPr="00BB54F4">
        <w:rPr>
          <w:rFonts w:ascii="Times New Roman" w:hAnsi="Times New Roman" w:cs="Times New Roman"/>
          <w:sz w:val="24"/>
          <w:szCs w:val="24"/>
          <w:lang w:val="ru-RU"/>
        </w:rPr>
        <w:t>.</w:t>
      </w:r>
      <w:r w:rsidRPr="00BB54F4">
        <w:rPr>
          <w:rFonts w:ascii="Times New Roman" w:hAnsi="Times New Roman" w:cs="Times New Roman"/>
          <w:sz w:val="24"/>
          <w:szCs w:val="24"/>
        </w:rPr>
        <w:t>net</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paoverlays</w:t>
      </w:r>
      <w:proofErr w:type="spellEnd"/>
      <w:r w:rsidRPr="00BB54F4">
        <w:rPr>
          <w:rFonts w:ascii="Times New Roman" w:hAnsi="Times New Roman" w:cs="Times New Roman"/>
          <w:sz w:val="24"/>
          <w:szCs w:val="24"/>
          <w:lang w:val="ru-RU"/>
        </w:rPr>
        <w:t xml:space="preserve"> а также иных источниках, приведенных ниже.</w:t>
      </w:r>
    </w:p>
    <w:p w:rsidR="005E3017" w:rsidRPr="004141EE"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AZE (2010).AZE Database.Alliance for Zero Extinction, Washington DC, USA.</w:t>
      </w:r>
      <w:proofErr w:type="gramEnd"/>
      <w:r w:rsidRPr="00BB54F4">
        <w:rPr>
          <w:rFonts w:ascii="Times New Roman" w:hAnsi="Times New Roman" w:cs="Times New Roman"/>
          <w:sz w:val="24"/>
          <w:szCs w:val="24"/>
        </w:rPr>
        <w:t xml:space="preserve"> Available at: http://www.zeroextinction.org/search.cfm.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BIRDLIFE INTERNATIONAL (2014).</w:t>
      </w:r>
      <w:proofErr w:type="gramEnd"/>
      <w:r w:rsidRPr="00BB54F4">
        <w:rPr>
          <w:rFonts w:ascii="Times New Roman" w:hAnsi="Times New Roman" w:cs="Times New Roman"/>
          <w:sz w:val="24"/>
          <w:szCs w:val="24"/>
        </w:rPr>
        <w:t xml:space="preserve"> Important Bird and Biodiversity Areas: a global network for conserving nature and benefiting people. Cambridge, UK: </w:t>
      </w:r>
      <w:proofErr w:type="spellStart"/>
      <w:r w:rsidRPr="00BB54F4">
        <w:rPr>
          <w:rFonts w:ascii="Times New Roman" w:hAnsi="Times New Roman" w:cs="Times New Roman"/>
          <w:sz w:val="24"/>
          <w:szCs w:val="24"/>
        </w:rPr>
        <w:t>BirdLife</w:t>
      </w:r>
      <w:proofErr w:type="spellEnd"/>
      <w:r w:rsidRPr="00BB54F4">
        <w:rPr>
          <w:rFonts w:ascii="Times New Roman" w:hAnsi="Times New Roman" w:cs="Times New Roman"/>
          <w:sz w:val="24"/>
          <w:szCs w:val="24"/>
        </w:rPr>
        <w:t xml:space="preserve"> International. </w:t>
      </w:r>
      <w:proofErr w:type="gramStart"/>
      <w:r w:rsidRPr="00BB54F4">
        <w:rPr>
          <w:rFonts w:ascii="Times New Roman" w:hAnsi="Times New Roman" w:cs="Times New Roman"/>
          <w:sz w:val="24"/>
          <w:szCs w:val="24"/>
        </w:rPr>
        <w:t xml:space="preserve">Available at </w:t>
      </w:r>
      <w:hyperlink r:id="rId5" w:anchor="IBA" w:history="1">
        <w:r w:rsidRPr="00BB54F4">
          <w:rPr>
            <w:rStyle w:val="a3"/>
            <w:rFonts w:ascii="Times New Roman" w:hAnsi="Times New Roman" w:cs="Times New Roman"/>
            <w:color w:val="auto"/>
            <w:sz w:val="24"/>
            <w:szCs w:val="24"/>
          </w:rPr>
          <w:t>http://www.birdlife.org/datazone/sowb/sowbpubs#IBA</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BIRDLIFE INTERNATIONAL (2016).</w:t>
      </w:r>
      <w:proofErr w:type="spellStart"/>
      <w:r w:rsidRPr="00BB54F4">
        <w:rPr>
          <w:rFonts w:ascii="Times New Roman" w:hAnsi="Times New Roman" w:cs="Times New Roman"/>
          <w:sz w:val="24"/>
          <w:szCs w:val="24"/>
        </w:rPr>
        <w:t>DataZone.BirdLife</w:t>
      </w:r>
      <w:proofErr w:type="spellEnd"/>
      <w:r w:rsidRPr="00BB54F4">
        <w:rPr>
          <w:rFonts w:ascii="Times New Roman" w:hAnsi="Times New Roman" w:cs="Times New Roman"/>
          <w:sz w:val="24"/>
          <w:szCs w:val="24"/>
        </w:rPr>
        <w:t xml:space="preserve"> International, Cambridge, UK.</w:t>
      </w:r>
      <w:proofErr w:type="gramEnd"/>
      <w:r w:rsidRPr="00BB54F4">
        <w:rPr>
          <w:rFonts w:ascii="Times New Roman" w:hAnsi="Times New Roman" w:cs="Times New Roman"/>
          <w:sz w:val="24"/>
          <w:szCs w:val="24"/>
        </w:rPr>
        <w:t xml:space="preserve"> Available from: http://www.zeroextinction.org/search.cfm.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BROOKS, T. et al. (2001).</w:t>
      </w:r>
      <w:proofErr w:type="gramEnd"/>
      <w:r w:rsidRPr="00BB54F4">
        <w:rPr>
          <w:rFonts w:ascii="Times New Roman" w:hAnsi="Times New Roman" w:cs="Times New Roman"/>
          <w:sz w:val="24"/>
          <w:szCs w:val="24"/>
        </w:rPr>
        <w:t xml:space="preserve"> Conservation priorities for birds and biodiversity: do East African Important Bird Areas represent species diversity in other terrestrial vertebrate groups? Ostrich suppl. 15: 3–12. Available from: </w:t>
      </w:r>
      <w:hyperlink r:id="rId6" w:anchor=".VafbVJPVq75" w:history="1">
        <w:r w:rsidRPr="00BB54F4">
          <w:rPr>
            <w:rStyle w:val="a3"/>
            <w:rFonts w:ascii="Times New Roman" w:hAnsi="Times New Roman" w:cs="Times New Roman"/>
            <w:color w:val="auto"/>
            <w:sz w:val="24"/>
            <w:szCs w:val="24"/>
          </w:rPr>
          <w:t>http://www.tandfonline.com/doi/abs/10.2989/00306520109485329#.VafbVJPVq75</w:t>
        </w:r>
      </w:hyperlink>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BUTCHART, S. H. M. et al. (2010). Global biodiversity: indicators of recent declines. </w:t>
      </w:r>
      <w:proofErr w:type="gramStart"/>
      <w:r w:rsidRPr="00BB54F4">
        <w:rPr>
          <w:rFonts w:ascii="Times New Roman" w:hAnsi="Times New Roman" w:cs="Times New Roman"/>
          <w:sz w:val="24"/>
          <w:szCs w:val="24"/>
        </w:rPr>
        <w:t xml:space="preserve">Science 328: 1164– 1168.Available from </w:t>
      </w:r>
      <w:hyperlink r:id="rId7" w:history="1">
        <w:r w:rsidRPr="00BB54F4">
          <w:rPr>
            <w:rStyle w:val="a3"/>
            <w:rFonts w:ascii="Times New Roman" w:hAnsi="Times New Roman" w:cs="Times New Roman"/>
            <w:color w:val="auto"/>
            <w:sz w:val="24"/>
            <w:szCs w:val="24"/>
          </w:rPr>
          <w:t>http://www.sciencemag.org/content/328/5982/1164.short</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BUTCHART, S. H. M. et al. (2012). Protecting important sites for biodiversity contributes to meeting global conservation targets. </w:t>
      </w:r>
      <w:proofErr w:type="spellStart"/>
      <w:r w:rsidRPr="00BB54F4">
        <w:rPr>
          <w:rFonts w:ascii="Times New Roman" w:hAnsi="Times New Roman" w:cs="Times New Roman"/>
          <w:sz w:val="24"/>
          <w:szCs w:val="24"/>
        </w:rPr>
        <w:t>PLoS</w:t>
      </w:r>
      <w:proofErr w:type="spellEnd"/>
      <w:r w:rsidRPr="00BB54F4">
        <w:rPr>
          <w:rFonts w:ascii="Times New Roman" w:hAnsi="Times New Roman" w:cs="Times New Roman"/>
          <w:sz w:val="24"/>
          <w:szCs w:val="24"/>
        </w:rPr>
        <w:t xml:space="preserve"> One 7(3): e32529. </w:t>
      </w:r>
      <w:proofErr w:type="gramStart"/>
      <w:r w:rsidRPr="00BB54F4">
        <w:rPr>
          <w:rFonts w:ascii="Times New Roman" w:hAnsi="Times New Roman" w:cs="Times New Roman"/>
          <w:sz w:val="24"/>
          <w:szCs w:val="24"/>
        </w:rPr>
        <w:t xml:space="preserve">Available from </w:t>
      </w:r>
      <w:hyperlink r:id="rId8" w:history="1">
        <w:r w:rsidRPr="00BB54F4">
          <w:rPr>
            <w:rStyle w:val="a3"/>
            <w:rFonts w:ascii="Times New Roman" w:hAnsi="Times New Roman" w:cs="Times New Roman"/>
            <w:color w:val="auto"/>
            <w:sz w:val="24"/>
            <w:szCs w:val="24"/>
          </w:rPr>
          <w:t>http://journals.plos.org/plosone/article?id=10.1371/journal.pone.0032529</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BUTCHART, S. H. M. et al. (2015). </w:t>
      </w:r>
      <w:proofErr w:type="gramStart"/>
      <w:r w:rsidRPr="00BB54F4">
        <w:rPr>
          <w:rFonts w:ascii="Times New Roman" w:hAnsi="Times New Roman" w:cs="Times New Roman"/>
          <w:sz w:val="24"/>
          <w:szCs w:val="24"/>
        </w:rPr>
        <w:t>Shortfalls and solutions for meeting national and global conservation area targets.</w:t>
      </w:r>
      <w:proofErr w:type="gramEnd"/>
      <w:r w:rsidRPr="00BB54F4">
        <w:rPr>
          <w:rFonts w:ascii="Times New Roman" w:hAnsi="Times New Roman" w:cs="Times New Roman"/>
          <w:sz w:val="24"/>
          <w:szCs w:val="24"/>
        </w:rPr>
        <w:t xml:space="preserve"> Conservation Letters 8: 329–337. </w:t>
      </w:r>
      <w:proofErr w:type="gramStart"/>
      <w:r w:rsidRPr="00BB54F4">
        <w:rPr>
          <w:rFonts w:ascii="Times New Roman" w:hAnsi="Times New Roman" w:cs="Times New Roman"/>
          <w:sz w:val="24"/>
          <w:szCs w:val="24"/>
        </w:rPr>
        <w:t xml:space="preserve">Available from </w:t>
      </w:r>
      <w:hyperlink r:id="rId9" w:history="1">
        <w:r w:rsidRPr="00BB54F4">
          <w:rPr>
            <w:rStyle w:val="a3"/>
            <w:rFonts w:ascii="Times New Roman" w:hAnsi="Times New Roman" w:cs="Times New Roman"/>
            <w:color w:val="auto"/>
            <w:sz w:val="24"/>
            <w:szCs w:val="24"/>
          </w:rPr>
          <w:t>http://onlinelibrary.wiley.com/doi/10.1111/conl.12158/full</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 xml:space="preserve">CBD (2014).Global Biodiversity Outlook 4.Convention on Biological Diversity, Montréal, Canada.Available from </w:t>
      </w:r>
      <w:hyperlink r:id="rId10" w:history="1">
        <w:r w:rsidRPr="00BB54F4">
          <w:rPr>
            <w:rStyle w:val="a3"/>
            <w:rFonts w:ascii="Times New Roman" w:hAnsi="Times New Roman" w:cs="Times New Roman"/>
            <w:color w:val="auto"/>
            <w:sz w:val="24"/>
            <w:szCs w:val="24"/>
          </w:rPr>
          <w:t>https://www.cbd.int/gbo4/</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CHAPE, S. et al. (2005).Measuring the extent and effectiveness of protected areas as an indicator for meeting global biodiversity targets.</w:t>
      </w:r>
      <w:proofErr w:type="gramEnd"/>
      <w:r w:rsidRPr="00BB54F4">
        <w:rPr>
          <w:rFonts w:ascii="Times New Roman" w:hAnsi="Times New Roman" w:cs="Times New Roman"/>
          <w:sz w:val="24"/>
          <w:szCs w:val="24"/>
        </w:rPr>
        <w:t xml:space="preserve"> Philosophical Transactions of the Royal Society B 360: 443-445. </w:t>
      </w:r>
      <w:proofErr w:type="gramStart"/>
      <w:r w:rsidRPr="00BB54F4">
        <w:rPr>
          <w:rFonts w:ascii="Times New Roman" w:hAnsi="Times New Roman" w:cs="Times New Roman"/>
          <w:sz w:val="24"/>
          <w:szCs w:val="24"/>
        </w:rPr>
        <w:t xml:space="preserve">Available from </w:t>
      </w:r>
      <w:hyperlink r:id="rId11" w:history="1">
        <w:r w:rsidRPr="00BB54F4">
          <w:rPr>
            <w:rStyle w:val="a3"/>
            <w:rFonts w:ascii="Times New Roman" w:hAnsi="Times New Roman" w:cs="Times New Roman"/>
            <w:color w:val="auto"/>
            <w:sz w:val="24"/>
            <w:szCs w:val="24"/>
          </w:rPr>
          <w:t>http://rstb.royalsocietypublishing.org/content/360/1454/443.short</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lastRenderedPageBreak/>
        <w:t>DEGUIGNET, M., et al. (2014).2014 United Nations List of Protected Areas.UNEP-WCMC, Cambridge, UK. Available from http://unepwcmc.org/system/dataset_file_fields/files/000/000/263/original/2014_UN_List_of_Protected_Areas_EN _web.PDF</w:t>
      </w:r>
      <w:proofErr w:type="gramStart"/>
      <w:r w:rsidRPr="00BB54F4">
        <w:rPr>
          <w:rFonts w:ascii="Times New Roman" w:hAnsi="Times New Roman" w:cs="Times New Roman"/>
          <w:sz w:val="24"/>
          <w:szCs w:val="24"/>
        </w:rPr>
        <w:t>?1415613322</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DI MARCO, M., et al. (2016).Quantifying the relative irreplaceability of Important Bird and Biodiversity Areas.</w:t>
      </w:r>
      <w:proofErr w:type="gramEnd"/>
      <w:r w:rsidRPr="00BB54F4">
        <w:rPr>
          <w:rFonts w:ascii="Times New Roman" w:hAnsi="Times New Roman" w:cs="Times New Roman"/>
          <w:sz w:val="24"/>
          <w:szCs w:val="24"/>
        </w:rPr>
        <w:t xml:space="preserve"> Conservation Biology 30: 392–402. </w:t>
      </w:r>
      <w:proofErr w:type="gramStart"/>
      <w:r w:rsidRPr="00BB54F4">
        <w:rPr>
          <w:rFonts w:ascii="Times New Roman" w:hAnsi="Times New Roman" w:cs="Times New Roman"/>
          <w:sz w:val="24"/>
          <w:szCs w:val="24"/>
        </w:rPr>
        <w:t xml:space="preserve">Available from </w:t>
      </w:r>
      <w:hyperlink r:id="rId12" w:history="1">
        <w:r w:rsidRPr="00BB54F4">
          <w:rPr>
            <w:rStyle w:val="a3"/>
            <w:rFonts w:ascii="Times New Roman" w:hAnsi="Times New Roman" w:cs="Times New Roman"/>
            <w:color w:val="auto"/>
            <w:sz w:val="24"/>
            <w:szCs w:val="24"/>
          </w:rPr>
          <w:t>http://onlinelibrary.wiley.com/doi/10.1111/cobi.12609/abstract</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DUDLEY, N. (2008). </w:t>
      </w:r>
      <w:proofErr w:type="gramStart"/>
      <w:r w:rsidRPr="00BB54F4">
        <w:rPr>
          <w:rFonts w:ascii="Times New Roman" w:hAnsi="Times New Roman" w:cs="Times New Roman"/>
          <w:sz w:val="24"/>
          <w:szCs w:val="24"/>
        </w:rPr>
        <w:t>Guidelines for Applying Protected Area Management Categories.International Union for Conservation of Nature (IUCN).</w:t>
      </w:r>
      <w:proofErr w:type="gramEnd"/>
      <w:r w:rsidRPr="00BB54F4">
        <w:rPr>
          <w:rFonts w:ascii="Times New Roman" w:hAnsi="Times New Roman" w:cs="Times New Roman"/>
          <w:sz w:val="24"/>
          <w:szCs w:val="24"/>
        </w:rPr>
        <w:t xml:space="preserve"> Gland, Switzerland. </w:t>
      </w:r>
      <w:proofErr w:type="gramStart"/>
      <w:r w:rsidRPr="00BB54F4">
        <w:rPr>
          <w:rFonts w:ascii="Times New Roman" w:hAnsi="Times New Roman" w:cs="Times New Roman"/>
          <w:sz w:val="24"/>
          <w:szCs w:val="24"/>
        </w:rPr>
        <w:t xml:space="preserve">Available from </w:t>
      </w:r>
      <w:hyperlink r:id="rId13" w:history="1">
        <w:r w:rsidRPr="00BB54F4">
          <w:rPr>
            <w:rStyle w:val="a3"/>
            <w:rFonts w:ascii="Times New Roman" w:hAnsi="Times New Roman" w:cs="Times New Roman"/>
            <w:color w:val="auto"/>
            <w:sz w:val="24"/>
            <w:szCs w:val="24"/>
          </w:rPr>
          <w:t>https://portals.iucn.org/library/node/9243</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EDGAR, G.J. et al. (2008). Key Biodiversity Areas as globally significant target sites for the conservation of marine biological diversity. Aquatic Conservation: Marine and Freshwater Ecosystems 18: 969–983. </w:t>
      </w:r>
      <w:proofErr w:type="gramStart"/>
      <w:r w:rsidRPr="00BB54F4">
        <w:rPr>
          <w:rFonts w:ascii="Times New Roman" w:hAnsi="Times New Roman" w:cs="Times New Roman"/>
          <w:sz w:val="24"/>
          <w:szCs w:val="24"/>
        </w:rPr>
        <w:t xml:space="preserve">Available from </w:t>
      </w:r>
      <w:hyperlink r:id="rId14" w:history="1">
        <w:r w:rsidRPr="00BB54F4">
          <w:rPr>
            <w:rStyle w:val="a3"/>
            <w:rFonts w:ascii="Times New Roman" w:hAnsi="Times New Roman" w:cs="Times New Roman"/>
            <w:color w:val="auto"/>
            <w:sz w:val="24"/>
            <w:szCs w:val="24"/>
          </w:rPr>
          <w:t>http://onlinelibrary.wiley.com/doi/10.1002/aqc.902/abstract</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EKEN, G. et al. (2004). Key biodiversity areas as site conservation targets. </w:t>
      </w:r>
      <w:proofErr w:type="spellStart"/>
      <w:r w:rsidRPr="00BB54F4">
        <w:rPr>
          <w:rFonts w:ascii="Times New Roman" w:hAnsi="Times New Roman" w:cs="Times New Roman"/>
          <w:sz w:val="24"/>
          <w:szCs w:val="24"/>
        </w:rPr>
        <w:t>BioScience</w:t>
      </w:r>
      <w:proofErr w:type="spellEnd"/>
      <w:r w:rsidRPr="00BB54F4">
        <w:rPr>
          <w:rFonts w:ascii="Times New Roman" w:hAnsi="Times New Roman" w:cs="Times New Roman"/>
          <w:sz w:val="24"/>
          <w:szCs w:val="24"/>
        </w:rPr>
        <w:t xml:space="preserve"> 54: 1110–1118. </w:t>
      </w:r>
      <w:proofErr w:type="gramStart"/>
      <w:r w:rsidRPr="00BB54F4">
        <w:rPr>
          <w:rFonts w:ascii="Times New Roman" w:hAnsi="Times New Roman" w:cs="Times New Roman"/>
          <w:sz w:val="24"/>
          <w:szCs w:val="24"/>
        </w:rPr>
        <w:t xml:space="preserve">Available from </w:t>
      </w:r>
      <w:hyperlink r:id="rId15" w:history="1">
        <w:r w:rsidRPr="00BB54F4">
          <w:rPr>
            <w:rStyle w:val="a3"/>
            <w:rFonts w:ascii="Times New Roman" w:hAnsi="Times New Roman" w:cs="Times New Roman"/>
            <w:color w:val="auto"/>
            <w:sz w:val="24"/>
            <w:szCs w:val="24"/>
          </w:rPr>
          <w:t>http://bioscience.oxfordjournals.org/content/54/12/1110.short</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FOSTER, M.N. et al. (2012) </w:t>
      </w:r>
      <w:proofErr w:type="gramStart"/>
      <w:r w:rsidRPr="00BB54F4">
        <w:rPr>
          <w:rFonts w:ascii="Times New Roman" w:hAnsi="Times New Roman" w:cs="Times New Roman"/>
          <w:sz w:val="24"/>
          <w:szCs w:val="24"/>
        </w:rPr>
        <w:t>The</w:t>
      </w:r>
      <w:proofErr w:type="gramEnd"/>
      <w:r w:rsidRPr="00BB54F4">
        <w:rPr>
          <w:rFonts w:ascii="Times New Roman" w:hAnsi="Times New Roman" w:cs="Times New Roman"/>
          <w:sz w:val="24"/>
          <w:szCs w:val="24"/>
        </w:rPr>
        <w:t xml:space="preserve"> identification of sites of biodiversity conservation significance: progress with the application of a global standard. Journal of Threatened Taxa 4: 2733–2744. </w:t>
      </w:r>
      <w:proofErr w:type="gramStart"/>
      <w:r w:rsidRPr="00BB54F4">
        <w:rPr>
          <w:rFonts w:ascii="Times New Roman" w:hAnsi="Times New Roman" w:cs="Times New Roman"/>
          <w:sz w:val="24"/>
          <w:szCs w:val="24"/>
        </w:rPr>
        <w:t xml:space="preserve">Available from </w:t>
      </w:r>
      <w:hyperlink r:id="rId16" w:history="1">
        <w:r w:rsidRPr="00BB54F4">
          <w:rPr>
            <w:rStyle w:val="a3"/>
            <w:rFonts w:ascii="Times New Roman" w:hAnsi="Times New Roman" w:cs="Times New Roman"/>
            <w:color w:val="auto"/>
            <w:sz w:val="24"/>
            <w:szCs w:val="24"/>
          </w:rPr>
          <w:t>http://www.threatenedtaxa.in/index.php/JoTT/article/view/779</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HAN, X. et al. (2014). A Biodiversity indicators dashboard: addressing challenges to monitoring progress towards the Aichi Biodiversity Targets using disaggregated global data. </w:t>
      </w:r>
      <w:proofErr w:type="spellStart"/>
      <w:r w:rsidRPr="00BB54F4">
        <w:rPr>
          <w:rFonts w:ascii="Times New Roman" w:hAnsi="Times New Roman" w:cs="Times New Roman"/>
          <w:sz w:val="24"/>
          <w:szCs w:val="24"/>
        </w:rPr>
        <w:t>PLoS</w:t>
      </w:r>
      <w:proofErr w:type="spellEnd"/>
      <w:r w:rsidRPr="00BB54F4">
        <w:rPr>
          <w:rFonts w:ascii="Times New Roman" w:hAnsi="Times New Roman" w:cs="Times New Roman"/>
          <w:sz w:val="24"/>
          <w:szCs w:val="24"/>
        </w:rPr>
        <w:t xml:space="preserve"> ONE 9(11): e112046. </w:t>
      </w:r>
      <w:proofErr w:type="gramStart"/>
      <w:r w:rsidRPr="00BB54F4">
        <w:rPr>
          <w:rFonts w:ascii="Times New Roman" w:hAnsi="Times New Roman" w:cs="Times New Roman"/>
          <w:sz w:val="24"/>
          <w:szCs w:val="24"/>
        </w:rPr>
        <w:t xml:space="preserve">Available from </w:t>
      </w:r>
      <w:hyperlink r:id="rId17" w:history="1">
        <w:r w:rsidRPr="00BB54F4">
          <w:rPr>
            <w:rStyle w:val="a3"/>
            <w:rFonts w:ascii="Times New Roman" w:hAnsi="Times New Roman" w:cs="Times New Roman"/>
            <w:color w:val="auto"/>
            <w:sz w:val="24"/>
            <w:szCs w:val="24"/>
          </w:rPr>
          <w:t>http://journals.plos.org/plosone/article?id=10.1371/journal.pone.0112046</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HOLLAND, R.A. et al. (2012). Conservation priorities for freshwater biodiversity: the key biodiversity area approach refined and tested for continental Africa. Biological Conservation 148: 167–179. </w:t>
      </w:r>
      <w:proofErr w:type="gramStart"/>
      <w:r w:rsidRPr="00BB54F4">
        <w:rPr>
          <w:rFonts w:ascii="Times New Roman" w:hAnsi="Times New Roman" w:cs="Times New Roman"/>
          <w:sz w:val="24"/>
          <w:szCs w:val="24"/>
        </w:rPr>
        <w:t xml:space="preserve">Available from </w:t>
      </w:r>
      <w:hyperlink r:id="rId18" w:history="1">
        <w:r w:rsidRPr="00BB54F4">
          <w:rPr>
            <w:rStyle w:val="a3"/>
            <w:rFonts w:ascii="Times New Roman" w:hAnsi="Times New Roman" w:cs="Times New Roman"/>
            <w:color w:val="auto"/>
            <w:sz w:val="24"/>
            <w:szCs w:val="24"/>
          </w:rPr>
          <w:t>http://www.sciencedirect.com/science/article/pii/S0006320712000298</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 xml:space="preserve">IUCN (2016).A Global Standard for the Identification of Key Biodiversity Areas.International Union for Conservation of Nature, Gland, Switzerland.Available from </w:t>
      </w:r>
      <w:hyperlink r:id="rId19" w:history="1">
        <w:r w:rsidRPr="00BB54F4">
          <w:rPr>
            <w:rStyle w:val="a3"/>
            <w:rFonts w:ascii="Times New Roman" w:hAnsi="Times New Roman" w:cs="Times New Roman"/>
            <w:color w:val="auto"/>
            <w:sz w:val="24"/>
            <w:szCs w:val="24"/>
          </w:rPr>
          <w:t>http://www.kbaconsultation.org/</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 xml:space="preserve">IUCN &amp; UNEP-WCMC (2015).The World Database on Protected Areas (WDPA).UNEP-WCMC, Cambridge, UK.Available from </w:t>
      </w:r>
      <w:hyperlink r:id="rId20" w:history="1">
        <w:r w:rsidRPr="00BB54F4">
          <w:rPr>
            <w:rStyle w:val="a3"/>
            <w:rFonts w:ascii="Times New Roman" w:hAnsi="Times New Roman" w:cs="Times New Roman"/>
            <w:color w:val="auto"/>
            <w:sz w:val="24"/>
            <w:szCs w:val="24"/>
          </w:rPr>
          <w:t>http://www.protectedplanet.net</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JONAS, H.D. et al. (2014) </w:t>
      </w:r>
      <w:proofErr w:type="gramStart"/>
      <w:r w:rsidRPr="00BB54F4">
        <w:rPr>
          <w:rFonts w:ascii="Times New Roman" w:hAnsi="Times New Roman" w:cs="Times New Roman"/>
          <w:sz w:val="24"/>
          <w:szCs w:val="24"/>
        </w:rPr>
        <w:t>New</w:t>
      </w:r>
      <w:proofErr w:type="gramEnd"/>
      <w:r w:rsidRPr="00BB54F4">
        <w:rPr>
          <w:rFonts w:ascii="Times New Roman" w:hAnsi="Times New Roman" w:cs="Times New Roman"/>
          <w:sz w:val="24"/>
          <w:szCs w:val="24"/>
        </w:rPr>
        <w:t xml:space="preserve"> steps of change: looking beyond protected areas to consider other effective area-based conservation measures. Parks 20: 111–128. </w:t>
      </w:r>
      <w:proofErr w:type="gramStart"/>
      <w:r w:rsidRPr="00BB54F4">
        <w:rPr>
          <w:rFonts w:ascii="Times New Roman" w:hAnsi="Times New Roman" w:cs="Times New Roman"/>
          <w:sz w:val="24"/>
          <w:szCs w:val="24"/>
        </w:rPr>
        <w:t>Available from http://parksjournal.com/wp-content/uploads/2014/10/PARKS-20.2-Jonas-et-al- 10.2305IUCN.CH_.2014.PARKS-20-2.HDJ_.en_.pdf.</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JUFFE-BIGNOLI, D. et al. (2014). </w:t>
      </w:r>
      <w:proofErr w:type="gramStart"/>
      <w:r w:rsidRPr="00BB54F4">
        <w:rPr>
          <w:rFonts w:ascii="Times New Roman" w:hAnsi="Times New Roman" w:cs="Times New Roman"/>
          <w:sz w:val="24"/>
          <w:szCs w:val="24"/>
        </w:rPr>
        <w:t xml:space="preserve">Protected Planet Report 2014.UNEP-WCMC, Cambridge, UK.Available from </w:t>
      </w:r>
      <w:hyperlink r:id="rId21" w:history="1">
        <w:r w:rsidRPr="00BB54F4">
          <w:rPr>
            <w:rStyle w:val="a3"/>
            <w:rFonts w:ascii="Times New Roman" w:hAnsi="Times New Roman" w:cs="Times New Roman"/>
            <w:color w:val="auto"/>
            <w:sz w:val="24"/>
            <w:szCs w:val="24"/>
          </w:rPr>
          <w:t>https://portals.iucn.org/library/node/44896</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lastRenderedPageBreak/>
        <w:t xml:space="preserve">KNIGHT, A. T. et al. (2007).Improving the Key Biodiversity Areas approach for effective conservation </w:t>
      </w:r>
      <w:proofErr w:type="spellStart"/>
      <w:r w:rsidRPr="00BB54F4">
        <w:rPr>
          <w:rFonts w:ascii="Times New Roman" w:hAnsi="Times New Roman" w:cs="Times New Roman"/>
          <w:sz w:val="24"/>
          <w:szCs w:val="24"/>
        </w:rPr>
        <w:t>planning.BioScience</w:t>
      </w:r>
      <w:proofErr w:type="spellEnd"/>
      <w:r w:rsidRPr="00BB54F4">
        <w:rPr>
          <w:rFonts w:ascii="Times New Roman" w:hAnsi="Times New Roman" w:cs="Times New Roman"/>
          <w:sz w:val="24"/>
          <w:szCs w:val="24"/>
        </w:rPr>
        <w:t xml:space="preserve"> 57: 256–261. </w:t>
      </w:r>
      <w:proofErr w:type="gramStart"/>
      <w:r w:rsidRPr="00BB54F4">
        <w:rPr>
          <w:rFonts w:ascii="Times New Roman" w:hAnsi="Times New Roman" w:cs="Times New Roman"/>
          <w:sz w:val="24"/>
          <w:szCs w:val="24"/>
        </w:rPr>
        <w:t xml:space="preserve">Available from </w:t>
      </w:r>
      <w:hyperlink r:id="rId22" w:history="1">
        <w:r w:rsidRPr="00BB54F4">
          <w:rPr>
            <w:rStyle w:val="a3"/>
            <w:rFonts w:ascii="Times New Roman" w:hAnsi="Times New Roman" w:cs="Times New Roman"/>
            <w:color w:val="auto"/>
            <w:sz w:val="24"/>
            <w:szCs w:val="24"/>
          </w:rPr>
          <w:t>http://bioscience.oxfordjournals.org/content/57/3/256.short</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LANGHAMMER, P. F. et al. (2007). Identification and Gap Analysis of Key Biodiversity Areas: Targets for Comprehensive Protected Area Systems. IUCN World Commission on Protected Areas Best Practice Protected Area Guidelines Series No. 15.IUCN, Gland, Switzerland.Available from </w:t>
      </w:r>
      <w:hyperlink r:id="rId23" w:history="1">
        <w:r w:rsidRPr="00BB54F4">
          <w:rPr>
            <w:rStyle w:val="a3"/>
            <w:rFonts w:ascii="Times New Roman" w:hAnsi="Times New Roman" w:cs="Times New Roman"/>
            <w:color w:val="auto"/>
            <w:sz w:val="24"/>
            <w:szCs w:val="24"/>
          </w:rPr>
          <w:t>https://portals.iucn.org/library/node/9055</w:t>
        </w:r>
      </w:hyperlink>
      <w:r w:rsidRPr="00BB54F4">
        <w:rPr>
          <w:rFonts w:ascii="Times New Roman" w:hAnsi="Times New Roman" w:cs="Times New Roman"/>
          <w:sz w:val="24"/>
          <w:szCs w:val="24"/>
        </w:rPr>
        <w:t>.</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LEVERINGTON, F. et al. (2010).A global analysis of protected area management effectiveness.</w:t>
      </w:r>
      <w:proofErr w:type="gramEnd"/>
      <w:r w:rsidRPr="00BB54F4">
        <w:rPr>
          <w:rFonts w:ascii="Times New Roman" w:hAnsi="Times New Roman" w:cs="Times New Roman"/>
          <w:sz w:val="24"/>
          <w:szCs w:val="24"/>
        </w:rPr>
        <w:t xml:space="preserve"> Environmental Management 46: 685–698. </w:t>
      </w:r>
      <w:proofErr w:type="gramStart"/>
      <w:r w:rsidRPr="00BB54F4">
        <w:rPr>
          <w:rFonts w:ascii="Times New Roman" w:hAnsi="Times New Roman" w:cs="Times New Roman"/>
          <w:sz w:val="24"/>
          <w:szCs w:val="24"/>
        </w:rPr>
        <w:t xml:space="preserve">Available from </w:t>
      </w:r>
      <w:hyperlink r:id="rId24" w:anchor="page-1" w:history="1">
        <w:r w:rsidRPr="00BB54F4">
          <w:rPr>
            <w:rStyle w:val="a3"/>
            <w:rFonts w:ascii="Times New Roman" w:hAnsi="Times New Roman" w:cs="Times New Roman"/>
            <w:color w:val="auto"/>
            <w:sz w:val="24"/>
            <w:szCs w:val="24"/>
          </w:rPr>
          <w:t>http://link.springer.com/article/10.1007/s00267-010-9564-5#page-1</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MONTESINO POUZOLS, F., et al. (2014) Global protected area expansion is compromised by projected land-use and parochialism. Nature 516: 383–386. </w:t>
      </w:r>
      <w:proofErr w:type="gramStart"/>
      <w:r w:rsidRPr="00BB54F4">
        <w:rPr>
          <w:rFonts w:ascii="Times New Roman" w:hAnsi="Times New Roman" w:cs="Times New Roman"/>
          <w:sz w:val="24"/>
          <w:szCs w:val="24"/>
        </w:rPr>
        <w:t xml:space="preserve">Available from </w:t>
      </w:r>
      <w:hyperlink r:id="rId25" w:history="1">
        <w:r w:rsidRPr="00BB54F4">
          <w:rPr>
            <w:rStyle w:val="a3"/>
            <w:rFonts w:ascii="Times New Roman" w:hAnsi="Times New Roman" w:cs="Times New Roman"/>
            <w:color w:val="auto"/>
            <w:sz w:val="24"/>
            <w:szCs w:val="24"/>
          </w:rPr>
          <w:t>http://www.nature.com/nature/journal/v516/n7531/abs/nature14032.html</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NOLTE, C. &amp; AGRAWAL, A. (2013).</w:t>
      </w:r>
      <w:proofErr w:type="gramEnd"/>
      <w:r w:rsidRPr="00BB54F4">
        <w:rPr>
          <w:rFonts w:ascii="Times New Roman" w:hAnsi="Times New Roman" w:cs="Times New Roman"/>
          <w:sz w:val="24"/>
          <w:szCs w:val="24"/>
        </w:rPr>
        <w:t xml:space="preserve"> Linking management effectiveness indicators to observed effects of protected areas on fire occurrence in the Amazon rainforest. Conservation Biology 27: 155–165. </w:t>
      </w:r>
      <w:proofErr w:type="gramStart"/>
      <w:r w:rsidRPr="00BB54F4">
        <w:rPr>
          <w:rFonts w:ascii="Times New Roman" w:hAnsi="Times New Roman" w:cs="Times New Roman"/>
          <w:sz w:val="24"/>
          <w:szCs w:val="24"/>
        </w:rPr>
        <w:t xml:space="preserve">Available from </w:t>
      </w:r>
      <w:hyperlink r:id="rId26" w:history="1">
        <w:r w:rsidRPr="00BB54F4">
          <w:rPr>
            <w:rStyle w:val="a3"/>
            <w:rFonts w:ascii="Times New Roman" w:hAnsi="Times New Roman" w:cs="Times New Roman"/>
            <w:color w:val="auto"/>
            <w:sz w:val="24"/>
            <w:szCs w:val="24"/>
          </w:rPr>
          <w:t>http://onlinelibrary.wiley.com/doi/10.1111/j.1523-1739.2012.01930.x/abstract</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PAIN, D.J. et al. (2005) Biodiversity representation in Uganda’s forest IBAs. Biological Conservation 125: 133–138. </w:t>
      </w:r>
      <w:proofErr w:type="gramStart"/>
      <w:r w:rsidRPr="00BB54F4">
        <w:rPr>
          <w:rFonts w:ascii="Times New Roman" w:hAnsi="Times New Roman" w:cs="Times New Roman"/>
          <w:sz w:val="24"/>
          <w:szCs w:val="24"/>
        </w:rPr>
        <w:t xml:space="preserve">Available from </w:t>
      </w:r>
      <w:hyperlink r:id="rId27" w:history="1">
        <w:r w:rsidRPr="00BB54F4">
          <w:rPr>
            <w:rStyle w:val="a3"/>
            <w:rFonts w:ascii="Times New Roman" w:hAnsi="Times New Roman" w:cs="Times New Roman"/>
            <w:color w:val="auto"/>
            <w:sz w:val="24"/>
            <w:szCs w:val="24"/>
          </w:rPr>
          <w:t>http://www.sciencedirect.com/science/article/pii/S0006320705001412</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RICKETTS, T. H. et al. (2005). Pinpointing and preventing imminent extinctions. Proceedings of the National Academy of Sciences of the U.S.A. 102: 18497–18501. </w:t>
      </w:r>
      <w:proofErr w:type="gramStart"/>
      <w:r w:rsidRPr="00BB54F4">
        <w:rPr>
          <w:rFonts w:ascii="Times New Roman" w:hAnsi="Times New Roman" w:cs="Times New Roman"/>
          <w:sz w:val="24"/>
          <w:szCs w:val="24"/>
        </w:rPr>
        <w:t xml:space="preserve">Available from </w:t>
      </w:r>
      <w:hyperlink r:id="rId28" w:history="1">
        <w:r w:rsidRPr="00BB54F4">
          <w:rPr>
            <w:rStyle w:val="a3"/>
            <w:rFonts w:ascii="Times New Roman" w:hAnsi="Times New Roman" w:cs="Times New Roman"/>
            <w:color w:val="auto"/>
            <w:sz w:val="24"/>
            <w:szCs w:val="24"/>
          </w:rPr>
          <w:t>http://www.pnas.org/content/102/51/18497.short</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RODRIGUES, A. S. L. et al. (2004). </w:t>
      </w:r>
      <w:proofErr w:type="gramStart"/>
      <w:r w:rsidRPr="00BB54F4">
        <w:rPr>
          <w:rFonts w:ascii="Times New Roman" w:hAnsi="Times New Roman" w:cs="Times New Roman"/>
          <w:sz w:val="24"/>
          <w:szCs w:val="24"/>
        </w:rPr>
        <w:t>Effectiveness of the global protected area network in representing species diversity.</w:t>
      </w:r>
      <w:proofErr w:type="gramEnd"/>
      <w:r w:rsidRPr="00BB54F4">
        <w:rPr>
          <w:rFonts w:ascii="Times New Roman" w:hAnsi="Times New Roman" w:cs="Times New Roman"/>
          <w:sz w:val="24"/>
          <w:szCs w:val="24"/>
        </w:rPr>
        <w:t xml:space="preserve"> Nature 428: 640–643. </w:t>
      </w:r>
      <w:proofErr w:type="gramStart"/>
      <w:r w:rsidRPr="00BB54F4">
        <w:rPr>
          <w:rFonts w:ascii="Times New Roman" w:hAnsi="Times New Roman" w:cs="Times New Roman"/>
          <w:sz w:val="24"/>
          <w:szCs w:val="24"/>
        </w:rPr>
        <w:t xml:space="preserve">Available from </w:t>
      </w:r>
      <w:hyperlink r:id="rId29" w:history="1">
        <w:r w:rsidRPr="00BB54F4">
          <w:rPr>
            <w:rStyle w:val="a3"/>
            <w:rFonts w:ascii="Times New Roman" w:hAnsi="Times New Roman" w:cs="Times New Roman"/>
            <w:color w:val="auto"/>
            <w:sz w:val="24"/>
            <w:szCs w:val="24"/>
          </w:rPr>
          <w:t>http://www.nature.com/nature/journal/v428/n6983/abs/nature02422.html</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RODRÍGUEZ-RODRÍGUEZ, D., et al. (2011).</w:t>
      </w:r>
      <w:proofErr w:type="gramEnd"/>
      <w:r w:rsidRPr="00BB54F4">
        <w:rPr>
          <w:rFonts w:ascii="Times New Roman" w:hAnsi="Times New Roman" w:cs="Times New Roman"/>
          <w:sz w:val="24"/>
          <w:szCs w:val="24"/>
        </w:rPr>
        <w:t xml:space="preserve"> Progress towards international targets for protected area coverage in mountains: a multi-scale assessment. Biological Conservation 144: 2978–2983. </w:t>
      </w:r>
      <w:proofErr w:type="gramStart"/>
      <w:r w:rsidRPr="00BB54F4">
        <w:rPr>
          <w:rFonts w:ascii="Times New Roman" w:hAnsi="Times New Roman" w:cs="Times New Roman"/>
          <w:sz w:val="24"/>
          <w:szCs w:val="24"/>
        </w:rPr>
        <w:t xml:space="preserve">Available from </w:t>
      </w:r>
      <w:hyperlink r:id="rId30" w:history="1">
        <w:r w:rsidRPr="00BB54F4">
          <w:rPr>
            <w:rStyle w:val="a3"/>
            <w:rFonts w:ascii="Times New Roman" w:hAnsi="Times New Roman" w:cs="Times New Roman"/>
            <w:color w:val="auto"/>
            <w:sz w:val="24"/>
            <w:szCs w:val="24"/>
          </w:rPr>
          <w:t>http://www.sciencedirect.com/science/article/pii/S0006320711003454</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TITTENSOR, D. et al. (2014). </w:t>
      </w:r>
      <w:proofErr w:type="gramStart"/>
      <w:r w:rsidRPr="00BB54F4">
        <w:rPr>
          <w:rFonts w:ascii="Times New Roman" w:hAnsi="Times New Roman" w:cs="Times New Roman"/>
          <w:sz w:val="24"/>
          <w:szCs w:val="24"/>
        </w:rPr>
        <w:t>A mid-term analysis of progress towards international biodiversity targets.</w:t>
      </w:r>
      <w:proofErr w:type="gramEnd"/>
      <w:r w:rsidRPr="00BB54F4">
        <w:rPr>
          <w:rFonts w:ascii="Times New Roman" w:hAnsi="Times New Roman" w:cs="Times New Roman"/>
          <w:sz w:val="24"/>
          <w:szCs w:val="24"/>
        </w:rPr>
        <w:t xml:space="preserve"> Science 346: 241–244. </w:t>
      </w:r>
      <w:proofErr w:type="gramStart"/>
      <w:r w:rsidRPr="00BB54F4">
        <w:rPr>
          <w:rFonts w:ascii="Times New Roman" w:hAnsi="Times New Roman" w:cs="Times New Roman"/>
          <w:sz w:val="24"/>
          <w:szCs w:val="24"/>
        </w:rPr>
        <w:t xml:space="preserve">Available from </w:t>
      </w:r>
      <w:hyperlink r:id="rId31" w:history="1">
        <w:r w:rsidRPr="00BB54F4">
          <w:rPr>
            <w:rStyle w:val="a3"/>
            <w:rFonts w:ascii="Times New Roman" w:hAnsi="Times New Roman" w:cs="Times New Roman"/>
            <w:color w:val="auto"/>
            <w:sz w:val="24"/>
            <w:szCs w:val="24"/>
          </w:rPr>
          <w:t>http://www.sciencemag.org/content/346/6206/241.short</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UNEP-WCMC (2002).</w:t>
      </w:r>
      <w:proofErr w:type="gramEnd"/>
      <w:r w:rsidRPr="00BB54F4">
        <w:rPr>
          <w:rFonts w:ascii="Times New Roman" w:hAnsi="Times New Roman" w:cs="Times New Roman"/>
          <w:sz w:val="24"/>
          <w:szCs w:val="24"/>
        </w:rPr>
        <w:t xml:space="preserve"> Mountain Watch: Environmental Change and Sustainable Development in Mountains. </w:t>
      </w:r>
      <w:proofErr w:type="gramStart"/>
      <w:r w:rsidRPr="00BB54F4">
        <w:rPr>
          <w:rFonts w:ascii="Times New Roman" w:hAnsi="Times New Roman" w:cs="Times New Roman"/>
          <w:sz w:val="24"/>
          <w:szCs w:val="24"/>
        </w:rPr>
        <w:t xml:space="preserve">United Nations Environment </w:t>
      </w:r>
      <w:proofErr w:type="spellStart"/>
      <w:r w:rsidRPr="00BB54F4">
        <w:rPr>
          <w:rFonts w:ascii="Times New Roman" w:hAnsi="Times New Roman" w:cs="Times New Roman"/>
          <w:sz w:val="24"/>
          <w:szCs w:val="24"/>
        </w:rPr>
        <w:t>Programme</w:t>
      </w:r>
      <w:proofErr w:type="spellEnd"/>
      <w:r w:rsidRPr="00BB54F4">
        <w:rPr>
          <w:rFonts w:ascii="Times New Roman" w:hAnsi="Times New Roman" w:cs="Times New Roman"/>
          <w:sz w:val="24"/>
          <w:szCs w:val="24"/>
        </w:rPr>
        <w:t xml:space="preserve"> World Conservation Monitoring Centre, Cambridge, UK.</w:t>
      </w:r>
      <w:proofErr w:type="gramEnd"/>
      <w:r w:rsidRPr="00BB54F4">
        <w:rPr>
          <w:rFonts w:ascii="Times New Roman" w:hAnsi="Times New Roman" w:cs="Times New Roman"/>
          <w:sz w:val="24"/>
          <w:szCs w:val="24"/>
        </w:rPr>
        <w:t xml:space="preserve"> Available from: </w:t>
      </w:r>
      <w:hyperlink r:id="rId32" w:history="1">
        <w:r w:rsidRPr="00BB54F4">
          <w:rPr>
            <w:rStyle w:val="a3"/>
            <w:rFonts w:ascii="Times New Roman" w:hAnsi="Times New Roman" w:cs="Times New Roman"/>
            <w:color w:val="auto"/>
            <w:sz w:val="24"/>
            <w:szCs w:val="24"/>
          </w:rPr>
          <w:t>http://www.unep-wcmc.org/resources-and-data/mountain-watch--</w:t>
        </w:r>
        <w:proofErr w:type="spellStart"/>
        <w:r w:rsidRPr="00BB54F4">
          <w:rPr>
            <w:rStyle w:val="a3"/>
            <w:rFonts w:ascii="Times New Roman" w:hAnsi="Times New Roman" w:cs="Times New Roman"/>
            <w:color w:val="auto"/>
            <w:sz w:val="24"/>
            <w:szCs w:val="24"/>
          </w:rPr>
          <w:t>environmentalchange</w:t>
        </w:r>
        <w:proofErr w:type="spellEnd"/>
        <w:r w:rsidRPr="00BB54F4">
          <w:rPr>
            <w:rStyle w:val="a3"/>
            <w:rFonts w:ascii="Times New Roman" w:hAnsi="Times New Roman" w:cs="Times New Roman"/>
            <w:color w:val="auto"/>
            <w:sz w:val="24"/>
            <w:szCs w:val="24"/>
          </w:rPr>
          <w:t>-sustainable-development-in-mountains</w:t>
        </w:r>
      </w:hyperlink>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lastRenderedPageBreak/>
        <w:t>UNEP-WCMC (2016).World Database on Protected Areas User Manual 1.2.UNEP-WCMC, Cambridge, UK.Available from http://wcmc.io/WDPA_Manual.</w:t>
      </w:r>
      <w:proofErr w:type="gramEnd"/>
    </w:p>
    <w:p w:rsidR="005E3017" w:rsidRPr="00BB54F4" w:rsidRDefault="005E3017" w:rsidP="00EC03F3">
      <w:pPr>
        <w:jc w:val="both"/>
        <w:rPr>
          <w:rFonts w:ascii="Times New Roman" w:hAnsi="Times New Roman" w:cs="Times New Roman"/>
          <w:sz w:val="24"/>
          <w:szCs w:val="24"/>
        </w:rPr>
      </w:pPr>
    </w:p>
    <w:p w:rsidR="00D02C94" w:rsidRPr="00BB54F4" w:rsidRDefault="00D02C94" w:rsidP="000549D6">
      <w:pPr>
        <w:jc w:val="both"/>
        <w:rPr>
          <w:rFonts w:ascii="Times New Roman" w:hAnsi="Times New Roman" w:cs="Times New Roman"/>
          <w:sz w:val="24"/>
          <w:szCs w:val="24"/>
        </w:rPr>
      </w:pPr>
    </w:p>
    <w:sectPr w:rsidR="00D02C94" w:rsidRPr="00BB54F4" w:rsidSect="00197870">
      <w:pgSz w:w="12240" w:h="15840"/>
      <w:pgMar w:top="1440" w:right="90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23B7D"/>
    <w:rsid w:val="0003499E"/>
    <w:rsid w:val="00045D68"/>
    <w:rsid w:val="00050A14"/>
    <w:rsid w:val="000549D6"/>
    <w:rsid w:val="000747B2"/>
    <w:rsid w:val="00084793"/>
    <w:rsid w:val="000C3820"/>
    <w:rsid w:val="00162DF7"/>
    <w:rsid w:val="00163F9A"/>
    <w:rsid w:val="00197870"/>
    <w:rsid w:val="002014A1"/>
    <w:rsid w:val="00251934"/>
    <w:rsid w:val="002965EE"/>
    <w:rsid w:val="002A38B0"/>
    <w:rsid w:val="002C1E93"/>
    <w:rsid w:val="002D49F6"/>
    <w:rsid w:val="0032641E"/>
    <w:rsid w:val="00363F40"/>
    <w:rsid w:val="00367375"/>
    <w:rsid w:val="0037358E"/>
    <w:rsid w:val="00382DCC"/>
    <w:rsid w:val="003872A5"/>
    <w:rsid w:val="00391CBB"/>
    <w:rsid w:val="003D3850"/>
    <w:rsid w:val="003F5F7D"/>
    <w:rsid w:val="004141EE"/>
    <w:rsid w:val="004215E6"/>
    <w:rsid w:val="004338EC"/>
    <w:rsid w:val="004716AA"/>
    <w:rsid w:val="00487F11"/>
    <w:rsid w:val="00495B43"/>
    <w:rsid w:val="004C1D40"/>
    <w:rsid w:val="004F2BD4"/>
    <w:rsid w:val="00500EA0"/>
    <w:rsid w:val="00580B50"/>
    <w:rsid w:val="00586D78"/>
    <w:rsid w:val="005E3017"/>
    <w:rsid w:val="00614DF1"/>
    <w:rsid w:val="00616FA1"/>
    <w:rsid w:val="00636969"/>
    <w:rsid w:val="006D14AD"/>
    <w:rsid w:val="006E6465"/>
    <w:rsid w:val="006E6DC3"/>
    <w:rsid w:val="006F0837"/>
    <w:rsid w:val="0074289E"/>
    <w:rsid w:val="00743A14"/>
    <w:rsid w:val="007C6105"/>
    <w:rsid w:val="007D7748"/>
    <w:rsid w:val="0080344C"/>
    <w:rsid w:val="00822AE4"/>
    <w:rsid w:val="00856A42"/>
    <w:rsid w:val="00865DCA"/>
    <w:rsid w:val="008A4592"/>
    <w:rsid w:val="008C2784"/>
    <w:rsid w:val="008C6F3F"/>
    <w:rsid w:val="008D0C58"/>
    <w:rsid w:val="008D1EEC"/>
    <w:rsid w:val="008F2290"/>
    <w:rsid w:val="009046BD"/>
    <w:rsid w:val="00910FB3"/>
    <w:rsid w:val="009D2008"/>
    <w:rsid w:val="009D4584"/>
    <w:rsid w:val="009D5E26"/>
    <w:rsid w:val="009E57A7"/>
    <w:rsid w:val="00A1372E"/>
    <w:rsid w:val="00A26094"/>
    <w:rsid w:val="00A34A5F"/>
    <w:rsid w:val="00B354CE"/>
    <w:rsid w:val="00B45741"/>
    <w:rsid w:val="00B95BE5"/>
    <w:rsid w:val="00BB54F4"/>
    <w:rsid w:val="00BC59A6"/>
    <w:rsid w:val="00C86188"/>
    <w:rsid w:val="00C92373"/>
    <w:rsid w:val="00CA3132"/>
    <w:rsid w:val="00CC4669"/>
    <w:rsid w:val="00CC6597"/>
    <w:rsid w:val="00CD733C"/>
    <w:rsid w:val="00D02C94"/>
    <w:rsid w:val="00D05330"/>
    <w:rsid w:val="00D06922"/>
    <w:rsid w:val="00D2179A"/>
    <w:rsid w:val="00D300B5"/>
    <w:rsid w:val="00D312E5"/>
    <w:rsid w:val="00DE3809"/>
    <w:rsid w:val="00E1756F"/>
    <w:rsid w:val="00E23B7D"/>
    <w:rsid w:val="00E23DDF"/>
    <w:rsid w:val="00E27730"/>
    <w:rsid w:val="00E8239B"/>
    <w:rsid w:val="00EA04EB"/>
    <w:rsid w:val="00EC03F3"/>
    <w:rsid w:val="00F11308"/>
    <w:rsid w:val="00F64227"/>
    <w:rsid w:val="00F70075"/>
    <w:rsid w:val="00F77398"/>
    <w:rsid w:val="00F83456"/>
    <w:rsid w:val="00FC7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8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one/article?id=10.1371/journal.pone.0032529" TargetMode="External"/><Relationship Id="rId13" Type="http://schemas.openxmlformats.org/officeDocument/2006/relationships/hyperlink" Target="https://portals.iucn.org/library/node/9243" TargetMode="External"/><Relationship Id="rId18" Type="http://schemas.openxmlformats.org/officeDocument/2006/relationships/hyperlink" Target="http://www.sciencedirect.com/science/article/pii/S0006320712000298" TargetMode="External"/><Relationship Id="rId26" Type="http://schemas.openxmlformats.org/officeDocument/2006/relationships/hyperlink" Target="http://onlinelibrary.wiley.com/doi/10.1111/j.1523-1739.2012.01930.x/abstract" TargetMode="External"/><Relationship Id="rId3" Type="http://schemas.openxmlformats.org/officeDocument/2006/relationships/webSettings" Target="webSettings.xml"/><Relationship Id="rId21" Type="http://schemas.openxmlformats.org/officeDocument/2006/relationships/hyperlink" Target="https://portals.iucn.org/library/node/44896" TargetMode="External"/><Relationship Id="rId34" Type="http://schemas.openxmlformats.org/officeDocument/2006/relationships/theme" Target="theme/theme1.xml"/><Relationship Id="rId7" Type="http://schemas.openxmlformats.org/officeDocument/2006/relationships/hyperlink" Target="http://www.sciencemag.org/content/328/5982/1164.short" TargetMode="External"/><Relationship Id="rId12" Type="http://schemas.openxmlformats.org/officeDocument/2006/relationships/hyperlink" Target="http://onlinelibrary.wiley.com/doi/10.1111/cobi.12609/abstract" TargetMode="External"/><Relationship Id="rId17" Type="http://schemas.openxmlformats.org/officeDocument/2006/relationships/hyperlink" Target="http://journals.plos.org/plosone/article?id=10.1371/journal.pone.0112046" TargetMode="External"/><Relationship Id="rId25" Type="http://schemas.openxmlformats.org/officeDocument/2006/relationships/hyperlink" Target="http://www.nature.com/nature/journal/v516/n7531/abs/nature14032.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reatenedtaxa.in/index.php/JoTT/article/view/779" TargetMode="External"/><Relationship Id="rId20" Type="http://schemas.openxmlformats.org/officeDocument/2006/relationships/hyperlink" Target="http://www.protectedplanet.net" TargetMode="External"/><Relationship Id="rId29" Type="http://schemas.openxmlformats.org/officeDocument/2006/relationships/hyperlink" Target="http://www.nature.com/nature/journal/v428/n6983/abs/nature02422.html" TargetMode="External"/><Relationship Id="rId1" Type="http://schemas.openxmlformats.org/officeDocument/2006/relationships/styles" Target="styles.xml"/><Relationship Id="rId6" Type="http://schemas.openxmlformats.org/officeDocument/2006/relationships/hyperlink" Target="http://www.tandfonline.com/doi/abs/10.2989/00306520109485329" TargetMode="External"/><Relationship Id="rId11" Type="http://schemas.openxmlformats.org/officeDocument/2006/relationships/hyperlink" Target="http://rstb.royalsocietypublishing.org/content/360/1454/443.short" TargetMode="External"/><Relationship Id="rId24" Type="http://schemas.openxmlformats.org/officeDocument/2006/relationships/hyperlink" Target="http://link.springer.com/article/10.1007/s00267-010-9564-5" TargetMode="External"/><Relationship Id="rId32" Type="http://schemas.openxmlformats.org/officeDocument/2006/relationships/hyperlink" Target="http://www.unep-wcmc.org/resources-and-data/mountain-watch--environmentalchange-sustainable-development-in-mountains" TargetMode="External"/><Relationship Id="rId5" Type="http://schemas.openxmlformats.org/officeDocument/2006/relationships/hyperlink" Target="http://www.birdlife.org/datazone/sowb/sowbpubs" TargetMode="External"/><Relationship Id="rId15" Type="http://schemas.openxmlformats.org/officeDocument/2006/relationships/hyperlink" Target="http://bioscience.oxfordjournals.org/content/54/12/1110.short" TargetMode="External"/><Relationship Id="rId23" Type="http://schemas.openxmlformats.org/officeDocument/2006/relationships/hyperlink" Target="https://portals.iucn.org/library/node/9055" TargetMode="External"/><Relationship Id="rId28" Type="http://schemas.openxmlformats.org/officeDocument/2006/relationships/hyperlink" Target="http://www.pnas.org/content/102/51/18497.short" TargetMode="External"/><Relationship Id="rId10" Type="http://schemas.openxmlformats.org/officeDocument/2006/relationships/hyperlink" Target="https://www.cbd.int/gbo4/" TargetMode="External"/><Relationship Id="rId19" Type="http://schemas.openxmlformats.org/officeDocument/2006/relationships/hyperlink" Target="http://www.kbaconsultation.org/" TargetMode="External"/><Relationship Id="rId31" Type="http://schemas.openxmlformats.org/officeDocument/2006/relationships/hyperlink" Target="http://www.sciencemag.org/content/346/6206/241.short" TargetMode="External"/><Relationship Id="rId4" Type="http://schemas.openxmlformats.org/officeDocument/2006/relationships/hyperlink" Target="http://www.birdlife.org/datazone/site/search" TargetMode="External"/><Relationship Id="rId9" Type="http://schemas.openxmlformats.org/officeDocument/2006/relationships/hyperlink" Target="http://onlinelibrary.wiley.com/doi/10.1111/conl.12158/full" TargetMode="External"/><Relationship Id="rId14" Type="http://schemas.openxmlformats.org/officeDocument/2006/relationships/hyperlink" Target="http://onlinelibrary.wiley.com/doi/10.1002/aqc.902/abstract" TargetMode="External"/><Relationship Id="rId22" Type="http://schemas.openxmlformats.org/officeDocument/2006/relationships/hyperlink" Target="http://bioscience.oxfordjournals.org/content/57/3/256.short" TargetMode="External"/><Relationship Id="rId27" Type="http://schemas.openxmlformats.org/officeDocument/2006/relationships/hyperlink" Target="http://www.sciencedirect.com/science/article/pii/S0006320705001412" TargetMode="External"/><Relationship Id="rId30" Type="http://schemas.openxmlformats.org/officeDocument/2006/relationships/hyperlink" Target="http://www.sciencedirect.com/science/article/pii/S0006320711003454"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13</Pages>
  <Words>5111</Words>
  <Characters>29135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sh.iskakova</cp:lastModifiedBy>
  <cp:revision>63</cp:revision>
  <cp:lastPrinted>2018-10-12T11:32:00Z</cp:lastPrinted>
  <dcterms:created xsi:type="dcterms:W3CDTF">2017-05-27T17:26:00Z</dcterms:created>
  <dcterms:modified xsi:type="dcterms:W3CDTF">2018-10-12T11:32:00Z</dcterms:modified>
</cp:coreProperties>
</file>