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3BC" w:rsidRPr="00BD29EC" w:rsidRDefault="003143BC" w:rsidP="0078726E">
      <w:pPr>
        <w:pBdr>
          <w:top w:val="nil"/>
          <w:left w:val="nil"/>
          <w:bottom w:val="nil"/>
          <w:right w:val="nil"/>
          <w:between w:val="nil"/>
          <w:bar w:val="nil"/>
        </w:pBdr>
        <w:spacing w:after="0"/>
        <w:rPr>
          <w:rFonts w:eastAsia="Arial Unicode MS"/>
          <w:b/>
          <w:szCs w:val="24"/>
          <w:bdr w:val="nil"/>
          <w:lang w:eastAsia="ru-RU"/>
        </w:rPr>
      </w:pPr>
    </w:p>
    <w:p w:rsidR="003143BC" w:rsidRPr="00A343D5" w:rsidRDefault="003143BC" w:rsidP="00A343D5">
      <w:pPr>
        <w:pBdr>
          <w:top w:val="nil"/>
          <w:left w:val="nil"/>
          <w:bottom w:val="nil"/>
          <w:right w:val="nil"/>
          <w:between w:val="nil"/>
          <w:bar w:val="nil"/>
        </w:pBdr>
        <w:spacing w:after="0"/>
        <w:jc w:val="center"/>
        <w:rPr>
          <w:rFonts w:eastAsia="Arial Unicode MS"/>
          <w:b/>
          <w:szCs w:val="24"/>
          <w:bdr w:val="nil"/>
          <w:lang w:eastAsia="ru-RU"/>
        </w:rPr>
      </w:pPr>
      <w:r w:rsidRPr="00A343D5">
        <w:rPr>
          <w:rFonts w:eastAsia="Arial Unicode MS"/>
          <w:b/>
          <w:szCs w:val="24"/>
          <w:bdr w:val="nil"/>
          <w:lang w:eastAsia="ru-RU"/>
        </w:rPr>
        <w:t>Метаданные показателя ЦУР</w:t>
      </w:r>
    </w:p>
    <w:p w:rsidR="003143BC" w:rsidRPr="00A343D5" w:rsidRDefault="003143BC" w:rsidP="00A343D5">
      <w:pPr>
        <w:pBdr>
          <w:top w:val="nil"/>
          <w:left w:val="nil"/>
          <w:bottom w:val="nil"/>
          <w:right w:val="nil"/>
          <w:between w:val="nil"/>
          <w:bar w:val="nil"/>
        </w:pBdr>
        <w:spacing w:after="0"/>
        <w:jc w:val="center"/>
        <w:rPr>
          <w:rFonts w:eastAsia="Arial Unicode MS"/>
          <w:b/>
          <w:szCs w:val="24"/>
          <w:bdr w:val="nil"/>
          <w:lang w:eastAsia="ru-RU"/>
        </w:rPr>
      </w:pPr>
      <w:r w:rsidRPr="00A343D5">
        <w:rPr>
          <w:rFonts w:eastAsia="Arial Unicode MS"/>
          <w:b/>
          <w:szCs w:val="24"/>
          <w:bdr w:val="nil"/>
          <w:lang w:eastAsia="ru-RU"/>
        </w:rPr>
        <w:t>(Гармонизированный шаблон метаданных - версия формата 1.0)</w:t>
      </w:r>
    </w:p>
    <w:p w:rsidR="003143BC" w:rsidRPr="00A343D5" w:rsidRDefault="003143BC" w:rsidP="00393B97">
      <w:pPr>
        <w:pStyle w:val="ac"/>
        <w:numPr>
          <w:ilvl w:val="0"/>
          <w:numId w:val="1"/>
        </w:numPr>
        <w:pBdr>
          <w:top w:val="nil"/>
          <w:left w:val="nil"/>
          <w:bottom w:val="nil"/>
          <w:right w:val="nil"/>
          <w:between w:val="nil"/>
          <w:bar w:val="nil"/>
        </w:pBdr>
        <w:tabs>
          <w:tab w:val="left" w:pos="284"/>
        </w:tabs>
        <w:spacing w:after="0"/>
        <w:ind w:left="0" w:firstLine="0"/>
        <w:rPr>
          <w:rFonts w:eastAsia="Arial Unicode MS"/>
          <w:b/>
          <w:szCs w:val="24"/>
          <w:bdr w:val="nil"/>
          <w:lang w:eastAsia="ru-RU"/>
        </w:rPr>
      </w:pPr>
      <w:r w:rsidRPr="00A343D5">
        <w:rPr>
          <w:rFonts w:eastAsia="Arial Unicode MS"/>
          <w:b/>
          <w:szCs w:val="24"/>
          <w:bdr w:val="nil"/>
          <w:lang w:eastAsia="ru-RU"/>
        </w:rPr>
        <w:t xml:space="preserve">Информация о показателе </w:t>
      </w:r>
    </w:p>
    <w:p w:rsidR="003143BC" w:rsidRPr="00A343D5" w:rsidRDefault="003143BC" w:rsidP="00A343D5">
      <w:pPr>
        <w:pBdr>
          <w:top w:val="nil"/>
          <w:left w:val="nil"/>
          <w:bottom w:val="nil"/>
          <w:right w:val="nil"/>
          <w:between w:val="nil"/>
          <w:bar w:val="nil"/>
        </w:pBdr>
        <w:tabs>
          <w:tab w:val="left" w:pos="284"/>
        </w:tabs>
        <w:spacing w:after="0"/>
        <w:rPr>
          <w:rFonts w:eastAsia="Arial Unicode MS"/>
          <w:b/>
          <w:szCs w:val="24"/>
          <w:bdr w:val="nil"/>
          <w:lang w:eastAsia="ru-RU"/>
        </w:rPr>
      </w:pPr>
      <w:r w:rsidRPr="00A343D5">
        <w:rPr>
          <w:rFonts w:eastAsia="Arial Unicode MS"/>
          <w:b/>
          <w:szCs w:val="24"/>
          <w:bdr w:val="nil"/>
          <w:lang w:eastAsia="ru-RU"/>
        </w:rPr>
        <w:t>0.</w:t>
      </w:r>
      <w:r w:rsidRPr="00A343D5">
        <w:rPr>
          <w:rFonts w:eastAsia="Arial Unicode MS"/>
          <w:b/>
          <w:szCs w:val="24"/>
          <w:bdr w:val="nil"/>
          <w:lang w:val="en-US" w:eastAsia="ru-RU"/>
        </w:rPr>
        <w:t>a</w:t>
      </w:r>
      <w:r w:rsidRPr="00A343D5">
        <w:rPr>
          <w:rFonts w:eastAsia="Arial Unicode MS"/>
          <w:b/>
          <w:szCs w:val="24"/>
          <w:bdr w:val="nil"/>
          <w:lang w:eastAsia="ru-RU"/>
        </w:rPr>
        <w:t>. Цель</w:t>
      </w:r>
    </w:p>
    <w:p w:rsidR="002D493B" w:rsidRPr="00E36CE2" w:rsidRDefault="00780F08" w:rsidP="0016743D">
      <w:pPr>
        <w:pBdr>
          <w:top w:val="nil"/>
          <w:left w:val="nil"/>
          <w:bottom w:val="nil"/>
          <w:right w:val="nil"/>
          <w:between w:val="nil"/>
          <w:bar w:val="nil"/>
        </w:pBdr>
        <w:spacing w:after="0"/>
      </w:pPr>
      <w:r w:rsidRPr="00A343D5">
        <w:rPr>
          <w:rFonts w:eastAsia="Arial Unicode MS"/>
          <w:szCs w:val="24"/>
          <w:bdr w:val="nil"/>
          <w:lang w:eastAsia="ru-RU"/>
        </w:rPr>
        <w:t xml:space="preserve">Цель </w:t>
      </w:r>
      <w:r w:rsidR="00935B97">
        <w:rPr>
          <w:rFonts w:eastAsia="Arial Unicode MS"/>
          <w:szCs w:val="24"/>
          <w:bdr w:val="nil"/>
          <w:lang w:eastAsia="ru-RU"/>
        </w:rPr>
        <w:t>1</w:t>
      </w:r>
      <w:r w:rsidR="00BA7C6B">
        <w:rPr>
          <w:rFonts w:eastAsia="Arial Unicode MS"/>
          <w:szCs w:val="24"/>
          <w:bdr w:val="nil"/>
          <w:lang w:eastAsia="ru-RU"/>
        </w:rPr>
        <w:t>7</w:t>
      </w:r>
      <w:r w:rsidRPr="00A343D5">
        <w:rPr>
          <w:rFonts w:eastAsia="Arial Unicode MS"/>
          <w:szCs w:val="24"/>
          <w:bdr w:val="nil"/>
          <w:lang w:eastAsia="ru-RU"/>
        </w:rPr>
        <w:t xml:space="preserve">: </w:t>
      </w:r>
      <w:r w:rsidR="00BA7C6B" w:rsidRPr="00BA7C6B">
        <w:t>Укрепление средств достижения устойчивого развития и активизация работы механизмов глобального партнерства в интересах устойчивого развития</w:t>
      </w:r>
    </w:p>
    <w:p w:rsidR="003143BC" w:rsidRPr="00A343D5" w:rsidRDefault="003143BC" w:rsidP="0016743D">
      <w:pPr>
        <w:pBdr>
          <w:top w:val="nil"/>
          <w:left w:val="nil"/>
          <w:bottom w:val="nil"/>
          <w:right w:val="nil"/>
          <w:between w:val="nil"/>
          <w:bar w:val="nil"/>
        </w:pBdr>
        <w:spacing w:after="0"/>
        <w:rPr>
          <w:rFonts w:eastAsia="Arial Unicode MS"/>
          <w:b/>
          <w:szCs w:val="24"/>
          <w:bdr w:val="nil"/>
          <w:lang w:eastAsia="ru-RU"/>
        </w:rPr>
      </w:pPr>
      <w:r w:rsidRPr="00A343D5">
        <w:rPr>
          <w:rFonts w:eastAsia="Arial Unicode MS"/>
          <w:b/>
          <w:szCs w:val="24"/>
          <w:bdr w:val="nil"/>
          <w:lang w:eastAsia="ru-RU"/>
        </w:rPr>
        <w:t>0.</w:t>
      </w:r>
      <w:r w:rsidRPr="00A343D5">
        <w:rPr>
          <w:rFonts w:eastAsia="Arial Unicode MS"/>
          <w:b/>
          <w:szCs w:val="24"/>
          <w:bdr w:val="nil"/>
          <w:lang w:val="en-US" w:eastAsia="ru-RU"/>
        </w:rPr>
        <w:t>b</w:t>
      </w:r>
      <w:r w:rsidRPr="00A343D5">
        <w:rPr>
          <w:rFonts w:eastAsia="Arial Unicode MS"/>
          <w:b/>
          <w:szCs w:val="24"/>
          <w:bdr w:val="nil"/>
          <w:lang w:eastAsia="ru-RU"/>
        </w:rPr>
        <w:t>. Задача</w:t>
      </w:r>
    </w:p>
    <w:p w:rsidR="006B0337" w:rsidRDefault="00935B97" w:rsidP="00A708AC">
      <w:r>
        <w:t>1</w:t>
      </w:r>
      <w:r w:rsidR="00BA7C6B">
        <w:t>7</w:t>
      </w:r>
      <w:r w:rsidR="00780F08" w:rsidRPr="00A343D5">
        <w:t>.</w:t>
      </w:r>
      <w:r w:rsidR="006156BE" w:rsidRPr="006156BE">
        <w:t>5</w:t>
      </w:r>
      <w:r w:rsidR="00780F08" w:rsidRPr="00A343D5">
        <w:t xml:space="preserve">.  </w:t>
      </w:r>
      <w:r w:rsidR="00A708AC" w:rsidRPr="00A708AC">
        <w:t>Принять и применять режимы поощрения инвестиций в интересах наименее развитых стран</w:t>
      </w:r>
      <w:r w:rsidR="00A708AC">
        <w:t>.</w:t>
      </w:r>
    </w:p>
    <w:p w:rsidR="003143BC" w:rsidRPr="00A343D5" w:rsidRDefault="003143BC" w:rsidP="00BA7C6B">
      <w:pPr>
        <w:pBdr>
          <w:top w:val="nil"/>
          <w:left w:val="nil"/>
          <w:bottom w:val="nil"/>
          <w:right w:val="nil"/>
          <w:between w:val="nil"/>
          <w:bar w:val="nil"/>
        </w:pBdr>
        <w:spacing w:after="0"/>
        <w:rPr>
          <w:rFonts w:eastAsia="Arial Unicode MS"/>
          <w:b/>
          <w:szCs w:val="24"/>
          <w:bdr w:val="nil"/>
          <w:lang w:eastAsia="ru-RU"/>
        </w:rPr>
      </w:pPr>
      <w:r w:rsidRPr="00A343D5">
        <w:rPr>
          <w:rFonts w:eastAsia="Arial Unicode MS"/>
          <w:b/>
          <w:szCs w:val="24"/>
          <w:bdr w:val="nil"/>
          <w:lang w:eastAsia="ru-RU"/>
        </w:rPr>
        <w:t>0.с. Показатель</w:t>
      </w:r>
    </w:p>
    <w:p w:rsidR="00067E3E" w:rsidRPr="00147D02" w:rsidRDefault="003143BC" w:rsidP="00A708AC">
      <w:r w:rsidRPr="00A343D5">
        <w:t xml:space="preserve">Показатель </w:t>
      </w:r>
      <w:r w:rsidR="00935B97">
        <w:t>1</w:t>
      </w:r>
      <w:r w:rsidR="00BA7C6B">
        <w:t>7</w:t>
      </w:r>
      <w:r w:rsidR="00780F08" w:rsidRPr="00A343D5">
        <w:t>.</w:t>
      </w:r>
      <w:r w:rsidR="006156BE" w:rsidRPr="006156BE">
        <w:t>5</w:t>
      </w:r>
      <w:r w:rsidR="00465587">
        <w:t>.</w:t>
      </w:r>
      <w:r w:rsidR="00BA7C6B">
        <w:t>1</w:t>
      </w:r>
      <w:r w:rsidR="006677B0">
        <w:t>.</w:t>
      </w:r>
      <w:r w:rsidR="00A708AC" w:rsidRPr="00A708AC">
        <w:t>Число стран, в которых приняты и действуют режимы поощрения инвестиций в интересах развивающихся стран, включая наименее развитые страны</w:t>
      </w:r>
      <w:r w:rsidR="00A708AC">
        <w:t>.</w:t>
      </w:r>
    </w:p>
    <w:p w:rsidR="003143BC" w:rsidRDefault="003143BC" w:rsidP="006677B0">
      <w:pPr>
        <w:pBdr>
          <w:top w:val="nil"/>
          <w:left w:val="nil"/>
          <w:bottom w:val="nil"/>
          <w:right w:val="nil"/>
          <w:between w:val="nil"/>
          <w:bar w:val="nil"/>
        </w:pBdr>
        <w:spacing w:after="0"/>
        <w:rPr>
          <w:rFonts w:eastAsia="Arial Unicode MS"/>
          <w:b/>
          <w:szCs w:val="24"/>
          <w:bdr w:val="nil"/>
          <w:lang w:eastAsia="ru-RU"/>
        </w:rPr>
      </w:pPr>
      <w:r w:rsidRPr="00A343D5">
        <w:rPr>
          <w:rFonts w:eastAsia="Arial Unicode MS"/>
          <w:b/>
          <w:szCs w:val="24"/>
          <w:bdr w:val="nil"/>
          <w:lang w:eastAsia="ru-RU"/>
        </w:rPr>
        <w:t>0.</w:t>
      </w:r>
      <w:r w:rsidRPr="00A343D5">
        <w:rPr>
          <w:rFonts w:eastAsia="Arial Unicode MS"/>
          <w:b/>
          <w:szCs w:val="24"/>
          <w:bdr w:val="nil"/>
          <w:lang w:val="en-US" w:eastAsia="ru-RU"/>
        </w:rPr>
        <w:t>d</w:t>
      </w:r>
      <w:r w:rsidRPr="00A343D5">
        <w:rPr>
          <w:rFonts w:eastAsia="Arial Unicode MS"/>
          <w:b/>
          <w:szCs w:val="24"/>
          <w:bdr w:val="nil"/>
          <w:lang w:eastAsia="ru-RU"/>
        </w:rPr>
        <w:t xml:space="preserve">. </w:t>
      </w:r>
      <w:r w:rsidR="00A41B68" w:rsidRPr="00A343D5">
        <w:rPr>
          <w:rFonts w:eastAsia="Arial Unicode MS"/>
          <w:b/>
          <w:szCs w:val="24"/>
          <w:bdr w:val="nil"/>
          <w:lang w:eastAsia="ru-RU"/>
        </w:rPr>
        <w:t>Ряд</w:t>
      </w:r>
      <w:r w:rsidR="00704A8D" w:rsidRPr="00A343D5">
        <w:rPr>
          <w:rFonts w:eastAsia="Arial Unicode MS"/>
          <w:b/>
          <w:szCs w:val="24"/>
          <w:bdr w:val="nil"/>
          <w:lang w:eastAsia="ru-RU"/>
        </w:rPr>
        <w:t xml:space="preserve"> данных</w:t>
      </w:r>
    </w:p>
    <w:p w:rsidR="00C8596F" w:rsidRPr="00A343D5" w:rsidRDefault="00C8596F" w:rsidP="00A343D5">
      <w:pPr>
        <w:pBdr>
          <w:top w:val="nil"/>
          <w:left w:val="nil"/>
          <w:bottom w:val="nil"/>
          <w:right w:val="nil"/>
          <w:between w:val="nil"/>
          <w:bar w:val="nil"/>
        </w:pBdr>
        <w:tabs>
          <w:tab w:val="left" w:pos="284"/>
        </w:tabs>
        <w:spacing w:after="0"/>
        <w:rPr>
          <w:rFonts w:eastAsia="Arial Unicode MS"/>
          <w:b/>
          <w:szCs w:val="24"/>
          <w:bdr w:val="nil"/>
          <w:lang w:eastAsia="ru-RU"/>
        </w:rPr>
      </w:pPr>
      <w:r w:rsidRPr="00A343D5">
        <w:rPr>
          <w:rFonts w:eastAsia="Arial Unicode MS"/>
          <w:b/>
          <w:szCs w:val="24"/>
          <w:bdr w:val="nil"/>
          <w:lang w:eastAsia="ru-RU"/>
        </w:rPr>
        <w:t>0.</w:t>
      </w:r>
      <w:r w:rsidRPr="00A343D5">
        <w:rPr>
          <w:rFonts w:eastAsia="Arial Unicode MS"/>
          <w:b/>
          <w:szCs w:val="24"/>
          <w:bdr w:val="nil"/>
          <w:lang w:val="en-US" w:eastAsia="ru-RU"/>
        </w:rPr>
        <w:t>e</w:t>
      </w:r>
      <w:r w:rsidRPr="00A343D5">
        <w:rPr>
          <w:rFonts w:eastAsia="Arial Unicode MS"/>
          <w:b/>
          <w:szCs w:val="24"/>
          <w:bdr w:val="nil"/>
          <w:lang w:eastAsia="ru-RU"/>
        </w:rPr>
        <w:t xml:space="preserve">. Обновление данных </w:t>
      </w:r>
    </w:p>
    <w:p w:rsidR="00C8596F" w:rsidRPr="00A343D5" w:rsidRDefault="00245F56" w:rsidP="00A343D5">
      <w:pPr>
        <w:pBdr>
          <w:top w:val="nil"/>
          <w:left w:val="nil"/>
          <w:bottom w:val="nil"/>
          <w:right w:val="nil"/>
          <w:between w:val="nil"/>
          <w:bar w:val="nil"/>
        </w:pBdr>
        <w:tabs>
          <w:tab w:val="left" w:pos="284"/>
        </w:tabs>
        <w:spacing w:after="0"/>
        <w:rPr>
          <w:rFonts w:eastAsia="Arial Unicode MS"/>
          <w:szCs w:val="24"/>
          <w:bdr w:val="nil"/>
          <w:lang w:eastAsia="ru-RU"/>
        </w:rPr>
      </w:pPr>
      <w:r>
        <w:rPr>
          <w:rFonts w:eastAsia="Arial Unicode MS"/>
          <w:szCs w:val="24"/>
          <w:bdr w:val="nil"/>
          <w:lang w:eastAsia="ru-RU"/>
        </w:rPr>
        <w:t>Март</w:t>
      </w:r>
      <w:r w:rsidR="008501F4">
        <w:rPr>
          <w:rFonts w:eastAsia="Arial Unicode MS"/>
          <w:szCs w:val="24"/>
          <w:bdr w:val="nil"/>
          <w:lang w:eastAsia="ru-RU"/>
        </w:rPr>
        <w:t xml:space="preserve"> 2021</w:t>
      </w:r>
    </w:p>
    <w:p w:rsidR="00C8596F" w:rsidRDefault="00C8596F" w:rsidP="00A343D5">
      <w:pPr>
        <w:pBdr>
          <w:top w:val="nil"/>
          <w:left w:val="nil"/>
          <w:bottom w:val="nil"/>
          <w:right w:val="nil"/>
          <w:between w:val="nil"/>
          <w:bar w:val="nil"/>
        </w:pBdr>
        <w:tabs>
          <w:tab w:val="left" w:pos="284"/>
        </w:tabs>
        <w:spacing w:after="0"/>
        <w:rPr>
          <w:rFonts w:eastAsia="Arial Unicode MS"/>
          <w:b/>
          <w:szCs w:val="24"/>
          <w:bdr w:val="nil"/>
          <w:lang w:eastAsia="ru-RU"/>
        </w:rPr>
      </w:pPr>
      <w:r w:rsidRPr="00A343D5">
        <w:rPr>
          <w:rFonts w:eastAsia="Arial Unicode MS"/>
          <w:b/>
          <w:szCs w:val="24"/>
          <w:bdr w:val="nil"/>
          <w:lang w:eastAsia="ru-RU"/>
        </w:rPr>
        <w:t>0.</w:t>
      </w:r>
      <w:r w:rsidRPr="00A343D5">
        <w:rPr>
          <w:rFonts w:eastAsia="Arial Unicode MS"/>
          <w:b/>
          <w:szCs w:val="24"/>
          <w:bdr w:val="nil"/>
          <w:lang w:val="en-US" w:eastAsia="ru-RU"/>
        </w:rPr>
        <w:t>f</w:t>
      </w:r>
      <w:r w:rsidRPr="00A343D5">
        <w:rPr>
          <w:rFonts w:eastAsia="Arial Unicode MS"/>
          <w:b/>
          <w:szCs w:val="24"/>
          <w:bdr w:val="nil"/>
          <w:lang w:eastAsia="ru-RU"/>
        </w:rPr>
        <w:t xml:space="preserve">. Связанные показатели </w:t>
      </w:r>
    </w:p>
    <w:p w:rsidR="00245F56" w:rsidRPr="00245F56" w:rsidRDefault="00245F56" w:rsidP="00245F56">
      <w:pPr>
        <w:pBdr>
          <w:top w:val="nil"/>
          <w:left w:val="nil"/>
          <w:bottom w:val="nil"/>
          <w:right w:val="nil"/>
          <w:between w:val="nil"/>
          <w:bar w:val="nil"/>
        </w:pBdr>
        <w:tabs>
          <w:tab w:val="left" w:pos="284"/>
        </w:tabs>
        <w:spacing w:after="0"/>
        <w:rPr>
          <w:rStyle w:val="tlid-translation"/>
          <w:szCs w:val="24"/>
        </w:rPr>
      </w:pPr>
      <w:r w:rsidRPr="00245F56">
        <w:rPr>
          <w:rStyle w:val="tlid-translation"/>
          <w:szCs w:val="24"/>
        </w:rPr>
        <w:t>Показатель 10.b.1: Общие потоки ресурсов для развития с разбивкой по странам-получателям и донорам и типам потоков (например, официальная помощь в целях развития, прямые иностранные инвестиции и другие потоки) (метаданные).</w:t>
      </w:r>
    </w:p>
    <w:p w:rsidR="00245F56" w:rsidRDefault="00245F56" w:rsidP="00245F56">
      <w:pPr>
        <w:pBdr>
          <w:top w:val="nil"/>
          <w:left w:val="nil"/>
          <w:bottom w:val="nil"/>
          <w:right w:val="nil"/>
          <w:between w:val="nil"/>
          <w:bar w:val="nil"/>
        </w:pBdr>
        <w:tabs>
          <w:tab w:val="left" w:pos="284"/>
        </w:tabs>
        <w:spacing w:after="0"/>
        <w:rPr>
          <w:rStyle w:val="tlid-translation"/>
          <w:szCs w:val="24"/>
        </w:rPr>
      </w:pPr>
      <w:r w:rsidRPr="00245F56">
        <w:rPr>
          <w:rStyle w:val="tlid-translation"/>
          <w:szCs w:val="24"/>
        </w:rPr>
        <w:t>Показатель 17.3.1: Прямые иностранные инвестиции (ПИИ), официальная помощь в целях развития и сотрудничество Юг-Юг как доля от общего внутреннего бюджета (метаданные)</w:t>
      </w:r>
      <w:r>
        <w:rPr>
          <w:rStyle w:val="tlid-translation"/>
          <w:szCs w:val="24"/>
        </w:rPr>
        <w:t>.</w:t>
      </w:r>
      <w:r w:rsidRPr="00245F56">
        <w:rPr>
          <w:rStyle w:val="tlid-translation"/>
          <w:szCs w:val="24"/>
        </w:rPr>
        <w:t xml:space="preserve"> Однако показатель 17.3.1 в настоящее время уточняется, и его предлагается разделить на: </w:t>
      </w:r>
      <w:r>
        <w:rPr>
          <w:rStyle w:val="tlid-translation"/>
          <w:szCs w:val="24"/>
        </w:rPr>
        <w:t>а</w:t>
      </w:r>
      <w:r w:rsidRPr="00245F56">
        <w:rPr>
          <w:rStyle w:val="tlid-translation"/>
          <w:szCs w:val="24"/>
        </w:rPr>
        <w:t>) ПИИ как доля валового национального дохода; б) Общая официальная поддержка развития (TOSSD).</w:t>
      </w:r>
    </w:p>
    <w:p w:rsidR="00A91FDE" w:rsidRPr="008501F4" w:rsidRDefault="00E33CA8" w:rsidP="00245F56">
      <w:pPr>
        <w:pBdr>
          <w:top w:val="nil"/>
          <w:left w:val="nil"/>
          <w:bottom w:val="nil"/>
          <w:right w:val="nil"/>
          <w:between w:val="nil"/>
          <w:bar w:val="nil"/>
        </w:pBdr>
        <w:tabs>
          <w:tab w:val="left" w:pos="284"/>
        </w:tabs>
        <w:spacing w:after="0"/>
        <w:rPr>
          <w:rFonts w:eastAsia="Arial Unicode MS"/>
          <w:szCs w:val="24"/>
          <w:bdr w:val="nil"/>
          <w:lang w:eastAsia="ru-RU"/>
        </w:rPr>
      </w:pPr>
      <w:r w:rsidRPr="00A343D5">
        <w:rPr>
          <w:rFonts w:eastAsia="Arial Unicode MS"/>
          <w:b/>
          <w:szCs w:val="24"/>
          <w:bdr w:val="nil"/>
          <w:lang w:eastAsia="ru-RU"/>
        </w:rPr>
        <w:t>0.</w:t>
      </w:r>
      <w:r w:rsidRPr="00A343D5">
        <w:rPr>
          <w:rFonts w:eastAsia="Arial Unicode MS"/>
          <w:b/>
          <w:szCs w:val="24"/>
          <w:bdr w:val="nil"/>
          <w:lang w:val="en-US" w:eastAsia="ru-RU"/>
        </w:rPr>
        <w:t>g</w:t>
      </w:r>
      <w:r w:rsidRPr="00A343D5">
        <w:rPr>
          <w:rFonts w:eastAsia="Arial Unicode MS"/>
          <w:b/>
          <w:szCs w:val="24"/>
          <w:bdr w:val="nil"/>
          <w:lang w:eastAsia="ru-RU"/>
        </w:rPr>
        <w:t>. Международные организации, ответственные за глобальный мониторинг</w:t>
      </w:r>
    </w:p>
    <w:p w:rsidR="00245F56" w:rsidRDefault="00245F56" w:rsidP="00245F56">
      <w:bookmarkStart w:id="0" w:name="_Toc37932744"/>
      <w:bookmarkStart w:id="1" w:name="_Toc36813072"/>
      <w:bookmarkStart w:id="2" w:name="_Toc36812685"/>
      <w:bookmarkStart w:id="3" w:name="_Toc36812572"/>
      <w:bookmarkStart w:id="4" w:name="_Toc36655609"/>
      <w:r w:rsidRPr="00245F56">
        <w:t>ЮНКТАД</w:t>
      </w:r>
    </w:p>
    <w:p w:rsidR="00957A62" w:rsidRPr="00162B33" w:rsidRDefault="00957A62" w:rsidP="00A343D5">
      <w:pPr>
        <w:pStyle w:val="MHeader"/>
        <w:rPr>
          <w:b/>
          <w:color w:val="auto"/>
          <w:sz w:val="24"/>
          <w:szCs w:val="24"/>
          <w:lang w:val="ru-RU"/>
        </w:rPr>
      </w:pPr>
      <w:r w:rsidRPr="00162B33">
        <w:rPr>
          <w:b/>
          <w:color w:val="auto"/>
          <w:sz w:val="24"/>
          <w:szCs w:val="24"/>
          <w:lang w:val="ru-RU"/>
        </w:rPr>
        <w:t xml:space="preserve">1. </w:t>
      </w:r>
      <w:bookmarkEnd w:id="0"/>
      <w:bookmarkEnd w:id="1"/>
      <w:bookmarkEnd w:id="2"/>
      <w:bookmarkEnd w:id="3"/>
      <w:bookmarkEnd w:id="4"/>
      <w:r w:rsidR="00853C09" w:rsidRPr="00162B33">
        <w:rPr>
          <w:b/>
          <w:color w:val="auto"/>
          <w:sz w:val="24"/>
          <w:szCs w:val="24"/>
          <w:lang w:val="ru-RU"/>
        </w:rPr>
        <w:t xml:space="preserve">Данные представлены </w:t>
      </w:r>
    </w:p>
    <w:p w:rsidR="00245F56" w:rsidRDefault="00245F56" w:rsidP="00245F56">
      <w:r w:rsidRPr="00245F56">
        <w:t>ЮНКТАД</w:t>
      </w:r>
    </w:p>
    <w:p w:rsidR="0018458D" w:rsidRPr="002D493B" w:rsidRDefault="00957A62" w:rsidP="0018458D">
      <w:pPr>
        <w:pStyle w:val="MHeader"/>
        <w:rPr>
          <w:b/>
          <w:color w:val="auto"/>
          <w:sz w:val="24"/>
          <w:lang w:val="ru-RU"/>
        </w:rPr>
      </w:pPr>
      <w:r w:rsidRPr="002D493B">
        <w:rPr>
          <w:b/>
          <w:color w:val="auto"/>
          <w:sz w:val="24"/>
          <w:lang w:val="ru-RU"/>
        </w:rPr>
        <w:t xml:space="preserve">2. Определения, </w:t>
      </w:r>
      <w:r w:rsidR="00A41B68" w:rsidRPr="002D493B">
        <w:rPr>
          <w:b/>
          <w:color w:val="auto"/>
          <w:sz w:val="24"/>
          <w:lang w:val="ru-RU"/>
        </w:rPr>
        <w:t>понятия</w:t>
      </w:r>
      <w:r w:rsidRPr="002D493B">
        <w:rPr>
          <w:b/>
          <w:color w:val="auto"/>
          <w:sz w:val="24"/>
          <w:lang w:val="ru-RU"/>
        </w:rPr>
        <w:t xml:space="preserve"> и классификации</w:t>
      </w:r>
    </w:p>
    <w:p w:rsidR="002D493B" w:rsidRPr="002D493B" w:rsidRDefault="002D493B" w:rsidP="002D493B">
      <w:pPr>
        <w:rPr>
          <w:b/>
        </w:rPr>
      </w:pPr>
      <w:r w:rsidRPr="002D493B">
        <w:rPr>
          <w:b/>
        </w:rPr>
        <w:t>Определения</w:t>
      </w:r>
    </w:p>
    <w:p w:rsidR="0037008B" w:rsidRDefault="0037008B" w:rsidP="00873DDE">
      <w:pPr>
        <w:rPr>
          <w:szCs w:val="24"/>
        </w:rPr>
      </w:pPr>
      <w:r w:rsidRPr="0037008B">
        <w:rPr>
          <w:szCs w:val="24"/>
        </w:rPr>
        <w:t>Показатель показывает количество стран, которые приняли и внедрили режимы поощрения инвестиций для развивающихся стран, включая наименее развитые страны.</w:t>
      </w:r>
    </w:p>
    <w:p w:rsidR="0036490E" w:rsidRPr="0037008B" w:rsidRDefault="0036490E" w:rsidP="00873DDE">
      <w:pPr>
        <w:rPr>
          <w:b/>
          <w:szCs w:val="24"/>
          <w:lang w:val="en-US"/>
        </w:rPr>
      </w:pPr>
      <w:r w:rsidRPr="0036490E">
        <w:rPr>
          <w:b/>
          <w:szCs w:val="24"/>
        </w:rPr>
        <w:t>Основныепонятия</w:t>
      </w:r>
      <w:r w:rsidRPr="0037008B">
        <w:rPr>
          <w:b/>
          <w:szCs w:val="24"/>
          <w:lang w:val="en-US"/>
        </w:rPr>
        <w:t>:</w:t>
      </w:r>
    </w:p>
    <w:p w:rsidR="0037008B" w:rsidRPr="0037008B" w:rsidRDefault="0037008B" w:rsidP="0037008B">
      <w:r w:rsidRPr="00585E8C">
        <w:rPr>
          <w:u w:val="single"/>
        </w:rPr>
        <w:t>Режимы поощрения инвестиций</w:t>
      </w:r>
      <w:r w:rsidRPr="0037008B">
        <w:t xml:space="preserve"> можно определить как те инструменты, которые непосредственно направлены на поощрение внешних или внутренних иностранных инвестиций с помощью конкретных мер, принимаемых странами происхождения или принимающей страны.</w:t>
      </w:r>
    </w:p>
    <w:p w:rsidR="0037008B" w:rsidRPr="0037008B" w:rsidRDefault="0037008B" w:rsidP="0037008B">
      <w:r w:rsidRPr="00585E8C">
        <w:rPr>
          <w:u w:val="single"/>
        </w:rPr>
        <w:t>Режимы поощрения инвестиций для НРС</w:t>
      </w:r>
      <w:r w:rsidRPr="0037008B">
        <w:t xml:space="preserve"> - это те инструменты, которые страны базирования инвесторов используют для поощрения вывоза инвестиций в НРС напрямую или посредством мер, предназначенных для развивающихся стран.</w:t>
      </w:r>
    </w:p>
    <w:p w:rsidR="0037008B" w:rsidRPr="0037008B" w:rsidRDefault="0037008B" w:rsidP="0037008B">
      <w:r w:rsidRPr="0037008B">
        <w:lastRenderedPageBreak/>
        <w:t xml:space="preserve">Под </w:t>
      </w:r>
      <w:r w:rsidRPr="00585E8C">
        <w:rPr>
          <w:u w:val="single"/>
        </w:rPr>
        <w:t>страной происхождения</w:t>
      </w:r>
      <w:r w:rsidRPr="0037008B">
        <w:t xml:space="preserve"> понимаются страны-доноры, которые внедрили режимы поощрения инвестиций для поощрения вывоза инвестиций в развивающиеся страны, включая НРС.</w:t>
      </w:r>
    </w:p>
    <w:p w:rsidR="0037008B" w:rsidRPr="0037008B" w:rsidRDefault="0037008B" w:rsidP="0037008B">
      <w:r w:rsidRPr="00585E8C">
        <w:rPr>
          <w:u w:val="single"/>
        </w:rPr>
        <w:t>Прямые иностранные инвестиции</w:t>
      </w:r>
      <w:r w:rsidRPr="0037008B">
        <w:t>предполагают долгосрочные отношения и отражают устойчивую заинтересованность и контроль со стороны резидента в одной стране (прямого иностранного инвестора или материнского предприятия) над предприятием-резидентом в экономике, отличной от экономики прямого иностранного инвестора (предприятие с ПИИ или дочернее предприятие или иностранный филиал).</w:t>
      </w:r>
    </w:p>
    <w:p w:rsidR="0037008B" w:rsidRPr="0037008B" w:rsidRDefault="0037008B" w:rsidP="0037008B">
      <w:r w:rsidRPr="0067549F">
        <w:rPr>
          <w:u w:val="single"/>
        </w:rPr>
        <w:t>Принятие</w:t>
      </w:r>
      <w:r w:rsidRPr="0037008B">
        <w:t xml:space="preserve"> означает, что страна создала такую ​​систему, то есть путем официального принятия закона, постановления или программы для поощрения инвестиций в развивающиеся страны, включая НРС.</w:t>
      </w:r>
    </w:p>
    <w:p w:rsidR="0037008B" w:rsidRPr="0037008B" w:rsidRDefault="0037008B" w:rsidP="0037008B">
      <w:r w:rsidRPr="0067549F">
        <w:rPr>
          <w:u w:val="single"/>
        </w:rPr>
        <w:t>Осуществление</w:t>
      </w:r>
      <w:r w:rsidRPr="0037008B">
        <w:t xml:space="preserve"> означает, что страна фактически начала поощрять индивидуальные инвестиции в развивающиеся страны, включая НРС, на основе соответствующего законодательства.</w:t>
      </w:r>
    </w:p>
    <w:p w:rsidR="0037008B" w:rsidRPr="0037008B" w:rsidRDefault="0037008B" w:rsidP="0037008B">
      <w:r w:rsidRPr="0067549F">
        <w:rPr>
          <w:u w:val="single"/>
        </w:rPr>
        <w:t>Инструменты, используемые в режимах поощрения инвестиций</w:t>
      </w:r>
      <w:r w:rsidRPr="0037008B">
        <w:t>, включают инвестиционные гарантии, финансовую или фискальную поддержку для иностранных инвесторов, а также заключение международных инвестиционных соглашений между страной происхождения и принимающей страной инвестора. Помимо этих правовых инструментов, страны часто также предоставляют информацию и другие консультационные услуги своим иностранным инвесторам.</w:t>
      </w:r>
    </w:p>
    <w:p w:rsidR="0037008B" w:rsidRPr="0037008B" w:rsidRDefault="0037008B" w:rsidP="0037008B">
      <w:r w:rsidRPr="00D82193">
        <w:rPr>
          <w:u w:val="single"/>
        </w:rPr>
        <w:t>Инвестиционная гарантия</w:t>
      </w:r>
      <w:r w:rsidRPr="0037008B">
        <w:t xml:space="preserve"> - это страхование, предлагаемое правительством страны происхождения или другими учреждениями инвесторам для защиты от определенных политических рисков в принимающих странах, таких как риск дискриминации, экспроприации, ограничений передачи или нарушения контракта.</w:t>
      </w:r>
    </w:p>
    <w:p w:rsidR="0037008B" w:rsidRDefault="0037008B" w:rsidP="0037008B">
      <w:r w:rsidRPr="00D82193">
        <w:rPr>
          <w:u w:val="single"/>
        </w:rPr>
        <w:t>Международное инвестиционное соглашение</w:t>
      </w:r>
      <w:r w:rsidRPr="0037008B">
        <w:t xml:space="preserve"> - это договор между двумя или более странами относительно поощрения и защиты инвестиций, сделанных инвесторами из одной страны на территории другой страны, который обязывает правительство принимающей страны предоставлять определенные стандарты режима и защиты иностранным инвесторам (гражданам и компании другой страны) и их вложения.</w:t>
      </w:r>
    </w:p>
    <w:p w:rsidR="00407E4E" w:rsidRPr="006C10F0" w:rsidRDefault="00407E4E" w:rsidP="00873DDE">
      <w:pPr>
        <w:pStyle w:val="MHeader2"/>
        <w:spacing w:line="276" w:lineRule="auto"/>
        <w:rPr>
          <w:color w:val="auto"/>
          <w:sz w:val="24"/>
          <w:szCs w:val="24"/>
          <w:lang w:val="ru-RU"/>
        </w:rPr>
      </w:pPr>
      <w:r w:rsidRPr="006C10F0">
        <w:rPr>
          <w:color w:val="auto"/>
          <w:sz w:val="24"/>
          <w:szCs w:val="24"/>
          <w:lang w:val="ru-RU"/>
        </w:rPr>
        <w:t>2.</w:t>
      </w:r>
      <w:r w:rsidRPr="00A343D5">
        <w:rPr>
          <w:color w:val="auto"/>
          <w:sz w:val="24"/>
          <w:szCs w:val="24"/>
        </w:rPr>
        <w:t>b</w:t>
      </w:r>
      <w:r w:rsidRPr="006C10F0">
        <w:rPr>
          <w:color w:val="auto"/>
          <w:sz w:val="24"/>
          <w:szCs w:val="24"/>
          <w:lang w:val="ru-RU"/>
        </w:rPr>
        <w:t xml:space="preserve">. </w:t>
      </w:r>
      <w:r w:rsidRPr="00A343D5">
        <w:rPr>
          <w:b/>
          <w:color w:val="auto"/>
          <w:sz w:val="24"/>
          <w:szCs w:val="24"/>
          <w:lang w:val="ru-RU"/>
        </w:rPr>
        <w:t>Единицаизмерения</w:t>
      </w:r>
    </w:p>
    <w:p w:rsidR="00372BD0" w:rsidRDefault="00372BD0" w:rsidP="00372BD0">
      <w:r w:rsidRPr="00372BD0">
        <w:t>Единица измерения - количество стран.</w:t>
      </w:r>
    </w:p>
    <w:p w:rsidR="000A229E" w:rsidRDefault="000A229E" w:rsidP="00D50626">
      <w:pPr>
        <w:pStyle w:val="MHeader2"/>
        <w:spacing w:line="276" w:lineRule="auto"/>
        <w:rPr>
          <w:b/>
          <w:color w:val="auto"/>
          <w:sz w:val="24"/>
          <w:szCs w:val="24"/>
          <w:lang w:val="ru-RU"/>
        </w:rPr>
      </w:pPr>
      <w:r w:rsidRPr="00067E3E">
        <w:rPr>
          <w:color w:val="auto"/>
          <w:sz w:val="24"/>
          <w:szCs w:val="24"/>
          <w:lang w:val="ru-RU"/>
        </w:rPr>
        <w:t>2.</w:t>
      </w:r>
      <w:r w:rsidRPr="00A343D5">
        <w:rPr>
          <w:color w:val="auto"/>
          <w:sz w:val="24"/>
          <w:szCs w:val="24"/>
        </w:rPr>
        <w:t>c</w:t>
      </w:r>
      <w:r w:rsidRPr="00067E3E">
        <w:rPr>
          <w:color w:val="auto"/>
          <w:sz w:val="24"/>
          <w:szCs w:val="24"/>
          <w:lang w:val="ru-RU"/>
        </w:rPr>
        <w:t xml:space="preserve">. </w:t>
      </w:r>
      <w:r w:rsidRPr="00A343D5">
        <w:rPr>
          <w:b/>
          <w:color w:val="auto"/>
          <w:sz w:val="24"/>
          <w:szCs w:val="24"/>
          <w:lang w:val="ru-RU"/>
        </w:rPr>
        <w:t>Классификации</w:t>
      </w:r>
    </w:p>
    <w:p w:rsidR="00873DDE" w:rsidRDefault="00372BD0" w:rsidP="00873DDE">
      <w:r w:rsidRPr="00372BD0">
        <w:t>Целевые страны и их числовые коды, применяемые как в статистике ЮНКТАД, так и в соответствии со стандартом ISO 3166-1 и стандартными кодами стран или регионов для статистического использования (M49) Статистического отдела Организации Объединенных Наций (СОООН).</w:t>
      </w:r>
    </w:p>
    <w:p w:rsidR="000A229E" w:rsidRPr="00A343D5" w:rsidRDefault="000A229E" w:rsidP="00A343D5">
      <w:pPr>
        <w:pStyle w:val="MHeader"/>
        <w:rPr>
          <w:b/>
          <w:color w:val="auto"/>
          <w:sz w:val="24"/>
          <w:szCs w:val="24"/>
          <w:lang w:val="ru-RU"/>
        </w:rPr>
      </w:pPr>
      <w:r w:rsidRPr="00A343D5">
        <w:rPr>
          <w:b/>
          <w:color w:val="auto"/>
          <w:sz w:val="24"/>
          <w:szCs w:val="24"/>
          <w:lang w:val="ru-RU"/>
        </w:rPr>
        <w:t>3. Тип источника данных и метод сбора данных</w:t>
      </w:r>
    </w:p>
    <w:p w:rsidR="004333FB" w:rsidRPr="004333FB" w:rsidRDefault="000A229E" w:rsidP="004333FB">
      <w:pPr>
        <w:pStyle w:val="MHeader2"/>
        <w:spacing w:line="276" w:lineRule="auto"/>
        <w:rPr>
          <w:b/>
          <w:color w:val="auto"/>
          <w:sz w:val="24"/>
          <w:szCs w:val="24"/>
          <w:lang w:val="ru-RU"/>
        </w:rPr>
      </w:pPr>
      <w:r w:rsidRPr="00A343D5">
        <w:rPr>
          <w:color w:val="auto"/>
          <w:sz w:val="24"/>
          <w:szCs w:val="24"/>
          <w:lang w:val="ru-RU"/>
        </w:rPr>
        <w:t>3.</w:t>
      </w:r>
      <w:r w:rsidRPr="00A343D5">
        <w:rPr>
          <w:color w:val="auto"/>
          <w:sz w:val="24"/>
          <w:szCs w:val="24"/>
        </w:rPr>
        <w:t>a</w:t>
      </w:r>
      <w:r w:rsidRPr="00A343D5">
        <w:rPr>
          <w:color w:val="auto"/>
          <w:sz w:val="24"/>
          <w:szCs w:val="24"/>
          <w:lang w:val="ru-RU"/>
        </w:rPr>
        <w:t xml:space="preserve">. </w:t>
      </w:r>
      <w:r w:rsidRPr="00A343D5">
        <w:rPr>
          <w:b/>
          <w:color w:val="auto"/>
          <w:sz w:val="24"/>
          <w:szCs w:val="24"/>
          <w:lang w:val="ru-RU"/>
        </w:rPr>
        <w:t>Источники данных</w:t>
      </w:r>
    </w:p>
    <w:p w:rsidR="00372BD0" w:rsidRPr="00372BD0" w:rsidRDefault="00372BD0" w:rsidP="00372BD0">
      <w:r w:rsidRPr="00372BD0">
        <w:t>Источники данных включают следующее:</w:t>
      </w:r>
    </w:p>
    <w:p w:rsidR="00372BD0" w:rsidRPr="00372BD0" w:rsidRDefault="00372BD0" w:rsidP="00372BD0">
      <w:r w:rsidRPr="00372BD0">
        <w:lastRenderedPageBreak/>
        <w:t>● Ответы на обзор схем инвестиционных гарантий для вывоза инвестиций в НРС в частности или в развивающиеся страны в целом;</w:t>
      </w:r>
    </w:p>
    <w:p w:rsidR="00372BD0" w:rsidRPr="00372BD0" w:rsidRDefault="00372BD0" w:rsidP="00372BD0">
      <w:r w:rsidRPr="00372BD0">
        <w:t>● Ответы на обзор налогово-бюджетной или финансовой поддержки вывозимых инвесторов в НРС, особенно в развивающиеся страны, в целом;</w:t>
      </w:r>
    </w:p>
    <w:p w:rsidR="00372BD0" w:rsidRPr="00372BD0" w:rsidRDefault="00372BD0" w:rsidP="00372BD0">
      <w:r w:rsidRPr="00372BD0">
        <w:t>● Интернет-исследование, проведенное ЮНКТАД;</w:t>
      </w:r>
    </w:p>
    <w:p w:rsidR="00372BD0" w:rsidRDefault="00372BD0" w:rsidP="00372BD0">
      <w:r w:rsidRPr="00372BD0">
        <w:t>● База данных ЮНКТАД с информацией о международных инвестиционных соглашениях (IIA Navigator), включая соглашения, заключенные с НРС и развивающимися странами.</w:t>
      </w:r>
    </w:p>
    <w:p w:rsidR="00995788" w:rsidRDefault="000A229E" w:rsidP="003424DF">
      <w:pPr>
        <w:pStyle w:val="MHeader"/>
        <w:rPr>
          <w:b/>
          <w:color w:val="auto"/>
          <w:sz w:val="24"/>
          <w:lang w:val="ru-RU"/>
        </w:rPr>
      </w:pPr>
      <w:r w:rsidRPr="00D50626">
        <w:rPr>
          <w:b/>
          <w:color w:val="auto"/>
          <w:sz w:val="24"/>
          <w:lang w:val="ru-RU"/>
        </w:rPr>
        <w:t>3.</w:t>
      </w:r>
      <w:r w:rsidRPr="003424DF">
        <w:rPr>
          <w:b/>
          <w:color w:val="auto"/>
          <w:sz w:val="24"/>
        </w:rPr>
        <w:t>b</w:t>
      </w:r>
      <w:r w:rsidRPr="00D50626">
        <w:rPr>
          <w:b/>
          <w:color w:val="auto"/>
          <w:sz w:val="24"/>
          <w:lang w:val="ru-RU"/>
        </w:rPr>
        <w:t>. Метод сбора данных</w:t>
      </w:r>
    </w:p>
    <w:p w:rsidR="00372BD0" w:rsidRPr="00372BD0" w:rsidRDefault="00372BD0" w:rsidP="00372BD0">
      <w:pPr>
        <w:rPr>
          <w:lang w:eastAsia="ru-RU"/>
        </w:rPr>
      </w:pPr>
      <w:r w:rsidRPr="00372BD0">
        <w:rPr>
          <w:lang w:eastAsia="ru-RU"/>
        </w:rPr>
        <w:t>Предварительные данные собираются следующими способами:</w:t>
      </w:r>
    </w:p>
    <w:p w:rsidR="00372BD0" w:rsidRPr="00372BD0" w:rsidRDefault="00372BD0" w:rsidP="00372BD0">
      <w:pPr>
        <w:rPr>
          <w:lang w:eastAsia="ru-RU"/>
        </w:rPr>
      </w:pPr>
      <w:r w:rsidRPr="00372BD0">
        <w:rPr>
          <w:lang w:eastAsia="ru-RU"/>
        </w:rPr>
        <w:t xml:space="preserve">● Углубленное пилотное исследование, в ходе которого связываются с ограниченным числом стран, предлагающих поощрение </w:t>
      </w:r>
      <w:r>
        <w:rPr>
          <w:lang w:eastAsia="ru-RU"/>
        </w:rPr>
        <w:t>внешних инвестиций, и запрашивае</w:t>
      </w:r>
      <w:r w:rsidRPr="00372BD0">
        <w:rPr>
          <w:lang w:eastAsia="ru-RU"/>
        </w:rPr>
        <w:t>т</w:t>
      </w:r>
      <w:r>
        <w:rPr>
          <w:lang w:eastAsia="ru-RU"/>
        </w:rPr>
        <w:t>ся подробная информация</w:t>
      </w:r>
      <w:r w:rsidRPr="00372BD0">
        <w:rPr>
          <w:lang w:eastAsia="ru-RU"/>
        </w:rPr>
        <w:t>;</w:t>
      </w:r>
    </w:p>
    <w:p w:rsidR="00372BD0" w:rsidRPr="00372BD0" w:rsidRDefault="00372BD0" w:rsidP="00372BD0">
      <w:pPr>
        <w:rPr>
          <w:lang w:eastAsia="ru-RU"/>
        </w:rPr>
      </w:pPr>
      <w:r w:rsidRPr="00372BD0">
        <w:rPr>
          <w:lang w:eastAsia="ru-RU"/>
        </w:rPr>
        <w:t>● Менее подробная онлайн-анкета для всех агентств по привлечению иностранных инвестиций;</w:t>
      </w:r>
    </w:p>
    <w:p w:rsidR="00372BD0" w:rsidRPr="00372BD0" w:rsidRDefault="00372BD0" w:rsidP="00372BD0">
      <w:pPr>
        <w:rPr>
          <w:lang w:eastAsia="ru-RU"/>
        </w:rPr>
      </w:pPr>
      <w:r w:rsidRPr="00372BD0">
        <w:rPr>
          <w:lang w:eastAsia="ru-RU"/>
        </w:rPr>
        <w:t>● Интернет-исследование, проведенное ЮНКТАД;</w:t>
      </w:r>
    </w:p>
    <w:p w:rsidR="00372BD0" w:rsidRPr="00372BD0" w:rsidRDefault="00372BD0" w:rsidP="00372BD0">
      <w:pPr>
        <w:rPr>
          <w:lang w:eastAsia="ru-RU"/>
        </w:rPr>
      </w:pPr>
      <w:r w:rsidRPr="00372BD0">
        <w:rPr>
          <w:lang w:eastAsia="ru-RU"/>
        </w:rPr>
        <w:t>● База данных ЮНКТАД по международным инвестиционным соглашениям (IIA Navigator).</w:t>
      </w:r>
    </w:p>
    <w:p w:rsidR="00372BD0" w:rsidRDefault="00372BD0" w:rsidP="00372BD0">
      <w:pPr>
        <w:rPr>
          <w:lang w:eastAsia="ru-RU"/>
        </w:rPr>
      </w:pPr>
      <w:r w:rsidRPr="00372BD0">
        <w:rPr>
          <w:lang w:eastAsia="ru-RU"/>
        </w:rPr>
        <w:t>Официальными партнерами на страновом уровне являются национальные министерства и агентства по привлечению иностранных инвестиций. Ответственное агентство может варьироваться в зависимости от страны в зависимости от национальной структуры.</w:t>
      </w:r>
    </w:p>
    <w:p w:rsidR="009E707C" w:rsidRPr="00372BD0" w:rsidRDefault="009E707C" w:rsidP="00372BD0">
      <w:pPr>
        <w:pStyle w:val="MHeader"/>
        <w:rPr>
          <w:rFonts w:eastAsia="Calibri"/>
          <w:color w:val="auto"/>
          <w:sz w:val="24"/>
          <w:szCs w:val="22"/>
          <w:lang w:val="ru-RU" w:eastAsia="ru-RU"/>
        </w:rPr>
      </w:pPr>
      <w:r w:rsidRPr="003424DF">
        <w:rPr>
          <w:b/>
          <w:color w:val="auto"/>
          <w:sz w:val="24"/>
          <w:lang w:val="ru-RU"/>
        </w:rPr>
        <w:t>3.</w:t>
      </w:r>
      <w:r w:rsidR="00900860" w:rsidRPr="003424DF">
        <w:rPr>
          <w:b/>
          <w:color w:val="auto"/>
          <w:sz w:val="24"/>
          <w:lang w:val="ru-RU"/>
        </w:rPr>
        <w:t>с</w:t>
      </w:r>
      <w:r w:rsidRPr="003424DF">
        <w:rPr>
          <w:b/>
          <w:color w:val="auto"/>
          <w:sz w:val="24"/>
          <w:lang w:val="ru-RU"/>
        </w:rPr>
        <w:t>.Календарь сбора данных</w:t>
      </w:r>
    </w:p>
    <w:p w:rsidR="00372BD0" w:rsidRDefault="00372BD0" w:rsidP="00372BD0">
      <w:r w:rsidRPr="00372BD0">
        <w:t>ЮНКТАД начала сбор данных в июле 2019 года с пилотного исследования.</w:t>
      </w:r>
    </w:p>
    <w:p w:rsidR="000A229E" w:rsidRDefault="009E707C" w:rsidP="00FC39AA">
      <w:pPr>
        <w:pStyle w:val="MHeader2"/>
        <w:spacing w:line="276" w:lineRule="auto"/>
        <w:rPr>
          <w:b/>
          <w:color w:val="auto"/>
          <w:sz w:val="24"/>
          <w:szCs w:val="24"/>
          <w:lang w:val="ru-RU"/>
        </w:rPr>
      </w:pPr>
      <w:r w:rsidRPr="0056571B">
        <w:rPr>
          <w:color w:val="auto"/>
          <w:sz w:val="24"/>
          <w:szCs w:val="24"/>
          <w:lang w:val="ru-RU"/>
        </w:rPr>
        <w:t>3</w:t>
      </w:r>
      <w:r w:rsidR="000A229E" w:rsidRPr="0056571B">
        <w:rPr>
          <w:color w:val="auto"/>
          <w:sz w:val="24"/>
          <w:szCs w:val="24"/>
          <w:lang w:val="ru-RU"/>
        </w:rPr>
        <w:t>.</w:t>
      </w:r>
      <w:r w:rsidR="000A229E" w:rsidRPr="0056571B">
        <w:rPr>
          <w:color w:val="auto"/>
          <w:sz w:val="24"/>
          <w:szCs w:val="24"/>
        </w:rPr>
        <w:t>d</w:t>
      </w:r>
      <w:r w:rsidR="003A389C" w:rsidRPr="0056571B">
        <w:rPr>
          <w:color w:val="auto"/>
          <w:sz w:val="24"/>
          <w:szCs w:val="24"/>
          <w:lang w:val="ru-RU"/>
        </w:rPr>
        <w:t>.</w:t>
      </w:r>
      <w:r w:rsidR="000A229E" w:rsidRPr="0056571B">
        <w:rPr>
          <w:b/>
          <w:color w:val="auto"/>
          <w:sz w:val="24"/>
          <w:szCs w:val="24"/>
          <w:lang w:val="ru-RU"/>
        </w:rPr>
        <w:t>Календарь выпуска данных</w:t>
      </w:r>
    </w:p>
    <w:p w:rsidR="00372BD0" w:rsidRDefault="00372BD0" w:rsidP="00372BD0">
      <w:r w:rsidRPr="00372BD0">
        <w:t>Выпуск индикатора может начаться, когда будет достигнут достаточный охват страны. Ожидается, что первые результаты по индикатору будут доступны к концу 2020 года с предварительными оценками. Учитывая широкий спектр необходимых исходных данных, составители должны будут найти баланс между полнотой деталей о типах поощрения инвестиций и своевременностью показателя.</w:t>
      </w:r>
    </w:p>
    <w:p w:rsidR="000A229E" w:rsidRPr="00A343D5" w:rsidRDefault="000A229E" w:rsidP="00FC39AA">
      <w:pPr>
        <w:pStyle w:val="MHeader2"/>
        <w:spacing w:line="276" w:lineRule="auto"/>
        <w:rPr>
          <w:color w:val="auto"/>
          <w:sz w:val="24"/>
          <w:szCs w:val="24"/>
          <w:lang w:val="ru-RU"/>
        </w:rPr>
      </w:pPr>
      <w:r w:rsidRPr="00A343D5">
        <w:rPr>
          <w:color w:val="auto"/>
          <w:sz w:val="24"/>
          <w:szCs w:val="24"/>
          <w:lang w:val="ru-RU"/>
        </w:rPr>
        <w:t>3.</w:t>
      </w:r>
      <w:r w:rsidRPr="00A343D5">
        <w:rPr>
          <w:color w:val="auto"/>
          <w:sz w:val="24"/>
          <w:szCs w:val="24"/>
        </w:rPr>
        <w:t>e</w:t>
      </w:r>
      <w:r w:rsidRPr="00A343D5">
        <w:rPr>
          <w:color w:val="auto"/>
          <w:sz w:val="24"/>
          <w:szCs w:val="24"/>
          <w:lang w:val="ru-RU"/>
        </w:rPr>
        <w:t xml:space="preserve">. </w:t>
      </w:r>
      <w:r w:rsidR="00A71EC6" w:rsidRPr="00A343D5">
        <w:rPr>
          <w:b/>
          <w:color w:val="auto"/>
          <w:sz w:val="24"/>
          <w:szCs w:val="24"/>
          <w:lang w:val="ru-RU"/>
        </w:rPr>
        <w:t>Поставщики данных</w:t>
      </w:r>
    </w:p>
    <w:p w:rsidR="00372BD0" w:rsidRDefault="00372BD0" w:rsidP="00372BD0">
      <w:r w:rsidRPr="00372BD0">
        <w:t>Поставщики данных включают национальные министерства, агентства по привлечению иностранных инвестиций и другие международные организации.</w:t>
      </w:r>
    </w:p>
    <w:p w:rsidR="000A229E" w:rsidRPr="00A343D5" w:rsidRDefault="000A229E" w:rsidP="00A423C4">
      <w:pPr>
        <w:pStyle w:val="MHeader2"/>
        <w:spacing w:line="276" w:lineRule="auto"/>
        <w:rPr>
          <w:color w:val="auto"/>
          <w:sz w:val="24"/>
          <w:szCs w:val="24"/>
          <w:lang w:val="ru-RU"/>
        </w:rPr>
      </w:pPr>
      <w:r w:rsidRPr="00A343D5">
        <w:rPr>
          <w:color w:val="auto"/>
          <w:sz w:val="24"/>
          <w:szCs w:val="24"/>
          <w:lang w:val="ru-RU"/>
        </w:rPr>
        <w:t>3.</w:t>
      </w:r>
      <w:r w:rsidRPr="00A343D5">
        <w:rPr>
          <w:color w:val="auto"/>
          <w:sz w:val="24"/>
          <w:szCs w:val="24"/>
        </w:rPr>
        <w:t>f</w:t>
      </w:r>
      <w:r w:rsidRPr="00A343D5">
        <w:rPr>
          <w:color w:val="auto"/>
          <w:sz w:val="24"/>
          <w:szCs w:val="24"/>
          <w:lang w:val="ru-RU"/>
        </w:rPr>
        <w:t xml:space="preserve">. </w:t>
      </w:r>
      <w:r w:rsidRPr="00A343D5">
        <w:rPr>
          <w:b/>
          <w:color w:val="auto"/>
          <w:sz w:val="24"/>
          <w:szCs w:val="24"/>
          <w:lang w:val="ru-RU"/>
        </w:rPr>
        <w:t>Составители данных</w:t>
      </w:r>
    </w:p>
    <w:p w:rsidR="00372BD0" w:rsidRDefault="00372BD0" w:rsidP="00372BD0">
      <w:r w:rsidRPr="00372BD0">
        <w:t>ЮНКТАД будет компилировать собранные национальные данные для представления их в глобальном масштабе.</w:t>
      </w:r>
    </w:p>
    <w:p w:rsidR="000A229E" w:rsidRDefault="000A229E" w:rsidP="0056571B">
      <w:pPr>
        <w:pStyle w:val="MHeader2"/>
        <w:spacing w:line="276" w:lineRule="auto"/>
        <w:rPr>
          <w:b/>
          <w:color w:val="auto"/>
          <w:sz w:val="24"/>
          <w:szCs w:val="24"/>
          <w:lang w:val="ru-RU"/>
        </w:rPr>
      </w:pPr>
      <w:r w:rsidRPr="00A343D5">
        <w:rPr>
          <w:color w:val="auto"/>
          <w:sz w:val="24"/>
          <w:szCs w:val="24"/>
          <w:lang w:val="ru-RU"/>
        </w:rPr>
        <w:t>3.</w:t>
      </w:r>
      <w:r w:rsidRPr="00A343D5">
        <w:rPr>
          <w:color w:val="auto"/>
          <w:sz w:val="24"/>
          <w:szCs w:val="24"/>
        </w:rPr>
        <w:t>g</w:t>
      </w:r>
      <w:r w:rsidRPr="00A343D5">
        <w:rPr>
          <w:color w:val="auto"/>
          <w:sz w:val="24"/>
          <w:szCs w:val="24"/>
          <w:lang w:val="ru-RU"/>
        </w:rPr>
        <w:t xml:space="preserve">. </w:t>
      </w:r>
      <w:r w:rsidRPr="00A343D5">
        <w:rPr>
          <w:b/>
          <w:color w:val="auto"/>
          <w:sz w:val="24"/>
          <w:szCs w:val="24"/>
          <w:lang w:val="ru-RU"/>
        </w:rPr>
        <w:t>Институциональный мандат</w:t>
      </w:r>
    </w:p>
    <w:p w:rsidR="002E15F9" w:rsidRDefault="002E15F9" w:rsidP="00350C2D">
      <w:pPr>
        <w:pStyle w:val="MHeader"/>
        <w:rPr>
          <w:b/>
          <w:color w:val="auto"/>
          <w:sz w:val="24"/>
          <w:szCs w:val="24"/>
          <w:lang w:val="ru-RU"/>
        </w:rPr>
      </w:pPr>
      <w:r w:rsidRPr="00D51C14">
        <w:rPr>
          <w:b/>
          <w:color w:val="auto"/>
          <w:sz w:val="24"/>
          <w:szCs w:val="24"/>
          <w:lang w:val="ru-RU"/>
        </w:rPr>
        <w:t>4. Иные методологические соображения</w:t>
      </w:r>
    </w:p>
    <w:p w:rsidR="00372BD0" w:rsidRDefault="00372BD0" w:rsidP="00372BD0">
      <w:r w:rsidRPr="00372BD0">
        <w:lastRenderedPageBreak/>
        <w:t>Навигатор ЮНКТАД IIA - это полная бесплатная база данных международных инвестиционных соглашений (МИС). Он в первую очередь основан на информации, предоставляемой правительствами на добровольной основе, а также на других надежных источниках. Навигатор IIA постоянно корректируется в результате проверки и комментариев государств-членов ООН. Навигатор IIA содержит информацию о МИС по странам и группировкам стран, подробное отображение положений 2 500 МИС и набор типовых МИС.</w:t>
      </w:r>
    </w:p>
    <w:p w:rsidR="002E15F9" w:rsidRPr="00D51C14" w:rsidRDefault="002E15F9" w:rsidP="00A343D5">
      <w:pPr>
        <w:pStyle w:val="MHeader2"/>
        <w:spacing w:line="276" w:lineRule="auto"/>
        <w:rPr>
          <w:b/>
          <w:color w:val="auto"/>
          <w:sz w:val="24"/>
          <w:szCs w:val="24"/>
          <w:lang w:val="ru-RU"/>
        </w:rPr>
      </w:pPr>
      <w:r w:rsidRPr="00A343D5">
        <w:rPr>
          <w:color w:val="auto"/>
          <w:sz w:val="24"/>
          <w:szCs w:val="24"/>
          <w:lang w:val="ru-RU"/>
        </w:rPr>
        <w:t>4.</w:t>
      </w:r>
      <w:r w:rsidRPr="00A343D5">
        <w:rPr>
          <w:color w:val="auto"/>
          <w:sz w:val="24"/>
          <w:szCs w:val="24"/>
        </w:rPr>
        <w:t>a</w:t>
      </w:r>
      <w:r w:rsidRPr="00A343D5">
        <w:rPr>
          <w:color w:val="auto"/>
          <w:sz w:val="24"/>
          <w:szCs w:val="24"/>
          <w:lang w:val="ru-RU"/>
        </w:rPr>
        <w:t xml:space="preserve">. </w:t>
      </w:r>
      <w:r w:rsidR="00CA1CB1" w:rsidRPr="00A343D5">
        <w:rPr>
          <w:b/>
          <w:color w:val="auto"/>
          <w:sz w:val="24"/>
          <w:szCs w:val="24"/>
          <w:lang w:val="ru-RU"/>
        </w:rPr>
        <w:t>Обоснование</w:t>
      </w:r>
    </w:p>
    <w:p w:rsidR="00372BD0" w:rsidRDefault="00372BD0" w:rsidP="00372BD0">
      <w:r w:rsidRPr="00372BD0">
        <w:t>Задача 17.5 направлена ​​на принятие и внедрение режимов поощрения инвестиций для наименее развитых стран (НРС). Для задачи 17.5 необходимо выяснить, в скольких странах действуют режимы поощрения инвестиций, которые могут принести непосредственную пользу НРС. Таким образом, показатель ЦУР 17.5.1, количество стран, которые принимают и реализуют режимы поощрения инвестиций для развивающихся стран, включая наименее развитые страны, был выбран в систему показателей для оценки достижения этой цели.</w:t>
      </w:r>
    </w:p>
    <w:p w:rsidR="002E15F9" w:rsidRPr="00A343D5" w:rsidRDefault="002E15F9" w:rsidP="00691BC3">
      <w:pPr>
        <w:pStyle w:val="MHeader2"/>
        <w:spacing w:line="276" w:lineRule="auto"/>
        <w:rPr>
          <w:color w:val="auto"/>
          <w:sz w:val="24"/>
          <w:szCs w:val="24"/>
          <w:lang w:val="ru-RU"/>
        </w:rPr>
      </w:pPr>
      <w:r w:rsidRPr="00A343D5">
        <w:rPr>
          <w:color w:val="auto"/>
          <w:sz w:val="24"/>
          <w:szCs w:val="24"/>
          <w:lang w:val="ru-RU"/>
        </w:rPr>
        <w:t>4.</w:t>
      </w:r>
      <w:r w:rsidRPr="00A343D5">
        <w:rPr>
          <w:color w:val="auto"/>
          <w:sz w:val="24"/>
          <w:szCs w:val="24"/>
        </w:rPr>
        <w:t>b</w:t>
      </w:r>
      <w:r w:rsidRPr="00A343D5">
        <w:rPr>
          <w:color w:val="auto"/>
          <w:sz w:val="24"/>
          <w:szCs w:val="24"/>
          <w:lang w:val="ru-RU"/>
        </w:rPr>
        <w:t xml:space="preserve">. </w:t>
      </w:r>
      <w:r w:rsidR="00CA1CB1" w:rsidRPr="00A343D5">
        <w:rPr>
          <w:b/>
          <w:color w:val="auto"/>
          <w:sz w:val="24"/>
          <w:szCs w:val="24"/>
          <w:lang w:val="ru-RU"/>
        </w:rPr>
        <w:t>Комментарии и ограничения</w:t>
      </w:r>
    </w:p>
    <w:p w:rsidR="00372BD0" w:rsidRPr="00372BD0" w:rsidRDefault="00372BD0" w:rsidP="00372BD0">
      <w:pPr>
        <w:rPr>
          <w:lang w:eastAsia="ru-RU"/>
        </w:rPr>
      </w:pPr>
      <w:r w:rsidRPr="00372BD0">
        <w:rPr>
          <w:lang w:eastAsia="ru-RU"/>
        </w:rPr>
        <w:t xml:space="preserve">Показатель 17.5.1 ЦУР призывает к измерению как принятия, так и реализации режимов поощрения инвестиций. Принятие режимов поощрения инвестиций для НРС является важным, но недостаточным средством для укрепления глобального партнерства SGD (цель 17). Последующее выполнение этих режимов необходимо для того, чтобы инструмент стал эффективным. Однако получить исчерпывающие и надежные данные о стадии реализации (т.е. сколько инвестиций в НРС было фактически продвинуто с помощью режима поощрения?) </w:t>
      </w:r>
      <w:r>
        <w:rPr>
          <w:lang w:eastAsia="ru-RU"/>
        </w:rPr>
        <w:t>б</w:t>
      </w:r>
      <w:r w:rsidRPr="00372BD0">
        <w:rPr>
          <w:lang w:eastAsia="ru-RU"/>
        </w:rPr>
        <w:t xml:space="preserve">удет сложно. Эти данные обычно не являются общедоступными. Однако до некоторой степени данные могут существовать в агрегированной форме (см. </w:t>
      </w:r>
      <w:r>
        <w:rPr>
          <w:lang w:eastAsia="ru-RU"/>
        </w:rPr>
        <w:t>н</w:t>
      </w:r>
      <w:r w:rsidRPr="00372BD0">
        <w:rPr>
          <w:lang w:eastAsia="ru-RU"/>
        </w:rPr>
        <w:t>иже).</w:t>
      </w:r>
    </w:p>
    <w:p w:rsidR="00372BD0" w:rsidRDefault="00372BD0" w:rsidP="00372BD0">
      <w:pPr>
        <w:rPr>
          <w:lang w:eastAsia="ru-RU"/>
        </w:rPr>
      </w:pPr>
      <w:r w:rsidRPr="00372BD0">
        <w:rPr>
          <w:lang w:eastAsia="ru-RU"/>
        </w:rPr>
        <w:t>Кроме того, пилотное исследование показало, что во многих развитых странах и некоторых странах с формирующейся рыночной экономикой действуют национальные режимы поощрения инвестиций, которые поощряют инвестиции за границу. Однако обычно эти режимы поощрения доступны для внешних инвестиций в любой стране, а не только для инвестиций в НРС или другие развивающиеся страны. Некоторые типы инструментов поощрения инвестиций могут быть в большей степени привязаны к конкретной стране, например, двусторонние инвестиционные договоры. Таким образом, отчетность по показателям будет начинаться с предварительных оценок, охватывающих только эти типы инструментов поощрения инвестиций.</w:t>
      </w:r>
    </w:p>
    <w:p w:rsidR="00D273C6" w:rsidRDefault="002E15F9" w:rsidP="00372BD0">
      <w:pPr>
        <w:pStyle w:val="MHeader2"/>
        <w:spacing w:line="276" w:lineRule="auto"/>
        <w:rPr>
          <w:color w:val="auto"/>
          <w:sz w:val="24"/>
          <w:szCs w:val="24"/>
          <w:lang w:val="ru-RU"/>
        </w:rPr>
      </w:pPr>
      <w:r w:rsidRPr="008501F4">
        <w:rPr>
          <w:color w:val="auto"/>
          <w:sz w:val="24"/>
          <w:szCs w:val="24"/>
          <w:lang w:val="ru-RU"/>
        </w:rPr>
        <w:t>4.</w:t>
      </w:r>
      <w:r w:rsidRPr="004F3B53">
        <w:rPr>
          <w:color w:val="auto"/>
          <w:sz w:val="24"/>
          <w:szCs w:val="24"/>
        </w:rPr>
        <w:t>c</w:t>
      </w:r>
      <w:r w:rsidRPr="004F3B53">
        <w:rPr>
          <w:color w:val="auto"/>
          <w:sz w:val="24"/>
          <w:szCs w:val="24"/>
          <w:lang w:val="ru-RU"/>
        </w:rPr>
        <w:t xml:space="preserve">. </w:t>
      </w:r>
      <w:r w:rsidR="00CA1CB1" w:rsidRPr="004F3B53">
        <w:rPr>
          <w:b/>
          <w:color w:val="auto"/>
          <w:sz w:val="24"/>
          <w:szCs w:val="24"/>
          <w:lang w:val="ru-RU"/>
        </w:rPr>
        <w:t>Метод расчета</w:t>
      </w:r>
    </w:p>
    <w:p w:rsidR="00595671" w:rsidRPr="00595671" w:rsidRDefault="00595671" w:rsidP="00595671">
      <w:r w:rsidRPr="00595671">
        <w:t>Предлагаемый метод расчета включает следующее при составлении показателя 17.5.1 ЦУР:</w:t>
      </w:r>
    </w:p>
    <w:p w:rsidR="00595671" w:rsidRPr="00595671" w:rsidRDefault="00595671" w:rsidP="00595671">
      <w:r w:rsidRPr="00595671">
        <w:t>а. Целевые страны режимов поощрения внешних инвестиций</w:t>
      </w:r>
    </w:p>
    <w:p w:rsidR="00595671" w:rsidRPr="00595671" w:rsidRDefault="00595671" w:rsidP="00595671">
      <w:r w:rsidRPr="00595671">
        <w:t>Методология индикатора охватывает как:</w:t>
      </w:r>
    </w:p>
    <w:p w:rsidR="00595671" w:rsidRPr="00595671" w:rsidRDefault="00595671" w:rsidP="00595671">
      <w:r w:rsidRPr="00595671">
        <w:t>● особые режимы поощрения инвестиций, предназначенные только для НРС;</w:t>
      </w:r>
    </w:p>
    <w:p w:rsidR="00595671" w:rsidRPr="00595671" w:rsidRDefault="00595671" w:rsidP="00595671">
      <w:r w:rsidRPr="00595671">
        <w:lastRenderedPageBreak/>
        <w:t>● Режимы поощрения инвестиций для развивающихся стран в целом, включая НРС.</w:t>
      </w:r>
    </w:p>
    <w:p w:rsidR="00595671" w:rsidRPr="00595671" w:rsidRDefault="00595671" w:rsidP="00595671">
      <w:r w:rsidRPr="00595671">
        <w:t>Измерение должно включать режимы поощрения инвестиций для всех развивающихся стран. Только такой подход обеспечивает получение полной картины поощрения внешних инвестиций с участием НРС в качестве бенефициаров, что лучше соответствует Задаче 17.5. Напротив, ограничение исследований конкретными режимами поощрения только для НРС приведет к неполной информации, поскольку количество НРС, получающих поддержку в рамках режимов поощрения инвестиций для всех развивающихся стран, вероятно, будет намного выше, чем число НРС, получающих выгоду от НРС. -конкретные режимы продвижения. Таким образом, оба типа учитываются при определении стран, которые приняли и внедрили режимы поощрения инвестиций для развивающихся стран, включая наименее развитые страны.</w:t>
      </w:r>
    </w:p>
    <w:p w:rsidR="00595671" w:rsidRPr="00595671" w:rsidRDefault="00595671" w:rsidP="00595671">
      <w:r w:rsidRPr="00595671">
        <w:t>б. Типы режимов поощрения внешних инвестиций</w:t>
      </w:r>
    </w:p>
    <w:p w:rsidR="00595671" w:rsidRPr="00595671" w:rsidRDefault="00595671" w:rsidP="00595671">
      <w:r w:rsidRPr="00595671">
        <w:t>На основе консультаций и технико-экономических обоснований того, какие типы режимов поощрения инвестиций следует рассмотреть, предлагается следующая методология:</w:t>
      </w:r>
    </w:p>
    <w:p w:rsidR="00595671" w:rsidRPr="00595671" w:rsidRDefault="00595671" w:rsidP="00595671">
      <w:r w:rsidRPr="00595671">
        <w:t>Страны используют различные средства для продвижения иностранных инвестиций за границу (см. Выше «Концепции»). Показатель 17.5.1 будет сосредоточен на юридических инвестиционных инструментах, поскольку соответствующая информация - в разной степени - обычно общедоступна и, следовательно, ее можно собрать.</w:t>
      </w:r>
    </w:p>
    <w:p w:rsidR="00595671" w:rsidRPr="00595671" w:rsidRDefault="00595671" w:rsidP="00595671">
      <w:r w:rsidRPr="00595671">
        <w:t>Реже доступна информация о неформальных и специальных средствах поощрения внешних инвестиций, таких как консультационные услуги. Доступность надежной информации о таких мерах будет сильно различаться в разных странах. Таким образом, включение такой информации может затруднить международную сопоставимость показателя.</w:t>
      </w:r>
    </w:p>
    <w:p w:rsidR="00595671" w:rsidRPr="00595671" w:rsidRDefault="00595671" w:rsidP="00595671">
      <w:r w:rsidRPr="00595671">
        <w:t>Для включения в число стран, которые приняли и внедрили режимы поощрения инвестиций, достаточно наличия хотя бы одного типа инструментов поощрения (например, схемы гарантий инвестиций или МИС с НРС).</w:t>
      </w:r>
    </w:p>
    <w:p w:rsidR="00595671" w:rsidRPr="00595671" w:rsidRDefault="00595671" w:rsidP="00595671">
      <w:r w:rsidRPr="00595671">
        <w:t>c. Принятие и реализация режимов поощрения внешних инвестиций</w:t>
      </w:r>
    </w:p>
    <w:p w:rsidR="00595671" w:rsidRPr="00595671" w:rsidRDefault="00595671" w:rsidP="00595671">
      <w:r w:rsidRPr="00595671">
        <w:t xml:space="preserve">Были проведены консультации и технико-экономические обоснования относительно того, возможно ли - помимо существования режима поощрения внешних инвестиций, т. </w:t>
      </w:r>
      <w:r>
        <w:t>е</w:t>
      </w:r>
      <w:r w:rsidRPr="00595671">
        <w:t xml:space="preserve">. </w:t>
      </w:r>
      <w:r>
        <w:t>б</w:t>
      </w:r>
      <w:r w:rsidRPr="00595671">
        <w:t xml:space="preserve">ыли ли такие инструменты </w:t>
      </w:r>
      <w:r>
        <w:t xml:space="preserve">одобрены </w:t>
      </w:r>
      <w:r w:rsidRPr="00595671">
        <w:t>- также можно было бы изучить, в какой степени этот режим был фактически осуществлен, то есть, действует ли режим или даже если НРС фактически извлекли из него выгоду, например, получив иностранные инвестиции, продвигаемые инвестиционной гарантией. Было решено сфокусировать исследование на принятии системы продвижения как таковой. Для некоторых типов режимов, таких как двусторонние инвестиционные договоры, также могут быть представлены данные для действующих договоров. В противном случае информация о фактической стадии реализации в отдельных странах обычно не является общедоступной; разрозненные данные о ситуации в некоторых странах не могут дать исчерпывающую и надежную картину общей ситуации. Однако, возможно, удастся получить некоторые агрегированные данные на региональном или глобальном уровне (см. Ниже).</w:t>
      </w:r>
    </w:p>
    <w:p w:rsidR="00595671" w:rsidRPr="00595671" w:rsidRDefault="00595671" w:rsidP="00595671">
      <w:r w:rsidRPr="00595671">
        <w:t>d. Охват стран базирования режимами поощрения внешних инвестиций</w:t>
      </w:r>
    </w:p>
    <w:p w:rsidR="00595671" w:rsidRDefault="00595671" w:rsidP="00595671">
      <w:r w:rsidRPr="00595671">
        <w:lastRenderedPageBreak/>
        <w:t>Также возникает вопрос, какие страны следует включить в этот показатель в качестве стран базирования режимов поощрения внешних инвестиций. Индикатор будет включать меры, принятые не только развитыми странами, но и странами с формирующейся рыночной экономикой, таким образом дополнительно измеряя сотрудничество Юг-Юг в этом отношении.</w:t>
      </w:r>
    </w:p>
    <w:p w:rsidR="0063143B" w:rsidRPr="0063143B" w:rsidRDefault="002E15F9" w:rsidP="00F947E9">
      <w:pPr>
        <w:pStyle w:val="MHeader2"/>
        <w:rPr>
          <w:b/>
          <w:color w:val="auto"/>
          <w:sz w:val="24"/>
          <w:lang w:val="ru-RU"/>
        </w:rPr>
      </w:pPr>
      <w:r w:rsidRPr="005501BD">
        <w:rPr>
          <w:b/>
          <w:color w:val="auto"/>
          <w:sz w:val="24"/>
          <w:lang w:val="ru-RU"/>
        </w:rPr>
        <w:t>4.</w:t>
      </w:r>
      <w:r w:rsidRPr="00F947E9">
        <w:rPr>
          <w:b/>
          <w:color w:val="auto"/>
          <w:sz w:val="24"/>
        </w:rPr>
        <w:t>d</w:t>
      </w:r>
      <w:r w:rsidRPr="005501BD">
        <w:rPr>
          <w:b/>
          <w:color w:val="auto"/>
          <w:sz w:val="24"/>
          <w:lang w:val="ru-RU"/>
        </w:rPr>
        <w:t xml:space="preserve">. </w:t>
      </w:r>
      <w:r w:rsidR="00694160" w:rsidRPr="00FE175E">
        <w:rPr>
          <w:b/>
          <w:color w:val="auto"/>
          <w:sz w:val="24"/>
          <w:lang w:val="ru-RU"/>
        </w:rPr>
        <w:t>Валидация</w:t>
      </w:r>
    </w:p>
    <w:p w:rsidR="00BB49F6" w:rsidRDefault="00BB49F6" w:rsidP="00BB49F6">
      <w:r w:rsidRPr="00BB49F6">
        <w:t>ЮНКТАД постоянно консультируется с государствами-членами в целях сбора и обновления информации о МИС, анализируя качество и полноту Навигатора МИС.</w:t>
      </w:r>
    </w:p>
    <w:p w:rsidR="002E15F9" w:rsidRDefault="008275D7" w:rsidP="005501BD">
      <w:pPr>
        <w:rPr>
          <w:rStyle w:val="MHeaderChar"/>
          <w:rFonts w:eastAsia="Calibri"/>
          <w:b/>
          <w:color w:val="auto"/>
          <w:sz w:val="24"/>
          <w:lang w:val="ru-RU"/>
        </w:rPr>
      </w:pPr>
      <w:r w:rsidRPr="008275D7">
        <w:rPr>
          <w:rStyle w:val="MHeaderChar"/>
          <w:rFonts w:eastAsia="Calibri"/>
          <w:b/>
          <w:color w:val="auto"/>
          <w:sz w:val="24"/>
          <w:lang w:val="ru-RU"/>
        </w:rPr>
        <w:t xml:space="preserve">4.е. </w:t>
      </w:r>
      <w:r w:rsidR="00694160" w:rsidRPr="008275D7">
        <w:rPr>
          <w:rStyle w:val="MHeaderChar"/>
          <w:rFonts w:eastAsia="Calibri"/>
          <w:b/>
          <w:color w:val="auto"/>
          <w:sz w:val="24"/>
          <w:lang w:val="ru-RU"/>
        </w:rPr>
        <w:t>Корректировки</w:t>
      </w:r>
    </w:p>
    <w:p w:rsidR="00973CD3" w:rsidRPr="00973CD3" w:rsidRDefault="00973CD3" w:rsidP="00973CD3">
      <w:pPr>
        <w:rPr>
          <w:lang w:eastAsia="en-GB"/>
        </w:rPr>
      </w:pPr>
      <w:r>
        <w:rPr>
          <w:lang w:eastAsia="en-GB"/>
        </w:rPr>
        <w:t>Не применимо.</w:t>
      </w:r>
    </w:p>
    <w:p w:rsidR="002E15F9" w:rsidRPr="00A343D5" w:rsidRDefault="002E15F9" w:rsidP="00A343D5">
      <w:pPr>
        <w:pStyle w:val="MHeader2"/>
        <w:spacing w:line="276" w:lineRule="auto"/>
        <w:rPr>
          <w:color w:val="auto"/>
          <w:sz w:val="24"/>
          <w:szCs w:val="24"/>
          <w:lang w:val="ru-RU"/>
        </w:rPr>
      </w:pPr>
      <w:r w:rsidRPr="00A343D5">
        <w:rPr>
          <w:color w:val="auto"/>
          <w:sz w:val="24"/>
          <w:szCs w:val="24"/>
          <w:lang w:val="ru-RU"/>
        </w:rPr>
        <w:t>4.</w:t>
      </w:r>
      <w:r w:rsidRPr="00A343D5">
        <w:rPr>
          <w:color w:val="auto"/>
          <w:sz w:val="24"/>
          <w:szCs w:val="24"/>
        </w:rPr>
        <w:t>f</w:t>
      </w:r>
      <w:r w:rsidRPr="00A343D5">
        <w:rPr>
          <w:color w:val="auto"/>
          <w:sz w:val="24"/>
          <w:szCs w:val="24"/>
          <w:lang w:val="ru-RU"/>
        </w:rPr>
        <w:t xml:space="preserve">. </w:t>
      </w:r>
      <w:r w:rsidR="00694160" w:rsidRPr="00A343D5">
        <w:rPr>
          <w:b/>
          <w:color w:val="auto"/>
          <w:sz w:val="24"/>
          <w:szCs w:val="24"/>
          <w:lang w:val="ru-RU"/>
        </w:rPr>
        <w:t>Обработка отсутствующих значений (</w:t>
      </w:r>
      <w:r w:rsidR="00694160" w:rsidRPr="00A343D5">
        <w:rPr>
          <w:b/>
          <w:color w:val="auto"/>
          <w:sz w:val="24"/>
          <w:szCs w:val="24"/>
        </w:rPr>
        <w:t>i</w:t>
      </w:r>
      <w:r w:rsidR="00694160" w:rsidRPr="00A343D5">
        <w:rPr>
          <w:b/>
          <w:color w:val="auto"/>
          <w:sz w:val="24"/>
          <w:szCs w:val="24"/>
          <w:lang w:val="ru-RU"/>
        </w:rPr>
        <w:t>) на уровне страны и (</w:t>
      </w:r>
      <w:r w:rsidR="00694160" w:rsidRPr="00A343D5">
        <w:rPr>
          <w:b/>
          <w:color w:val="auto"/>
          <w:sz w:val="24"/>
          <w:szCs w:val="24"/>
        </w:rPr>
        <w:t>ii</w:t>
      </w:r>
      <w:r w:rsidR="00694160" w:rsidRPr="00A343D5">
        <w:rPr>
          <w:b/>
          <w:color w:val="auto"/>
          <w:sz w:val="24"/>
          <w:szCs w:val="24"/>
          <w:lang w:val="ru-RU"/>
        </w:rPr>
        <w:t>) на региональном уровне</w:t>
      </w:r>
    </w:p>
    <w:p w:rsidR="003D3043" w:rsidRPr="003D3043" w:rsidRDefault="003D3043" w:rsidP="00BB49F6">
      <w:pPr>
        <w:pStyle w:val="ac"/>
        <w:numPr>
          <w:ilvl w:val="0"/>
          <w:numId w:val="25"/>
        </w:numPr>
      </w:pPr>
      <w:r w:rsidRPr="003D3043">
        <w:t>На уровне страны</w:t>
      </w:r>
    </w:p>
    <w:p w:rsidR="00BB49F6" w:rsidRPr="00BB49F6" w:rsidRDefault="00BB49F6" w:rsidP="00BB49F6">
      <w:r w:rsidRPr="00BB49F6">
        <w:t>Когда национальные данные отсутствуют, данные могут быть получены через Интернет-исследования во всем мире. Во многих странах есть веб-сайты, которые в той или иной степени предоставляют информацию о национальных режимах поощрения вывоза инвестиций. Эти данные будут проверены национальными властями.</w:t>
      </w:r>
    </w:p>
    <w:p w:rsidR="00BB49F6" w:rsidRPr="00BB49F6" w:rsidRDefault="00BB49F6" w:rsidP="00BB49F6">
      <w:pPr>
        <w:pStyle w:val="ac"/>
        <w:numPr>
          <w:ilvl w:val="0"/>
          <w:numId w:val="25"/>
        </w:numPr>
      </w:pPr>
      <w:r w:rsidRPr="00BB49F6">
        <w:t>На региональном и глобальном уровнях</w:t>
      </w:r>
    </w:p>
    <w:p w:rsidR="00BB49F6" w:rsidRPr="00BB49F6" w:rsidRDefault="00BB49F6" w:rsidP="00BB49F6">
      <w:r w:rsidRPr="00BB49F6">
        <w:t>Для расчета регионального и глобального уровней недостающие данные могут быть оценены с использованием информации из международных источников (например, баз данных ОЭСР и ЮНКТАД).</w:t>
      </w:r>
    </w:p>
    <w:p w:rsidR="00BB49F6" w:rsidRDefault="00BB49F6" w:rsidP="00BB49F6">
      <w:r w:rsidRPr="00BB49F6">
        <w:t>Такие данные могут быть доступны только в агрегированной форме.</w:t>
      </w:r>
    </w:p>
    <w:p w:rsidR="002E15F9" w:rsidRDefault="002E15F9" w:rsidP="00BB49F6">
      <w:pPr>
        <w:pStyle w:val="MHeader2"/>
        <w:spacing w:line="276" w:lineRule="auto"/>
        <w:rPr>
          <w:color w:val="auto"/>
          <w:sz w:val="24"/>
          <w:szCs w:val="24"/>
          <w:lang w:val="ru-RU"/>
        </w:rPr>
      </w:pPr>
      <w:r w:rsidRPr="00A343D5">
        <w:rPr>
          <w:color w:val="auto"/>
          <w:sz w:val="24"/>
          <w:szCs w:val="24"/>
          <w:lang w:val="ru-RU"/>
        </w:rPr>
        <w:t>4.</w:t>
      </w:r>
      <w:r w:rsidRPr="00A343D5">
        <w:rPr>
          <w:color w:val="auto"/>
          <w:sz w:val="24"/>
          <w:szCs w:val="24"/>
        </w:rPr>
        <w:t>g</w:t>
      </w:r>
      <w:r w:rsidRPr="00A343D5">
        <w:rPr>
          <w:color w:val="auto"/>
          <w:sz w:val="24"/>
          <w:szCs w:val="24"/>
          <w:lang w:val="ru-RU"/>
        </w:rPr>
        <w:t xml:space="preserve">. </w:t>
      </w:r>
      <w:r w:rsidR="00E27922" w:rsidRPr="00A343D5">
        <w:rPr>
          <w:b/>
          <w:color w:val="auto"/>
          <w:sz w:val="24"/>
          <w:szCs w:val="24"/>
          <w:lang w:val="ru-RU"/>
        </w:rPr>
        <w:t>Региональное агрегирование</w:t>
      </w:r>
    </w:p>
    <w:p w:rsidR="00A51812" w:rsidRDefault="00A51812" w:rsidP="00A51812">
      <w:r w:rsidRPr="00A51812">
        <w:t>Как поясняется в разделе «Источники данных», ЮНКТАД при необходимости будет комбинировать данные, собранные от национальных органов, с информацией, полученной из международных баз данных и исследований в Интернете. После того, как данные по стране будут заполнены и проверены в отдельных членах государства, показатель будет рассчитан путем агрегирования данных по стране в конкретном субрегионе, регионе и</w:t>
      </w:r>
      <w:r>
        <w:t xml:space="preserve"> на глобальном уровне</w:t>
      </w:r>
      <w:r w:rsidRPr="00A51812">
        <w:t>. Каждая страна, в которой действует хотя бы один тип режима поощрения инвестиций, который поддерживает НРС напрямую или посредством мер, предназначенных для развивающихся стран, будет учитываться один раз для показателя 17.5.1.</w:t>
      </w:r>
    </w:p>
    <w:p w:rsidR="00F56853" w:rsidRDefault="002E15F9" w:rsidP="0092659A">
      <w:pPr>
        <w:rPr>
          <w:b/>
          <w:szCs w:val="24"/>
        </w:rPr>
      </w:pPr>
      <w:r w:rsidRPr="00A343D5">
        <w:rPr>
          <w:szCs w:val="24"/>
        </w:rPr>
        <w:t xml:space="preserve">4.h. </w:t>
      </w:r>
      <w:r w:rsidR="00E27922" w:rsidRPr="00A343D5">
        <w:rPr>
          <w:b/>
          <w:szCs w:val="24"/>
        </w:rPr>
        <w:t>Доступные странам методы для сбора данных на национальном уровне</w:t>
      </w:r>
    </w:p>
    <w:p w:rsidR="00A51812" w:rsidRPr="00A51812" w:rsidRDefault="00A51812" w:rsidP="00A51812">
      <w:r w:rsidRPr="00A51812">
        <w:t>ЮНКТАД опубликовала руководящие документы, посвященные поощрению внешних инвестиций, с соответствующими определениями и данными:</w:t>
      </w:r>
    </w:p>
    <w:p w:rsidR="00A51812" w:rsidRPr="00A51812" w:rsidRDefault="00A51812" w:rsidP="00A51812">
      <w:r w:rsidRPr="00A51812">
        <w:t>• Центр инвестиционной политики ЮНКТАД предоставляет определения и данные по адресу: https://investmentpolicy.unctad.org/international-investment-agreements</w:t>
      </w:r>
    </w:p>
    <w:p w:rsidR="00A51812" w:rsidRPr="00A51812" w:rsidRDefault="00A51812" w:rsidP="00A51812">
      <w:r w:rsidRPr="00A51812">
        <w:t>● Основы инвестиционной политики для устойчивого развития, Нью-Йорк и Женева, 2015 г.</w:t>
      </w:r>
    </w:p>
    <w:p w:rsidR="00A51812" w:rsidRPr="00A51812" w:rsidRDefault="00A51812" w:rsidP="00A51812">
      <w:r w:rsidRPr="00A51812">
        <w:lastRenderedPageBreak/>
        <w:t>● Агентства по внешним инвестициям: партнеры по содействию устойчивому развитию, Наблюдатель IPA № 4 - 2015.</w:t>
      </w:r>
    </w:p>
    <w:p w:rsidR="00A51812" w:rsidRPr="00A51812" w:rsidRDefault="00A51812" w:rsidP="00A51812">
      <w:r w:rsidRPr="00A51812">
        <w:t>● Содействие инвестициям в цели устойчивого развития, Серия инвестиционных консультаций, серия A, номер 8, 2019.</w:t>
      </w:r>
    </w:p>
    <w:p w:rsidR="00A51812" w:rsidRPr="00A51812" w:rsidRDefault="00A51812" w:rsidP="00A51812">
      <w:r w:rsidRPr="00A51812">
        <w:t>● Справочник по агентствам и институтам внешних инвестиций, Нью-Йорк и Женева, 1999.</w:t>
      </w:r>
    </w:p>
    <w:p w:rsidR="00A51812" w:rsidRDefault="00A51812" w:rsidP="00A51812">
      <w:r w:rsidRPr="00A51812">
        <w:t>Конкретные рекомендации для стран о том, как собирать данные на национальном уровне, содержатся в вопроснике, который ЮНКТАД разработала и разослала агентствам по поощрению внешних инвестиций.</w:t>
      </w:r>
    </w:p>
    <w:p w:rsidR="00151C00" w:rsidRDefault="002E15F9" w:rsidP="00A51812">
      <w:pPr>
        <w:pStyle w:val="MHeader"/>
        <w:rPr>
          <w:b/>
          <w:color w:val="auto"/>
          <w:sz w:val="24"/>
          <w:lang w:val="ru-RU"/>
        </w:rPr>
      </w:pPr>
      <w:r w:rsidRPr="007A45FD">
        <w:rPr>
          <w:b/>
          <w:color w:val="auto"/>
          <w:sz w:val="24"/>
          <w:lang w:val="ru-RU"/>
        </w:rPr>
        <w:t>4.</w:t>
      </w:r>
      <w:r w:rsidRPr="00EF24FF">
        <w:rPr>
          <w:b/>
          <w:color w:val="auto"/>
          <w:sz w:val="24"/>
        </w:rPr>
        <w:t>i</w:t>
      </w:r>
      <w:r w:rsidRPr="007A45FD">
        <w:rPr>
          <w:b/>
          <w:color w:val="auto"/>
          <w:sz w:val="24"/>
          <w:lang w:val="ru-RU"/>
        </w:rPr>
        <w:t xml:space="preserve">. </w:t>
      </w:r>
      <w:r w:rsidR="00E27922" w:rsidRPr="007A45FD">
        <w:rPr>
          <w:b/>
          <w:color w:val="auto"/>
          <w:sz w:val="24"/>
          <w:lang w:val="ru-RU"/>
        </w:rPr>
        <w:t>Управление качеством</w:t>
      </w:r>
    </w:p>
    <w:p w:rsidR="005D25E8" w:rsidRDefault="005D25E8" w:rsidP="005D25E8">
      <w:r w:rsidRPr="005D25E8">
        <w:t>Для управления качеством данных показателей ЮНКТАД в тесном сотрудничестве с государствами-членами работает над обновлением Навигатора МИС, а также над международными инвестиционными соглашениями и их реформированием, оказанием технической помощи и проведением межправительственных встреч в рамках более широкого мандата ЮНКТАД в</w:t>
      </w:r>
      <w:r>
        <w:t xml:space="preserve"> этой области</w:t>
      </w:r>
      <w:r w:rsidRPr="005D25E8">
        <w:t>.</w:t>
      </w:r>
    </w:p>
    <w:p w:rsidR="00151C00" w:rsidRDefault="002E15F9" w:rsidP="00B8481C">
      <w:pPr>
        <w:pStyle w:val="MHeader2"/>
        <w:spacing w:line="276" w:lineRule="auto"/>
        <w:rPr>
          <w:b/>
          <w:color w:val="auto"/>
          <w:sz w:val="24"/>
          <w:szCs w:val="24"/>
          <w:lang w:val="ru-RU"/>
        </w:rPr>
      </w:pPr>
      <w:r w:rsidRPr="00A343D5">
        <w:rPr>
          <w:color w:val="auto"/>
          <w:sz w:val="24"/>
          <w:szCs w:val="24"/>
          <w:lang w:val="ru-RU"/>
        </w:rPr>
        <w:t>4.</w:t>
      </w:r>
      <w:r w:rsidRPr="00A343D5">
        <w:rPr>
          <w:color w:val="auto"/>
          <w:sz w:val="24"/>
          <w:szCs w:val="24"/>
        </w:rPr>
        <w:t>j</w:t>
      </w:r>
      <w:r w:rsidR="00E27922" w:rsidRPr="00A343D5">
        <w:rPr>
          <w:color w:val="auto"/>
          <w:sz w:val="24"/>
          <w:szCs w:val="24"/>
          <w:lang w:val="ru-RU"/>
        </w:rPr>
        <w:t>.</w:t>
      </w:r>
      <w:r w:rsidR="00E27922" w:rsidRPr="00A343D5">
        <w:rPr>
          <w:b/>
          <w:color w:val="auto"/>
          <w:sz w:val="24"/>
          <w:szCs w:val="24"/>
          <w:lang w:val="ru-RU"/>
        </w:rPr>
        <w:t>Обеспечение качества</w:t>
      </w:r>
    </w:p>
    <w:p w:rsidR="005D25E8" w:rsidRDefault="005D25E8" w:rsidP="005D25E8">
      <w:r w:rsidRPr="005D25E8">
        <w:t>Данные, полученные от государств-членов, пройдут тщательную проверку. После проверки информации и включения информации из дополнительных источников любые вопросы для разъяснения или предложения передаются государствам-членам для рассмотрения</w:t>
      </w:r>
      <w:r>
        <w:t>.</w:t>
      </w:r>
    </w:p>
    <w:p w:rsidR="00E06527" w:rsidRDefault="0075371E" w:rsidP="00423295">
      <w:pPr>
        <w:pStyle w:val="MHeader"/>
        <w:rPr>
          <w:b/>
          <w:color w:val="auto"/>
          <w:sz w:val="24"/>
          <w:lang w:val="ru-RU"/>
        </w:rPr>
      </w:pPr>
      <w:r w:rsidRPr="002D493B">
        <w:rPr>
          <w:b/>
          <w:color w:val="auto"/>
          <w:sz w:val="24"/>
          <w:lang w:val="ru-RU"/>
        </w:rPr>
        <w:t>4.</w:t>
      </w:r>
      <w:r w:rsidRPr="00333E4E">
        <w:rPr>
          <w:b/>
          <w:color w:val="auto"/>
          <w:sz w:val="24"/>
        </w:rPr>
        <w:t>k</w:t>
      </w:r>
      <w:r w:rsidRPr="002D493B">
        <w:rPr>
          <w:b/>
          <w:color w:val="auto"/>
          <w:sz w:val="24"/>
          <w:lang w:val="ru-RU"/>
        </w:rPr>
        <w:t>. Оценка качества</w:t>
      </w:r>
    </w:p>
    <w:p w:rsidR="005D25E8" w:rsidRDefault="005D25E8" w:rsidP="005D25E8">
      <w:r w:rsidRPr="005D25E8">
        <w:t>В настоящее время исчерпывающие данные доступны только по двусторонним инвестиционным договорам. В отношении других типов режимов поощрения инвестиций продолжается работа по совершенствованию отчетности совместно с государствами-членами.</w:t>
      </w:r>
    </w:p>
    <w:p w:rsidR="002E15F9" w:rsidRPr="00A343D5" w:rsidRDefault="002E15F9" w:rsidP="00CD238E">
      <w:pPr>
        <w:pStyle w:val="MHeader"/>
        <w:spacing w:after="100"/>
        <w:rPr>
          <w:b/>
          <w:color w:val="auto"/>
          <w:sz w:val="24"/>
          <w:szCs w:val="24"/>
          <w:lang w:val="ru-RU"/>
        </w:rPr>
      </w:pPr>
      <w:r w:rsidRPr="00EA60C7">
        <w:rPr>
          <w:b/>
          <w:color w:val="auto"/>
          <w:sz w:val="24"/>
          <w:szCs w:val="24"/>
          <w:lang w:val="ru-RU"/>
        </w:rPr>
        <w:t xml:space="preserve">5. </w:t>
      </w:r>
      <w:r w:rsidR="0075371E" w:rsidRPr="00EA60C7">
        <w:rPr>
          <w:b/>
          <w:color w:val="auto"/>
          <w:sz w:val="24"/>
          <w:szCs w:val="24"/>
          <w:lang w:val="ru-RU"/>
        </w:rPr>
        <w:t>Доступность и дезагрегирование данных</w:t>
      </w:r>
    </w:p>
    <w:p w:rsidR="0083636B" w:rsidRDefault="0083636B" w:rsidP="005D25E8">
      <w:r>
        <w:t>Доступность данных:</w:t>
      </w:r>
    </w:p>
    <w:p w:rsidR="005D25E8" w:rsidRPr="005D25E8" w:rsidRDefault="005D25E8" w:rsidP="005D25E8">
      <w:r w:rsidRPr="005D25E8">
        <w:t>В настоящее время доступны предварительные результаты экспериментального исследования ЮНКТАД, состоящего из подробного вопросника и менее подробного интерактивного вопросника по существующим режимам поощрения вывоза инвестиций для развивающихся стран, включая НРС. Ответы были получены из пяти стран (на подробный вопросник) и из 26 стран на более короткий вопросник. Полученные ответы значительно различаются по степени содержательности и детализации.</w:t>
      </w:r>
    </w:p>
    <w:p w:rsidR="005D25E8" w:rsidRPr="005D25E8" w:rsidRDefault="005D25E8" w:rsidP="005D25E8">
      <w:r w:rsidRPr="005D25E8">
        <w:t>Дополнительные данные будут доступны на государственных сайтах стран базирования. В 2020 году внутреннее интернет-исследование предоставило информацию по 19 странам.</w:t>
      </w:r>
    </w:p>
    <w:p w:rsidR="005D25E8" w:rsidRPr="005D25E8" w:rsidRDefault="005D25E8" w:rsidP="005D25E8">
      <w:r w:rsidRPr="005D25E8">
        <w:t>Что касается международных инвестиционных соглашений, база данных ЮНКТАД по этому аспекту является всеобъемлющей и в настоящее время включает подробную информацию о более чем 3300 договорах, включая соглашения, заключенные с НРС или между ними.</w:t>
      </w:r>
    </w:p>
    <w:p w:rsidR="005D25E8" w:rsidRDefault="005D25E8" w:rsidP="005D25E8">
      <w:r>
        <w:lastRenderedPageBreak/>
        <w:t>Временные ряды:</w:t>
      </w:r>
    </w:p>
    <w:p w:rsidR="005D25E8" w:rsidRPr="005D25E8" w:rsidRDefault="005D25E8" w:rsidP="005D25E8">
      <w:r w:rsidRPr="005D25E8">
        <w:t>Данные о международных инвестиционных соглашениях всесторонне охватывают двусто</w:t>
      </w:r>
      <w:r>
        <w:t>ронние инвестиционные договоры (</w:t>
      </w:r>
      <w:r w:rsidRPr="005D25E8">
        <w:t>основной вид таких соглашений</w:t>
      </w:r>
      <w:r>
        <w:t>)</w:t>
      </w:r>
      <w:r w:rsidRPr="005D25E8">
        <w:t>, подписанные с 1959 по 2020 год.</w:t>
      </w:r>
    </w:p>
    <w:p w:rsidR="005D25E8" w:rsidRPr="005D25E8" w:rsidRDefault="005D25E8" w:rsidP="005D25E8">
      <w:r>
        <w:t>Дезагрегация</w:t>
      </w:r>
      <w:r w:rsidRPr="005D25E8">
        <w:t>:</w:t>
      </w:r>
    </w:p>
    <w:p w:rsidR="005D25E8" w:rsidRPr="005D25E8" w:rsidRDefault="005D25E8" w:rsidP="005D25E8">
      <w:r w:rsidRPr="005D25E8">
        <w:t>В будущем и в той мере, в какой будет доступна информация, показатель 17.5.1 можно будет дезагрегировать по типам режимов поощрения инвестиций, которые страны базирования принимают для развивающихся стран, включая НРС (например, инвестиционные гарантии, фискальная и финансовая помощь, МИС).</w:t>
      </w:r>
    </w:p>
    <w:p w:rsidR="005D25E8" w:rsidRDefault="005D25E8" w:rsidP="005D25E8">
      <w:r w:rsidRPr="005D25E8">
        <w:t>Возможна также географическая разбивка внедрения схем поощрения инвестиций.</w:t>
      </w:r>
    </w:p>
    <w:p w:rsidR="002E15F9" w:rsidRDefault="00845FE2" w:rsidP="005D25E8">
      <w:pPr>
        <w:pStyle w:val="MHeader"/>
        <w:spacing w:after="100"/>
        <w:rPr>
          <w:b/>
          <w:color w:val="auto"/>
          <w:sz w:val="24"/>
          <w:szCs w:val="24"/>
          <w:lang w:val="ru-RU"/>
        </w:rPr>
      </w:pPr>
      <w:r>
        <w:rPr>
          <w:b/>
          <w:color w:val="auto"/>
          <w:sz w:val="24"/>
          <w:szCs w:val="24"/>
          <w:lang w:val="ru-RU"/>
        </w:rPr>
        <w:t xml:space="preserve">6. </w:t>
      </w:r>
      <w:r w:rsidR="0075371E" w:rsidRPr="00A343D5">
        <w:rPr>
          <w:b/>
          <w:color w:val="auto"/>
          <w:sz w:val="24"/>
          <w:szCs w:val="24"/>
          <w:lang w:val="ru-RU"/>
        </w:rPr>
        <w:t>Сопоставимость / отклонение от международных стандартов</w:t>
      </w:r>
    </w:p>
    <w:p w:rsidR="00BA61D3" w:rsidRDefault="00BA61D3" w:rsidP="006261EE">
      <w:r>
        <w:t>Источники расхождений:</w:t>
      </w:r>
    </w:p>
    <w:p w:rsidR="0075737E" w:rsidRDefault="0075737E" w:rsidP="0075737E">
      <w:r>
        <w:t>Как упоминалось выше, в странах действуют разные режимы поощрения внешних инвестиций. Существуют различия относительно:</w:t>
      </w:r>
    </w:p>
    <w:p w:rsidR="0075737E" w:rsidRDefault="0075737E" w:rsidP="0075737E">
      <w:r>
        <w:t>● специфики системы (направлена ​​ли она исключительно на инвестиции в НРС или инвестиции в какие-либо развивающиеся страны?);</w:t>
      </w:r>
    </w:p>
    <w:p w:rsidR="0075737E" w:rsidRDefault="0075737E" w:rsidP="0075737E">
      <w:r>
        <w:t>● типа и количества инструментов поощрения инвестиций (инвестиционные гарантии, фискальная или финансовая поддержка, МИС);</w:t>
      </w:r>
    </w:p>
    <w:p w:rsidR="0075737E" w:rsidRDefault="0075737E" w:rsidP="0075737E">
      <w:r>
        <w:t>● степени поощрения инвестиций (какую поддержку обеспечивает индивидуальная мера продвижения?), и</w:t>
      </w:r>
    </w:p>
    <w:p w:rsidR="0075737E" w:rsidRDefault="0075737E" w:rsidP="0075737E">
      <w:r>
        <w:t>● фактического влияния режима поощрения инвестиций (сколько инвестиций было сделано в рамках режима поощрения инвестиций и какое влияние они оказывают на НРС?).</w:t>
      </w:r>
    </w:p>
    <w:p w:rsidR="0075737E" w:rsidRDefault="0075737E" w:rsidP="0075737E">
      <w:r>
        <w:t>Показатель 17.5.1 измеряет количество стран, в которых действует режим поощрения инвестиций для развивающихся стран, включая НРС. Подсчет этого числа не может дать полной картины содержания и воздействия этих режимов. Аналогичным образом, он не делает различий между странами с разными типами режимов - за исключением разницы между странами, которые поощряют вывоз инвестиций в НРС посредством специальной системы поощрения для НРС, и странами с более общим режимом поощрения. Следовательно, дезагрегирование показателя следует постепенно увеличивать по мере появления большего количества данных. Дальнейшая работа по оценке «реализации» режимов поощрения инвестиций для развивающихся стран, включая НРС, может быть продолжена в более долгосрочной перспективе.</w:t>
      </w:r>
    </w:p>
    <w:p w:rsidR="00333E4E" w:rsidRPr="00E06527" w:rsidRDefault="00845FE2" w:rsidP="0075737E">
      <w:pPr>
        <w:pBdr>
          <w:bottom w:val="single" w:sz="12" w:space="4" w:color="DDDDDD"/>
        </w:pBdr>
        <w:shd w:val="clear" w:color="auto" w:fill="FFFFFF"/>
        <w:spacing w:after="100"/>
        <w:outlineLvl w:val="2"/>
        <w:rPr>
          <w:lang w:eastAsia="en-GB"/>
        </w:rPr>
      </w:pPr>
      <w:r w:rsidRPr="00E06527">
        <w:rPr>
          <w:rFonts w:eastAsia="Times New Roman"/>
          <w:b/>
          <w:szCs w:val="24"/>
          <w:lang w:eastAsia="en-GB"/>
        </w:rPr>
        <w:t>7</w:t>
      </w:r>
      <w:r w:rsidR="00040034" w:rsidRPr="00E06527">
        <w:rPr>
          <w:rFonts w:eastAsia="Times New Roman"/>
          <w:b/>
          <w:szCs w:val="24"/>
          <w:lang w:eastAsia="en-GB"/>
        </w:rPr>
        <w:t xml:space="preserve">. </w:t>
      </w:r>
      <w:r w:rsidR="00040034" w:rsidRPr="00A343D5">
        <w:rPr>
          <w:rFonts w:eastAsia="Times New Roman"/>
          <w:b/>
          <w:szCs w:val="24"/>
          <w:lang w:eastAsia="en-GB"/>
        </w:rPr>
        <w:t>Ссылкиидокументы</w:t>
      </w:r>
    </w:p>
    <w:p w:rsidR="006261EE" w:rsidRDefault="006261EE" w:rsidP="006261EE">
      <w:r>
        <w:t>URL:</w:t>
      </w:r>
    </w:p>
    <w:p w:rsidR="007B2DAD" w:rsidRDefault="007B2DAD" w:rsidP="007B2DAD">
      <w:r>
        <w:t>https://unctad.org/statistics</w:t>
      </w:r>
    </w:p>
    <w:p w:rsidR="007B2DAD" w:rsidRDefault="007B2DAD" w:rsidP="007B2DAD">
      <w:r>
        <w:t>https://investmentpolicy.unctad.org/international-investment-agreements</w:t>
      </w:r>
    </w:p>
    <w:p w:rsidR="007B2DAD" w:rsidRDefault="007B2DAD" w:rsidP="007B2DAD">
      <w:r>
        <w:t>https://unctadstat.unctad.org</w:t>
      </w:r>
    </w:p>
    <w:p w:rsidR="0049008B" w:rsidRPr="007B2DAD" w:rsidRDefault="007B2DAD" w:rsidP="007B2DAD">
      <w:pPr>
        <w:rPr>
          <w:lang w:eastAsia="en-GB"/>
        </w:rPr>
      </w:pPr>
      <w:r>
        <w:t>https://unctad.org/en/pages/DIAE/DIAE.aspx</w:t>
      </w:r>
      <w:bookmarkStart w:id="5" w:name="_GoBack"/>
      <w:bookmarkEnd w:id="5"/>
    </w:p>
    <w:sectPr w:rsidR="0049008B" w:rsidRPr="007B2DAD" w:rsidSect="00116570">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73CF" w:rsidRDefault="003D73CF" w:rsidP="00F73DBC">
      <w:pPr>
        <w:spacing w:after="0" w:line="240" w:lineRule="auto"/>
      </w:pPr>
      <w:r>
        <w:separator/>
      </w:r>
    </w:p>
  </w:endnote>
  <w:endnote w:type="continuationSeparator" w:id="1">
    <w:p w:rsidR="003D73CF" w:rsidRDefault="003D73CF" w:rsidP="00F73D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73CF" w:rsidRDefault="003D73CF" w:rsidP="00F73DBC">
      <w:pPr>
        <w:spacing w:after="0" w:line="240" w:lineRule="auto"/>
      </w:pPr>
      <w:r>
        <w:separator/>
      </w:r>
    </w:p>
  </w:footnote>
  <w:footnote w:type="continuationSeparator" w:id="1">
    <w:p w:rsidR="003D73CF" w:rsidRDefault="003D73CF" w:rsidP="00F73D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53B" w:rsidRDefault="0031253B" w:rsidP="009508D1">
    <w:pPr>
      <w:pStyle w:val="af"/>
      <w:jc w:val="right"/>
      <w:rPr>
        <w:i/>
      </w:rPr>
    </w:pPr>
    <w:r w:rsidRPr="009508D1">
      <w:rPr>
        <w:i/>
      </w:rPr>
      <w:t>Неофициальный перевод</w:t>
    </w:r>
  </w:p>
  <w:p w:rsidR="0031253B" w:rsidRPr="009508D1" w:rsidRDefault="0031253B" w:rsidP="009508D1">
    <w:pPr>
      <w:pStyle w:val="af"/>
      <w:jc w:val="right"/>
    </w:pPr>
    <w:r>
      <w:t>Последнее обновление: август 2021</w:t>
    </w:r>
  </w:p>
  <w:p w:rsidR="0031253B" w:rsidRDefault="0031253B">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71F9E"/>
    <w:multiLevelType w:val="hybridMultilevel"/>
    <w:tmpl w:val="5C1E6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1D8352C"/>
    <w:multiLevelType w:val="hybridMultilevel"/>
    <w:tmpl w:val="4A82E506"/>
    <w:lvl w:ilvl="0" w:tplc="679E9D4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9A0C42"/>
    <w:multiLevelType w:val="hybridMultilevel"/>
    <w:tmpl w:val="22C43998"/>
    <w:lvl w:ilvl="0" w:tplc="679E9D4E">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3E5AF6"/>
    <w:multiLevelType w:val="hybridMultilevel"/>
    <w:tmpl w:val="C0A29C96"/>
    <w:lvl w:ilvl="0" w:tplc="679E9D4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0D35FD"/>
    <w:multiLevelType w:val="hybridMultilevel"/>
    <w:tmpl w:val="F9944D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64321A"/>
    <w:multiLevelType w:val="hybridMultilevel"/>
    <w:tmpl w:val="AEA8E3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27E74D4"/>
    <w:multiLevelType w:val="hybridMultilevel"/>
    <w:tmpl w:val="C7C8D0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50B4E66"/>
    <w:multiLevelType w:val="hybridMultilevel"/>
    <w:tmpl w:val="71DA5AD4"/>
    <w:lvl w:ilvl="0" w:tplc="AC92FE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2C5443"/>
    <w:multiLevelType w:val="hybridMultilevel"/>
    <w:tmpl w:val="6C9038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81B4257"/>
    <w:multiLevelType w:val="hybridMultilevel"/>
    <w:tmpl w:val="8048DE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6A519C7"/>
    <w:multiLevelType w:val="hybridMultilevel"/>
    <w:tmpl w:val="CEB23D48"/>
    <w:lvl w:ilvl="0" w:tplc="04190001">
      <w:start w:val="1"/>
      <w:numFmt w:val="bullet"/>
      <w:lvlText w:val=""/>
      <w:lvlJc w:val="left"/>
      <w:pPr>
        <w:ind w:left="720" w:hanging="360"/>
      </w:pPr>
      <w:rPr>
        <w:rFonts w:ascii="Symbol" w:hAnsi="Symbol" w:hint="default"/>
      </w:rPr>
    </w:lvl>
    <w:lvl w:ilvl="1" w:tplc="6276CB2C">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A3A017C"/>
    <w:multiLevelType w:val="hybridMultilevel"/>
    <w:tmpl w:val="F01876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D826A57"/>
    <w:multiLevelType w:val="hybridMultilevel"/>
    <w:tmpl w:val="B6FEE0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F265087"/>
    <w:multiLevelType w:val="hybridMultilevel"/>
    <w:tmpl w:val="ADB45A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426A3170"/>
    <w:multiLevelType w:val="hybridMultilevel"/>
    <w:tmpl w:val="1CF669A2"/>
    <w:lvl w:ilvl="0" w:tplc="0419000F">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31E10E2"/>
    <w:multiLevelType w:val="hybridMultilevel"/>
    <w:tmpl w:val="5398794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6">
    <w:nsid w:val="46F14BB9"/>
    <w:multiLevelType w:val="hybridMultilevel"/>
    <w:tmpl w:val="9192297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F2E4E5E"/>
    <w:multiLevelType w:val="hybridMultilevel"/>
    <w:tmpl w:val="6D049FA0"/>
    <w:lvl w:ilvl="0" w:tplc="63FC18F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51E24A1"/>
    <w:multiLevelType w:val="hybridMultilevel"/>
    <w:tmpl w:val="D77A141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C556F36"/>
    <w:multiLevelType w:val="hybridMultilevel"/>
    <w:tmpl w:val="96CEDB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6FD4A38"/>
    <w:multiLevelType w:val="hybridMultilevel"/>
    <w:tmpl w:val="C21077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3BB1618"/>
    <w:multiLevelType w:val="hybridMultilevel"/>
    <w:tmpl w:val="7D7EE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5C14544"/>
    <w:multiLevelType w:val="hybridMultilevel"/>
    <w:tmpl w:val="16F897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B3A302C"/>
    <w:multiLevelType w:val="hybridMultilevel"/>
    <w:tmpl w:val="E51622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C2D1E54"/>
    <w:multiLevelType w:val="hybridMultilevel"/>
    <w:tmpl w:val="1AD6DE36"/>
    <w:lvl w:ilvl="0" w:tplc="8062ADD6">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12"/>
  </w:num>
  <w:num w:numId="4">
    <w:abstractNumId w:val="23"/>
  </w:num>
  <w:num w:numId="5">
    <w:abstractNumId w:val="20"/>
  </w:num>
  <w:num w:numId="6">
    <w:abstractNumId w:val="13"/>
  </w:num>
  <w:num w:numId="7">
    <w:abstractNumId w:val="18"/>
  </w:num>
  <w:num w:numId="8">
    <w:abstractNumId w:val="16"/>
  </w:num>
  <w:num w:numId="9">
    <w:abstractNumId w:val="5"/>
  </w:num>
  <w:num w:numId="10">
    <w:abstractNumId w:val="17"/>
  </w:num>
  <w:num w:numId="11">
    <w:abstractNumId w:val="19"/>
  </w:num>
  <w:num w:numId="12">
    <w:abstractNumId w:val="8"/>
  </w:num>
  <w:num w:numId="13">
    <w:abstractNumId w:val="22"/>
  </w:num>
  <w:num w:numId="14">
    <w:abstractNumId w:val="0"/>
  </w:num>
  <w:num w:numId="15">
    <w:abstractNumId w:val="21"/>
  </w:num>
  <w:num w:numId="16">
    <w:abstractNumId w:val="24"/>
  </w:num>
  <w:num w:numId="17">
    <w:abstractNumId w:val="6"/>
  </w:num>
  <w:num w:numId="18">
    <w:abstractNumId w:val="9"/>
  </w:num>
  <w:num w:numId="19">
    <w:abstractNumId w:val="2"/>
  </w:num>
  <w:num w:numId="20">
    <w:abstractNumId w:val="1"/>
  </w:num>
  <w:num w:numId="21">
    <w:abstractNumId w:val="3"/>
  </w:num>
  <w:num w:numId="22">
    <w:abstractNumId w:val="7"/>
  </w:num>
  <w:num w:numId="23">
    <w:abstractNumId w:val="15"/>
  </w:num>
  <w:num w:numId="24">
    <w:abstractNumId w:val="4"/>
  </w:num>
  <w:num w:numId="25">
    <w:abstractNumId w:val="1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A618FC"/>
    <w:rsid w:val="00006140"/>
    <w:rsid w:val="00017B67"/>
    <w:rsid w:val="00030BF5"/>
    <w:rsid w:val="00032707"/>
    <w:rsid w:val="00040034"/>
    <w:rsid w:val="0004196A"/>
    <w:rsid w:val="000451B2"/>
    <w:rsid w:val="00053D20"/>
    <w:rsid w:val="00062184"/>
    <w:rsid w:val="00066024"/>
    <w:rsid w:val="00067E3E"/>
    <w:rsid w:val="00080FD3"/>
    <w:rsid w:val="00083DC3"/>
    <w:rsid w:val="0008593B"/>
    <w:rsid w:val="00093790"/>
    <w:rsid w:val="000A210D"/>
    <w:rsid w:val="000A229E"/>
    <w:rsid w:val="000A47E6"/>
    <w:rsid w:val="000A6836"/>
    <w:rsid w:val="000B0E12"/>
    <w:rsid w:val="000C224E"/>
    <w:rsid w:val="000E666A"/>
    <w:rsid w:val="000E7DC3"/>
    <w:rsid w:val="00104284"/>
    <w:rsid w:val="00110FE3"/>
    <w:rsid w:val="00115063"/>
    <w:rsid w:val="0011581A"/>
    <w:rsid w:val="00116248"/>
    <w:rsid w:val="00116570"/>
    <w:rsid w:val="00120E95"/>
    <w:rsid w:val="00122608"/>
    <w:rsid w:val="001269B1"/>
    <w:rsid w:val="00133E22"/>
    <w:rsid w:val="001373EA"/>
    <w:rsid w:val="00146B30"/>
    <w:rsid w:val="00146FDC"/>
    <w:rsid w:val="001470A2"/>
    <w:rsid w:val="00147D02"/>
    <w:rsid w:val="001505DD"/>
    <w:rsid w:val="00151C00"/>
    <w:rsid w:val="0015685B"/>
    <w:rsid w:val="001577EB"/>
    <w:rsid w:val="00162B33"/>
    <w:rsid w:val="00165896"/>
    <w:rsid w:val="001661D2"/>
    <w:rsid w:val="0016743D"/>
    <w:rsid w:val="0017579E"/>
    <w:rsid w:val="00176A95"/>
    <w:rsid w:val="0018458D"/>
    <w:rsid w:val="001A0336"/>
    <w:rsid w:val="001A163A"/>
    <w:rsid w:val="001B0DDA"/>
    <w:rsid w:val="001B4464"/>
    <w:rsid w:val="001B67A5"/>
    <w:rsid w:val="001C2F13"/>
    <w:rsid w:val="001D47B7"/>
    <w:rsid w:val="001E2FC9"/>
    <w:rsid w:val="001F2B04"/>
    <w:rsid w:val="0020339C"/>
    <w:rsid w:val="002165E6"/>
    <w:rsid w:val="00220DFC"/>
    <w:rsid w:val="00222E13"/>
    <w:rsid w:val="00235C73"/>
    <w:rsid w:val="00237F5C"/>
    <w:rsid w:val="002451DF"/>
    <w:rsid w:val="00245F56"/>
    <w:rsid w:val="00253365"/>
    <w:rsid w:val="002540B1"/>
    <w:rsid w:val="00263E57"/>
    <w:rsid w:val="002712B1"/>
    <w:rsid w:val="00290B8E"/>
    <w:rsid w:val="002A3B50"/>
    <w:rsid w:val="002A7CD7"/>
    <w:rsid w:val="002B2508"/>
    <w:rsid w:val="002B547C"/>
    <w:rsid w:val="002D493B"/>
    <w:rsid w:val="002D669D"/>
    <w:rsid w:val="002E07D4"/>
    <w:rsid w:val="002E122C"/>
    <w:rsid w:val="002E15F9"/>
    <w:rsid w:val="002E2DAB"/>
    <w:rsid w:val="002F63E5"/>
    <w:rsid w:val="00303D71"/>
    <w:rsid w:val="0031253B"/>
    <w:rsid w:val="003143BC"/>
    <w:rsid w:val="0033081A"/>
    <w:rsid w:val="00333E4E"/>
    <w:rsid w:val="003424DF"/>
    <w:rsid w:val="00342801"/>
    <w:rsid w:val="00347912"/>
    <w:rsid w:val="00350C2D"/>
    <w:rsid w:val="00351952"/>
    <w:rsid w:val="0035475F"/>
    <w:rsid w:val="003563A7"/>
    <w:rsid w:val="003569AD"/>
    <w:rsid w:val="0036001C"/>
    <w:rsid w:val="0036490E"/>
    <w:rsid w:val="0037008B"/>
    <w:rsid w:val="00372BD0"/>
    <w:rsid w:val="00372DA0"/>
    <w:rsid w:val="003746BC"/>
    <w:rsid w:val="00376FE6"/>
    <w:rsid w:val="00390633"/>
    <w:rsid w:val="00393B97"/>
    <w:rsid w:val="00394222"/>
    <w:rsid w:val="00397764"/>
    <w:rsid w:val="003A389C"/>
    <w:rsid w:val="003B2CF2"/>
    <w:rsid w:val="003B340F"/>
    <w:rsid w:val="003C63E1"/>
    <w:rsid w:val="003C7ACA"/>
    <w:rsid w:val="003D3043"/>
    <w:rsid w:val="003D73CF"/>
    <w:rsid w:val="003E03CC"/>
    <w:rsid w:val="003E6C49"/>
    <w:rsid w:val="00400B4D"/>
    <w:rsid w:val="0040583C"/>
    <w:rsid w:val="004066A3"/>
    <w:rsid w:val="00407E4E"/>
    <w:rsid w:val="004143B4"/>
    <w:rsid w:val="00414CFB"/>
    <w:rsid w:val="00422DE3"/>
    <w:rsid w:val="00423295"/>
    <w:rsid w:val="0042734C"/>
    <w:rsid w:val="004333FB"/>
    <w:rsid w:val="00436030"/>
    <w:rsid w:val="00446A24"/>
    <w:rsid w:val="00453CF8"/>
    <w:rsid w:val="00456727"/>
    <w:rsid w:val="00461079"/>
    <w:rsid w:val="00465587"/>
    <w:rsid w:val="00480D4F"/>
    <w:rsid w:val="0049008B"/>
    <w:rsid w:val="00494AAC"/>
    <w:rsid w:val="004A20F3"/>
    <w:rsid w:val="004A7876"/>
    <w:rsid w:val="004B638C"/>
    <w:rsid w:val="004B6FA0"/>
    <w:rsid w:val="004D283B"/>
    <w:rsid w:val="004D737D"/>
    <w:rsid w:val="004E087E"/>
    <w:rsid w:val="004F3B53"/>
    <w:rsid w:val="00503093"/>
    <w:rsid w:val="00504CD2"/>
    <w:rsid w:val="005057DC"/>
    <w:rsid w:val="005126D2"/>
    <w:rsid w:val="00514AB1"/>
    <w:rsid w:val="00514C74"/>
    <w:rsid w:val="005220B0"/>
    <w:rsid w:val="00543050"/>
    <w:rsid w:val="00547F84"/>
    <w:rsid w:val="005501BD"/>
    <w:rsid w:val="00562B74"/>
    <w:rsid w:val="0056571B"/>
    <w:rsid w:val="00577C9B"/>
    <w:rsid w:val="00585E8C"/>
    <w:rsid w:val="0059042F"/>
    <w:rsid w:val="005919D0"/>
    <w:rsid w:val="00594963"/>
    <w:rsid w:val="00595671"/>
    <w:rsid w:val="005974D1"/>
    <w:rsid w:val="005A0EA5"/>
    <w:rsid w:val="005B3332"/>
    <w:rsid w:val="005C123D"/>
    <w:rsid w:val="005D25E8"/>
    <w:rsid w:val="005E2ABC"/>
    <w:rsid w:val="005E47BD"/>
    <w:rsid w:val="005F5D78"/>
    <w:rsid w:val="00607915"/>
    <w:rsid w:val="006120E1"/>
    <w:rsid w:val="00614A49"/>
    <w:rsid w:val="006156BE"/>
    <w:rsid w:val="00623607"/>
    <w:rsid w:val="006261EE"/>
    <w:rsid w:val="006308D5"/>
    <w:rsid w:val="006313E5"/>
    <w:rsid w:val="0063143B"/>
    <w:rsid w:val="00642663"/>
    <w:rsid w:val="00647C5F"/>
    <w:rsid w:val="00654380"/>
    <w:rsid w:val="00656288"/>
    <w:rsid w:val="006677B0"/>
    <w:rsid w:val="00670C21"/>
    <w:rsid w:val="00670E26"/>
    <w:rsid w:val="0067549F"/>
    <w:rsid w:val="006763D1"/>
    <w:rsid w:val="00676DE5"/>
    <w:rsid w:val="00691BC3"/>
    <w:rsid w:val="00693A10"/>
    <w:rsid w:val="00694160"/>
    <w:rsid w:val="00696D77"/>
    <w:rsid w:val="006B0337"/>
    <w:rsid w:val="006B260E"/>
    <w:rsid w:val="006B3939"/>
    <w:rsid w:val="006C014C"/>
    <w:rsid w:val="006C0984"/>
    <w:rsid w:val="006C10F0"/>
    <w:rsid w:val="006C3901"/>
    <w:rsid w:val="006D7049"/>
    <w:rsid w:val="006E66FC"/>
    <w:rsid w:val="006F1198"/>
    <w:rsid w:val="006F4DA0"/>
    <w:rsid w:val="006F5EC4"/>
    <w:rsid w:val="00702333"/>
    <w:rsid w:val="00702C63"/>
    <w:rsid w:val="00704A8D"/>
    <w:rsid w:val="00705161"/>
    <w:rsid w:val="00707E86"/>
    <w:rsid w:val="00711277"/>
    <w:rsid w:val="0071671D"/>
    <w:rsid w:val="007235FA"/>
    <w:rsid w:val="007321BB"/>
    <w:rsid w:val="00733327"/>
    <w:rsid w:val="00743E50"/>
    <w:rsid w:val="007509E5"/>
    <w:rsid w:val="0075349F"/>
    <w:rsid w:val="0075371E"/>
    <w:rsid w:val="0075737E"/>
    <w:rsid w:val="00766689"/>
    <w:rsid w:val="007808E3"/>
    <w:rsid w:val="00780F08"/>
    <w:rsid w:val="0078233F"/>
    <w:rsid w:val="0078726E"/>
    <w:rsid w:val="0079089B"/>
    <w:rsid w:val="00791F1F"/>
    <w:rsid w:val="007A45FD"/>
    <w:rsid w:val="007B0CFD"/>
    <w:rsid w:val="007B0D42"/>
    <w:rsid w:val="007B2DAD"/>
    <w:rsid w:val="007C27E0"/>
    <w:rsid w:val="007C6471"/>
    <w:rsid w:val="007C6FBC"/>
    <w:rsid w:val="007D1185"/>
    <w:rsid w:val="007D2576"/>
    <w:rsid w:val="007D49DE"/>
    <w:rsid w:val="007D4F45"/>
    <w:rsid w:val="007D5E35"/>
    <w:rsid w:val="007E6317"/>
    <w:rsid w:val="0080135E"/>
    <w:rsid w:val="00804196"/>
    <w:rsid w:val="0080606E"/>
    <w:rsid w:val="00807A22"/>
    <w:rsid w:val="0081063C"/>
    <w:rsid w:val="0082082A"/>
    <w:rsid w:val="008275D7"/>
    <w:rsid w:val="0083636B"/>
    <w:rsid w:val="00845FE2"/>
    <w:rsid w:val="008501F4"/>
    <w:rsid w:val="0085248F"/>
    <w:rsid w:val="00853C09"/>
    <w:rsid w:val="0085403A"/>
    <w:rsid w:val="008616D9"/>
    <w:rsid w:val="00862CE4"/>
    <w:rsid w:val="00865164"/>
    <w:rsid w:val="00871D78"/>
    <w:rsid w:val="00873DDE"/>
    <w:rsid w:val="008751C8"/>
    <w:rsid w:val="0089043A"/>
    <w:rsid w:val="00896D91"/>
    <w:rsid w:val="008A3A19"/>
    <w:rsid w:val="008A7431"/>
    <w:rsid w:val="008B47E0"/>
    <w:rsid w:val="008C01EA"/>
    <w:rsid w:val="008C7B00"/>
    <w:rsid w:val="008E440E"/>
    <w:rsid w:val="008F5301"/>
    <w:rsid w:val="00900860"/>
    <w:rsid w:val="00924835"/>
    <w:rsid w:val="0092659A"/>
    <w:rsid w:val="009273B4"/>
    <w:rsid w:val="0093367B"/>
    <w:rsid w:val="00935B97"/>
    <w:rsid w:val="0094218F"/>
    <w:rsid w:val="00942EA9"/>
    <w:rsid w:val="0094718C"/>
    <w:rsid w:val="00947FA7"/>
    <w:rsid w:val="009508D1"/>
    <w:rsid w:val="009558D8"/>
    <w:rsid w:val="00957712"/>
    <w:rsid w:val="00957A62"/>
    <w:rsid w:val="00964BE9"/>
    <w:rsid w:val="00973CD3"/>
    <w:rsid w:val="00980F79"/>
    <w:rsid w:val="00983CEB"/>
    <w:rsid w:val="009843DD"/>
    <w:rsid w:val="00986D0B"/>
    <w:rsid w:val="00990634"/>
    <w:rsid w:val="009917DD"/>
    <w:rsid w:val="00995788"/>
    <w:rsid w:val="009B3820"/>
    <w:rsid w:val="009B6CB3"/>
    <w:rsid w:val="009B78A2"/>
    <w:rsid w:val="009D078D"/>
    <w:rsid w:val="009D31AD"/>
    <w:rsid w:val="009E707C"/>
    <w:rsid w:val="009F0769"/>
    <w:rsid w:val="009F4A17"/>
    <w:rsid w:val="00A06695"/>
    <w:rsid w:val="00A1299E"/>
    <w:rsid w:val="00A248E2"/>
    <w:rsid w:val="00A3418B"/>
    <w:rsid w:val="00A343D5"/>
    <w:rsid w:val="00A41B68"/>
    <w:rsid w:val="00A423C4"/>
    <w:rsid w:val="00A44394"/>
    <w:rsid w:val="00A47315"/>
    <w:rsid w:val="00A47C12"/>
    <w:rsid w:val="00A51812"/>
    <w:rsid w:val="00A55D22"/>
    <w:rsid w:val="00A56B34"/>
    <w:rsid w:val="00A618FC"/>
    <w:rsid w:val="00A7053F"/>
    <w:rsid w:val="00A708AC"/>
    <w:rsid w:val="00A71EC6"/>
    <w:rsid w:val="00A73CA7"/>
    <w:rsid w:val="00A82A69"/>
    <w:rsid w:val="00A8435E"/>
    <w:rsid w:val="00A8462E"/>
    <w:rsid w:val="00A91FDE"/>
    <w:rsid w:val="00AC112C"/>
    <w:rsid w:val="00AD0E6A"/>
    <w:rsid w:val="00AE510C"/>
    <w:rsid w:val="00AF3B1B"/>
    <w:rsid w:val="00B0378B"/>
    <w:rsid w:val="00B11113"/>
    <w:rsid w:val="00B179C9"/>
    <w:rsid w:val="00B17F13"/>
    <w:rsid w:val="00B27F6B"/>
    <w:rsid w:val="00B30158"/>
    <w:rsid w:val="00B51994"/>
    <w:rsid w:val="00B51BC3"/>
    <w:rsid w:val="00B62ECD"/>
    <w:rsid w:val="00B70499"/>
    <w:rsid w:val="00B72F77"/>
    <w:rsid w:val="00B8481C"/>
    <w:rsid w:val="00B90C3B"/>
    <w:rsid w:val="00B931ED"/>
    <w:rsid w:val="00BA05C5"/>
    <w:rsid w:val="00BA3599"/>
    <w:rsid w:val="00BA49DB"/>
    <w:rsid w:val="00BA61D3"/>
    <w:rsid w:val="00BA7C6B"/>
    <w:rsid w:val="00BB49F6"/>
    <w:rsid w:val="00BC622F"/>
    <w:rsid w:val="00BC6451"/>
    <w:rsid w:val="00BC6BB7"/>
    <w:rsid w:val="00BD1D25"/>
    <w:rsid w:val="00BD28B9"/>
    <w:rsid w:val="00BD29EC"/>
    <w:rsid w:val="00BD2BB0"/>
    <w:rsid w:val="00BD4C64"/>
    <w:rsid w:val="00BE4D76"/>
    <w:rsid w:val="00BE618D"/>
    <w:rsid w:val="00BE70C8"/>
    <w:rsid w:val="00BF42F4"/>
    <w:rsid w:val="00C000B0"/>
    <w:rsid w:val="00C00737"/>
    <w:rsid w:val="00C013D8"/>
    <w:rsid w:val="00C1236A"/>
    <w:rsid w:val="00C22DF6"/>
    <w:rsid w:val="00C25229"/>
    <w:rsid w:val="00C34D1D"/>
    <w:rsid w:val="00C536F5"/>
    <w:rsid w:val="00C605C7"/>
    <w:rsid w:val="00C638CE"/>
    <w:rsid w:val="00C645C4"/>
    <w:rsid w:val="00C66AB0"/>
    <w:rsid w:val="00C74767"/>
    <w:rsid w:val="00C772FD"/>
    <w:rsid w:val="00C83435"/>
    <w:rsid w:val="00C8596F"/>
    <w:rsid w:val="00C909FE"/>
    <w:rsid w:val="00C95868"/>
    <w:rsid w:val="00C9679B"/>
    <w:rsid w:val="00C96C28"/>
    <w:rsid w:val="00CA1CB1"/>
    <w:rsid w:val="00CB26D5"/>
    <w:rsid w:val="00CC1B0F"/>
    <w:rsid w:val="00CC57A0"/>
    <w:rsid w:val="00CD0810"/>
    <w:rsid w:val="00CD238E"/>
    <w:rsid w:val="00CE0762"/>
    <w:rsid w:val="00CF1BCB"/>
    <w:rsid w:val="00CF2434"/>
    <w:rsid w:val="00CF7625"/>
    <w:rsid w:val="00D006C1"/>
    <w:rsid w:val="00D00F28"/>
    <w:rsid w:val="00D05466"/>
    <w:rsid w:val="00D1082C"/>
    <w:rsid w:val="00D15CDC"/>
    <w:rsid w:val="00D27196"/>
    <w:rsid w:val="00D273C6"/>
    <w:rsid w:val="00D31F63"/>
    <w:rsid w:val="00D32199"/>
    <w:rsid w:val="00D40E85"/>
    <w:rsid w:val="00D50626"/>
    <w:rsid w:val="00D50F75"/>
    <w:rsid w:val="00D51C14"/>
    <w:rsid w:val="00D54600"/>
    <w:rsid w:val="00D604B3"/>
    <w:rsid w:val="00D62DD3"/>
    <w:rsid w:val="00D636C1"/>
    <w:rsid w:val="00D644B9"/>
    <w:rsid w:val="00D64852"/>
    <w:rsid w:val="00D65C2C"/>
    <w:rsid w:val="00D65EF2"/>
    <w:rsid w:val="00D70C4F"/>
    <w:rsid w:val="00D71A86"/>
    <w:rsid w:val="00D80BC2"/>
    <w:rsid w:val="00D82193"/>
    <w:rsid w:val="00D91D5D"/>
    <w:rsid w:val="00DB2469"/>
    <w:rsid w:val="00DB3A18"/>
    <w:rsid w:val="00DB5508"/>
    <w:rsid w:val="00DB5552"/>
    <w:rsid w:val="00DB7209"/>
    <w:rsid w:val="00DD2FEE"/>
    <w:rsid w:val="00DD4453"/>
    <w:rsid w:val="00DD45F3"/>
    <w:rsid w:val="00DD481F"/>
    <w:rsid w:val="00DE0C01"/>
    <w:rsid w:val="00DE2202"/>
    <w:rsid w:val="00DE5549"/>
    <w:rsid w:val="00E06527"/>
    <w:rsid w:val="00E1711B"/>
    <w:rsid w:val="00E206E6"/>
    <w:rsid w:val="00E21B43"/>
    <w:rsid w:val="00E22DA5"/>
    <w:rsid w:val="00E27922"/>
    <w:rsid w:val="00E33CA8"/>
    <w:rsid w:val="00E36AFE"/>
    <w:rsid w:val="00E36CE2"/>
    <w:rsid w:val="00E377B5"/>
    <w:rsid w:val="00E55C4C"/>
    <w:rsid w:val="00E7596B"/>
    <w:rsid w:val="00E834AD"/>
    <w:rsid w:val="00E83733"/>
    <w:rsid w:val="00E90BD4"/>
    <w:rsid w:val="00E97471"/>
    <w:rsid w:val="00EA60C7"/>
    <w:rsid w:val="00EB1910"/>
    <w:rsid w:val="00EB389E"/>
    <w:rsid w:val="00EB4CBB"/>
    <w:rsid w:val="00EC3F04"/>
    <w:rsid w:val="00EC6F78"/>
    <w:rsid w:val="00ED427B"/>
    <w:rsid w:val="00EE3914"/>
    <w:rsid w:val="00EE3BB4"/>
    <w:rsid w:val="00EE3C6C"/>
    <w:rsid w:val="00EF24FF"/>
    <w:rsid w:val="00EF3886"/>
    <w:rsid w:val="00EF47D7"/>
    <w:rsid w:val="00F03521"/>
    <w:rsid w:val="00F17015"/>
    <w:rsid w:val="00F30F68"/>
    <w:rsid w:val="00F31D49"/>
    <w:rsid w:val="00F44343"/>
    <w:rsid w:val="00F46260"/>
    <w:rsid w:val="00F532A2"/>
    <w:rsid w:val="00F56853"/>
    <w:rsid w:val="00F6371F"/>
    <w:rsid w:val="00F66E7B"/>
    <w:rsid w:val="00F73DBC"/>
    <w:rsid w:val="00F84FF1"/>
    <w:rsid w:val="00F93959"/>
    <w:rsid w:val="00F940D0"/>
    <w:rsid w:val="00F947E9"/>
    <w:rsid w:val="00FC39AA"/>
    <w:rsid w:val="00FD23B9"/>
    <w:rsid w:val="00FE175E"/>
    <w:rsid w:val="00FE35CF"/>
    <w:rsid w:val="00FE53A5"/>
    <w:rsid w:val="00FE734E"/>
    <w:rsid w:val="00FE79B4"/>
    <w:rsid w:val="00FE7F68"/>
    <w:rsid w:val="00FF1B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62B33"/>
    <w:pPr>
      <w:spacing w:after="80" w:line="276" w:lineRule="auto"/>
      <w:jc w:val="both"/>
    </w:pPr>
    <w:rPr>
      <w:rFonts w:ascii="Times New Roman" w:hAnsi="Times New Roman"/>
      <w:sz w:val="24"/>
      <w:szCs w:val="22"/>
      <w:lang w:eastAsia="en-US"/>
    </w:rPr>
  </w:style>
  <w:style w:type="paragraph" w:styleId="1">
    <w:name w:val="heading 1"/>
    <w:basedOn w:val="a"/>
    <w:next w:val="a"/>
    <w:link w:val="10"/>
    <w:uiPriority w:val="9"/>
    <w:qFormat/>
    <w:rsid w:val="00D31F63"/>
    <w:pPr>
      <w:keepNext/>
      <w:keepLines/>
      <w:spacing w:before="480" w:after="0" w:line="240" w:lineRule="auto"/>
      <w:outlineLvl w:val="0"/>
    </w:pPr>
    <w:rPr>
      <w:rFonts w:ascii="Cambria" w:eastAsia="Times New Roman" w:hAnsi="Cambria"/>
      <w:b/>
      <w:bCs/>
      <w:color w:val="365F91"/>
      <w:sz w:val="28"/>
      <w:szCs w:val="28"/>
      <w:lang w:val="en-G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Текстовый блок"/>
    <w:rsid w:val="00780F08"/>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a5">
    <w:name w:val="footnote text"/>
    <w:basedOn w:val="a"/>
    <w:link w:val="a6"/>
    <w:uiPriority w:val="99"/>
    <w:unhideWhenUsed/>
    <w:rsid w:val="00F73DBC"/>
    <w:pPr>
      <w:spacing w:after="0" w:line="240" w:lineRule="auto"/>
    </w:pPr>
    <w:rPr>
      <w:sz w:val="20"/>
      <w:szCs w:val="20"/>
    </w:rPr>
  </w:style>
  <w:style w:type="character" w:customStyle="1" w:styleId="a6">
    <w:name w:val="Текст сноски Знак"/>
    <w:basedOn w:val="a1"/>
    <w:link w:val="a5"/>
    <w:uiPriority w:val="99"/>
    <w:rsid w:val="00F73DBC"/>
    <w:rPr>
      <w:sz w:val="20"/>
      <w:szCs w:val="20"/>
    </w:rPr>
  </w:style>
  <w:style w:type="character" w:styleId="a7">
    <w:name w:val="footnote reference"/>
    <w:basedOn w:val="a1"/>
    <w:uiPriority w:val="99"/>
    <w:unhideWhenUsed/>
    <w:rsid w:val="00F73DBC"/>
    <w:rPr>
      <w:vertAlign w:val="superscript"/>
    </w:rPr>
  </w:style>
  <w:style w:type="character" w:styleId="a8">
    <w:name w:val="Placeholder Text"/>
    <w:basedOn w:val="a1"/>
    <w:uiPriority w:val="99"/>
    <w:semiHidden/>
    <w:rsid w:val="005E47BD"/>
    <w:rPr>
      <w:color w:val="808080"/>
    </w:rPr>
  </w:style>
  <w:style w:type="paragraph" w:styleId="a9">
    <w:name w:val="Balloon Text"/>
    <w:basedOn w:val="a"/>
    <w:link w:val="aa"/>
    <w:uiPriority w:val="99"/>
    <w:semiHidden/>
    <w:unhideWhenUsed/>
    <w:rsid w:val="005E47BD"/>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5E47BD"/>
    <w:rPr>
      <w:rFonts w:ascii="Tahoma" w:hAnsi="Tahoma" w:cs="Tahoma"/>
      <w:sz w:val="16"/>
      <w:szCs w:val="16"/>
    </w:rPr>
  </w:style>
  <w:style w:type="table" w:styleId="ab">
    <w:name w:val="Table Grid"/>
    <w:basedOn w:val="a2"/>
    <w:uiPriority w:val="39"/>
    <w:rsid w:val="00D054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99"/>
    <w:qFormat/>
    <w:rsid w:val="007B0CFD"/>
    <w:pPr>
      <w:ind w:left="720"/>
      <w:contextualSpacing/>
    </w:pPr>
  </w:style>
  <w:style w:type="character" w:styleId="ad">
    <w:name w:val="Hyperlink"/>
    <w:basedOn w:val="a1"/>
    <w:uiPriority w:val="99"/>
    <w:unhideWhenUsed/>
    <w:rsid w:val="00EB389E"/>
    <w:rPr>
      <w:color w:val="0000FF"/>
      <w:u w:val="single"/>
    </w:rPr>
  </w:style>
  <w:style w:type="table" w:customStyle="1" w:styleId="ae">
    <w:name w:val="Light Shading"/>
    <w:basedOn w:val="a2"/>
    <w:uiPriority w:val="60"/>
    <w:rsid w:val="000A210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f">
    <w:name w:val="header"/>
    <w:basedOn w:val="a"/>
    <w:link w:val="af0"/>
    <w:uiPriority w:val="99"/>
    <w:unhideWhenUsed/>
    <w:rsid w:val="009508D1"/>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9508D1"/>
  </w:style>
  <w:style w:type="paragraph" w:styleId="af1">
    <w:name w:val="footer"/>
    <w:basedOn w:val="a"/>
    <w:link w:val="af2"/>
    <w:uiPriority w:val="99"/>
    <w:unhideWhenUsed/>
    <w:rsid w:val="009508D1"/>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9508D1"/>
  </w:style>
  <w:style w:type="paragraph" w:styleId="af3">
    <w:name w:val="annotation text"/>
    <w:basedOn w:val="a"/>
    <w:link w:val="af4"/>
    <w:uiPriority w:val="99"/>
    <w:unhideWhenUsed/>
    <w:rsid w:val="00A91FDE"/>
    <w:pPr>
      <w:spacing w:line="240" w:lineRule="auto"/>
    </w:pPr>
    <w:rPr>
      <w:rFonts w:eastAsia="Times New Roman"/>
      <w:sz w:val="20"/>
      <w:szCs w:val="20"/>
      <w:lang w:val="en-GB" w:eastAsia="zh-CN"/>
    </w:rPr>
  </w:style>
  <w:style w:type="character" w:customStyle="1" w:styleId="af4">
    <w:name w:val="Текст примечания Знак"/>
    <w:basedOn w:val="a1"/>
    <w:link w:val="af3"/>
    <w:uiPriority w:val="99"/>
    <w:rsid w:val="00A91FDE"/>
    <w:rPr>
      <w:rFonts w:eastAsia="Times New Roman"/>
      <w:sz w:val="20"/>
      <w:szCs w:val="20"/>
      <w:lang w:val="en-GB" w:eastAsia="zh-CN"/>
    </w:rPr>
  </w:style>
  <w:style w:type="paragraph" w:customStyle="1" w:styleId="MText">
    <w:name w:val="M.Text"/>
    <w:basedOn w:val="a"/>
    <w:link w:val="MTextChar"/>
    <w:qFormat/>
    <w:rsid w:val="00A91FDE"/>
    <w:pPr>
      <w:shd w:val="clear" w:color="auto" w:fill="FFFFFF"/>
      <w:spacing w:after="0"/>
    </w:pPr>
    <w:rPr>
      <w:rFonts w:eastAsia="Times New Roman"/>
      <w:color w:val="4A4A4A"/>
      <w:sz w:val="21"/>
      <w:szCs w:val="21"/>
      <w:lang w:val="en-GB" w:eastAsia="en-GB"/>
    </w:rPr>
  </w:style>
  <w:style w:type="character" w:customStyle="1" w:styleId="MTextChar">
    <w:name w:val="M.Text Char"/>
    <w:basedOn w:val="a1"/>
    <w:link w:val="MText"/>
    <w:rsid w:val="00A91FDE"/>
    <w:rPr>
      <w:rFonts w:eastAsia="Times New Roman" w:cs="Times New Roman"/>
      <w:color w:val="4A4A4A"/>
      <w:sz w:val="21"/>
      <w:szCs w:val="21"/>
      <w:shd w:val="clear" w:color="auto" w:fill="FFFFFF"/>
      <w:lang w:val="en-GB" w:eastAsia="en-GB"/>
    </w:rPr>
  </w:style>
  <w:style w:type="table" w:customStyle="1" w:styleId="GridTable1Light">
    <w:name w:val="Grid Table 1 Light"/>
    <w:basedOn w:val="a2"/>
    <w:uiPriority w:val="46"/>
    <w:rsid w:val="00A91FDE"/>
    <w:rPr>
      <w:rFonts w:eastAsia="Times New Roman"/>
      <w:lang w:val="en-GB" w:eastAsia="zh-CN"/>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MHeader">
    <w:name w:val="M.Header"/>
    <w:basedOn w:val="a"/>
    <w:link w:val="MHeaderChar"/>
    <w:qFormat/>
    <w:rsid w:val="00957A62"/>
    <w:pPr>
      <w:pBdr>
        <w:bottom w:val="single" w:sz="12" w:space="4" w:color="DDDDDD"/>
      </w:pBdr>
      <w:shd w:val="clear" w:color="auto" w:fill="FFFFFF"/>
      <w:spacing w:after="0"/>
      <w:outlineLvl w:val="2"/>
    </w:pPr>
    <w:rPr>
      <w:rFonts w:eastAsia="Times New Roman"/>
      <w:color w:val="1C75BC"/>
      <w:sz w:val="32"/>
      <w:szCs w:val="36"/>
      <w:lang w:val="en-GB" w:eastAsia="en-GB"/>
    </w:rPr>
  </w:style>
  <w:style w:type="character" w:customStyle="1" w:styleId="MHeaderChar">
    <w:name w:val="M.Header Char"/>
    <w:basedOn w:val="a1"/>
    <w:link w:val="MHeader"/>
    <w:rsid w:val="00957A62"/>
    <w:rPr>
      <w:rFonts w:eastAsia="Times New Roman" w:cs="Times New Roman"/>
      <w:color w:val="1C75BC"/>
      <w:sz w:val="32"/>
      <w:szCs w:val="36"/>
      <w:shd w:val="clear" w:color="auto" w:fill="FFFFFF"/>
      <w:lang w:val="en-GB" w:eastAsia="en-GB"/>
    </w:rPr>
  </w:style>
  <w:style w:type="paragraph" w:customStyle="1" w:styleId="MHeader2">
    <w:name w:val="M.Header2"/>
    <w:basedOn w:val="MHeader"/>
    <w:link w:val="MHeader2Char"/>
    <w:qFormat/>
    <w:rsid w:val="00957A62"/>
    <w:pPr>
      <w:spacing w:after="100" w:line="240" w:lineRule="auto"/>
    </w:pPr>
    <w:rPr>
      <w:sz w:val="26"/>
    </w:rPr>
  </w:style>
  <w:style w:type="character" w:customStyle="1" w:styleId="MHeader2Char">
    <w:name w:val="M.Header2 Char"/>
    <w:basedOn w:val="MHeaderChar"/>
    <w:link w:val="MHeader2"/>
    <w:rsid w:val="00957A62"/>
    <w:rPr>
      <w:rFonts w:eastAsia="Times New Roman" w:cs="Times New Roman"/>
      <w:color w:val="1C75BC"/>
      <w:sz w:val="26"/>
      <w:szCs w:val="36"/>
      <w:shd w:val="clear" w:color="auto" w:fill="FFFFFF"/>
      <w:lang w:val="en-GB" w:eastAsia="en-GB"/>
    </w:rPr>
  </w:style>
  <w:style w:type="character" w:styleId="af5">
    <w:name w:val="FollowedHyperlink"/>
    <w:basedOn w:val="a1"/>
    <w:uiPriority w:val="99"/>
    <w:semiHidden/>
    <w:unhideWhenUsed/>
    <w:rsid w:val="00422DE3"/>
    <w:rPr>
      <w:color w:val="800080"/>
      <w:u w:val="single"/>
    </w:rPr>
  </w:style>
  <w:style w:type="character" w:customStyle="1" w:styleId="10">
    <w:name w:val="Заголовок 1 Знак"/>
    <w:basedOn w:val="a1"/>
    <w:link w:val="1"/>
    <w:uiPriority w:val="9"/>
    <w:rsid w:val="00D31F63"/>
    <w:rPr>
      <w:rFonts w:ascii="Cambria" w:eastAsia="Times New Roman" w:hAnsi="Cambria" w:cs="Times New Roman"/>
      <w:b/>
      <w:bCs/>
      <w:color w:val="365F91"/>
      <w:sz w:val="28"/>
      <w:szCs w:val="28"/>
      <w:lang w:val="en-GB"/>
    </w:rPr>
  </w:style>
  <w:style w:type="character" w:styleId="af6">
    <w:name w:val="annotation reference"/>
    <w:basedOn w:val="a1"/>
    <w:uiPriority w:val="99"/>
    <w:semiHidden/>
    <w:unhideWhenUsed/>
    <w:rsid w:val="00D31F63"/>
    <w:rPr>
      <w:sz w:val="16"/>
      <w:szCs w:val="16"/>
    </w:rPr>
  </w:style>
  <w:style w:type="paragraph" w:styleId="af7">
    <w:name w:val="annotation subject"/>
    <w:basedOn w:val="af3"/>
    <w:next w:val="af3"/>
    <w:link w:val="af8"/>
    <w:uiPriority w:val="99"/>
    <w:semiHidden/>
    <w:unhideWhenUsed/>
    <w:rsid w:val="00D31F63"/>
    <w:pPr>
      <w:jc w:val="left"/>
    </w:pPr>
    <w:rPr>
      <w:rFonts w:ascii="Calibri" w:hAnsi="Calibri"/>
      <w:b/>
      <w:bCs/>
    </w:rPr>
  </w:style>
  <w:style w:type="character" w:customStyle="1" w:styleId="af8">
    <w:name w:val="Тема примечания Знак"/>
    <w:basedOn w:val="af4"/>
    <w:link w:val="af7"/>
    <w:uiPriority w:val="99"/>
    <w:semiHidden/>
    <w:rsid w:val="00D31F63"/>
    <w:rPr>
      <w:rFonts w:eastAsia="Times New Roman"/>
      <w:b/>
      <w:bCs/>
      <w:sz w:val="20"/>
      <w:szCs w:val="20"/>
      <w:lang w:val="en-GB" w:eastAsia="zh-CN"/>
    </w:rPr>
  </w:style>
  <w:style w:type="paragraph" w:customStyle="1" w:styleId="MSubHeader">
    <w:name w:val="M.Sub.Header"/>
    <w:basedOn w:val="a"/>
    <w:link w:val="MSubHeaderChar"/>
    <w:qFormat/>
    <w:rsid w:val="00D31F63"/>
    <w:pPr>
      <w:shd w:val="clear" w:color="auto" w:fill="FFFFFF"/>
      <w:spacing w:after="0"/>
      <w:jc w:val="left"/>
    </w:pPr>
    <w:rPr>
      <w:rFonts w:ascii="Calibri" w:eastAsia="Times New Roman" w:hAnsi="Calibri"/>
      <w:b/>
      <w:bCs/>
      <w:color w:val="4A4A4A"/>
      <w:sz w:val="21"/>
      <w:szCs w:val="21"/>
      <w:lang w:val="en-GB" w:eastAsia="en-GB"/>
    </w:rPr>
  </w:style>
  <w:style w:type="paragraph" w:customStyle="1" w:styleId="MGTHeader">
    <w:name w:val="M.G+T.Header"/>
    <w:basedOn w:val="a"/>
    <w:link w:val="MGTHeaderChar"/>
    <w:qFormat/>
    <w:rsid w:val="00D31F63"/>
    <w:pPr>
      <w:shd w:val="clear" w:color="auto" w:fill="F5F5F5"/>
      <w:spacing w:after="0"/>
      <w:jc w:val="left"/>
      <w:outlineLvl w:val="4"/>
    </w:pPr>
    <w:rPr>
      <w:rFonts w:ascii="Calibri" w:eastAsia="Times New Roman" w:hAnsi="Calibri"/>
      <w:color w:val="333333"/>
      <w:sz w:val="21"/>
      <w:szCs w:val="21"/>
      <w:lang w:val="en-GB" w:eastAsia="en-GB"/>
    </w:rPr>
  </w:style>
  <w:style w:type="character" w:customStyle="1" w:styleId="MSubHeaderChar">
    <w:name w:val="M.Sub.Header Char"/>
    <w:basedOn w:val="a1"/>
    <w:link w:val="MSubHeader"/>
    <w:rsid w:val="00D31F63"/>
    <w:rPr>
      <w:rFonts w:eastAsia="Times New Roman" w:cs="Times New Roman"/>
      <w:b/>
      <w:bCs/>
      <w:color w:val="4A4A4A"/>
      <w:sz w:val="21"/>
      <w:szCs w:val="21"/>
      <w:shd w:val="clear" w:color="auto" w:fill="FFFFFF"/>
      <w:lang w:val="en-GB" w:eastAsia="en-GB"/>
    </w:rPr>
  </w:style>
  <w:style w:type="paragraph" w:customStyle="1" w:styleId="MIndHeader">
    <w:name w:val="M.Ind.Header"/>
    <w:basedOn w:val="a"/>
    <w:link w:val="MIndHeaderChar"/>
    <w:qFormat/>
    <w:rsid w:val="00D31F63"/>
    <w:pPr>
      <w:shd w:val="clear" w:color="auto" w:fill="F5F5F5"/>
      <w:spacing w:after="0"/>
      <w:jc w:val="left"/>
      <w:outlineLvl w:val="1"/>
    </w:pPr>
    <w:rPr>
      <w:rFonts w:ascii="Calibri" w:eastAsia="Times New Roman" w:hAnsi="Calibri"/>
      <w:color w:val="1C75BC"/>
      <w:sz w:val="22"/>
      <w:lang w:val="en-GB" w:eastAsia="en-GB"/>
    </w:rPr>
  </w:style>
  <w:style w:type="character" w:customStyle="1" w:styleId="MGTHeaderChar">
    <w:name w:val="M.G+T.Header Char"/>
    <w:basedOn w:val="a1"/>
    <w:link w:val="MGTHeader"/>
    <w:rsid w:val="00D31F63"/>
    <w:rPr>
      <w:rFonts w:eastAsia="Times New Roman" w:cs="Times New Roman"/>
      <w:color w:val="333333"/>
      <w:sz w:val="21"/>
      <w:szCs w:val="21"/>
      <w:shd w:val="clear" w:color="auto" w:fill="F5F5F5"/>
      <w:lang w:val="en-GB" w:eastAsia="en-GB"/>
    </w:rPr>
  </w:style>
  <w:style w:type="character" w:customStyle="1" w:styleId="MIndHeaderChar">
    <w:name w:val="M.Ind.Header Char"/>
    <w:basedOn w:val="a1"/>
    <w:link w:val="MIndHeader"/>
    <w:rsid w:val="00D31F63"/>
    <w:rPr>
      <w:rFonts w:eastAsia="Times New Roman" w:cs="Times New Roman"/>
      <w:color w:val="1C75BC"/>
      <w:shd w:val="clear" w:color="auto" w:fill="F5F5F5"/>
      <w:lang w:val="en-GB" w:eastAsia="en-GB"/>
    </w:rPr>
  </w:style>
  <w:style w:type="paragraph" w:styleId="af9">
    <w:name w:val="Body Text"/>
    <w:basedOn w:val="a"/>
    <w:link w:val="afa"/>
    <w:uiPriority w:val="1"/>
    <w:qFormat/>
    <w:rsid w:val="00D31F63"/>
    <w:pPr>
      <w:widowControl w:val="0"/>
      <w:autoSpaceDE w:val="0"/>
      <w:autoSpaceDN w:val="0"/>
      <w:adjustRightInd w:val="0"/>
      <w:spacing w:before="64" w:after="0" w:line="240" w:lineRule="auto"/>
      <w:ind w:left="845"/>
      <w:jc w:val="left"/>
    </w:pPr>
    <w:rPr>
      <w:rFonts w:ascii="Arial" w:eastAsia="Times New Roman" w:hAnsi="Arial" w:cs="Arial"/>
      <w:sz w:val="19"/>
      <w:szCs w:val="19"/>
      <w:lang w:val="en-GB" w:eastAsia="en-GB"/>
    </w:rPr>
  </w:style>
  <w:style w:type="character" w:customStyle="1" w:styleId="afa">
    <w:name w:val="Основной текст Знак"/>
    <w:basedOn w:val="a1"/>
    <w:link w:val="af9"/>
    <w:uiPriority w:val="1"/>
    <w:rsid w:val="00D31F63"/>
    <w:rPr>
      <w:rFonts w:ascii="Arial" w:eastAsia="Times New Roman" w:hAnsi="Arial" w:cs="Arial"/>
      <w:sz w:val="19"/>
      <w:szCs w:val="19"/>
      <w:lang w:val="en-GB" w:eastAsia="en-GB"/>
    </w:rPr>
  </w:style>
  <w:style w:type="paragraph" w:styleId="HTML">
    <w:name w:val="HTML Preformatted"/>
    <w:basedOn w:val="a"/>
    <w:link w:val="HTML0"/>
    <w:uiPriority w:val="99"/>
    <w:unhideWhenUsed/>
    <w:rsid w:val="00D31F63"/>
    <w:pPr>
      <w:spacing w:after="0" w:line="240" w:lineRule="auto"/>
      <w:jc w:val="left"/>
    </w:pPr>
    <w:rPr>
      <w:rFonts w:ascii="Consolas" w:eastAsia="Times New Roman" w:hAnsi="Consolas"/>
      <w:sz w:val="20"/>
      <w:szCs w:val="20"/>
      <w:lang w:val="en-GB" w:eastAsia="zh-CN"/>
    </w:rPr>
  </w:style>
  <w:style w:type="character" w:customStyle="1" w:styleId="HTML0">
    <w:name w:val="Стандартный HTML Знак"/>
    <w:basedOn w:val="a1"/>
    <w:link w:val="HTML"/>
    <w:uiPriority w:val="99"/>
    <w:rsid w:val="00D31F63"/>
    <w:rPr>
      <w:rFonts w:ascii="Consolas" w:eastAsia="Times New Roman" w:hAnsi="Consolas"/>
      <w:sz w:val="20"/>
      <w:szCs w:val="20"/>
      <w:lang w:val="en-GB" w:eastAsia="zh-CN"/>
    </w:rPr>
  </w:style>
  <w:style w:type="paragraph" w:styleId="afb">
    <w:name w:val="Normal (Web)"/>
    <w:basedOn w:val="a"/>
    <w:uiPriority w:val="99"/>
    <w:semiHidden/>
    <w:unhideWhenUsed/>
    <w:rsid w:val="00D31F63"/>
    <w:pPr>
      <w:spacing w:before="100" w:beforeAutospacing="1" w:after="100" w:afterAutospacing="1" w:line="240" w:lineRule="auto"/>
      <w:jc w:val="left"/>
    </w:pPr>
    <w:rPr>
      <w:rFonts w:eastAsia="Times New Roman"/>
      <w:szCs w:val="24"/>
      <w:lang w:val="fr-CH" w:eastAsia="fr-CH"/>
    </w:rPr>
  </w:style>
  <w:style w:type="table" w:customStyle="1" w:styleId="GridTableLight">
    <w:name w:val="Grid Table Light"/>
    <w:basedOn w:val="a2"/>
    <w:uiPriority w:val="40"/>
    <w:rsid w:val="00BA05C5"/>
    <w:rPr>
      <w:rFonts w:eastAsia="Times New Roman"/>
      <w:lang w:val="en-GB"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a0">
    <w:name w:val="No Spacing"/>
    <w:uiPriority w:val="1"/>
    <w:qFormat/>
    <w:rsid w:val="009558D8"/>
    <w:pPr>
      <w:jc w:val="both"/>
    </w:pPr>
    <w:rPr>
      <w:rFonts w:ascii="Times New Roman" w:hAnsi="Times New Roman"/>
      <w:sz w:val="24"/>
      <w:szCs w:val="22"/>
      <w:lang w:eastAsia="en-US"/>
    </w:rPr>
  </w:style>
  <w:style w:type="table" w:customStyle="1" w:styleId="11">
    <w:name w:val="Сетка таблицы1"/>
    <w:basedOn w:val="a2"/>
    <w:next w:val="ab"/>
    <w:uiPriority w:val="59"/>
    <w:rsid w:val="00F035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2"/>
    <w:next w:val="ab"/>
    <w:uiPriority w:val="59"/>
    <w:rsid w:val="007C6F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2"/>
    <w:next w:val="ab"/>
    <w:uiPriority w:val="59"/>
    <w:rsid w:val="00EF47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2"/>
    <w:next w:val="ab"/>
    <w:uiPriority w:val="59"/>
    <w:rsid w:val="00110F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1"/>
    <w:rsid w:val="00A7053F"/>
    <w:rPr>
      <w:rFonts w:ascii="Calibri" w:hAnsi="Calibri" w:cs="Calibri" w:hint="default"/>
      <w:b w:val="0"/>
      <w:bCs w:val="0"/>
      <w:i w:val="0"/>
      <w:iCs w:val="0"/>
      <w:color w:val="4A4A4A"/>
      <w:sz w:val="20"/>
      <w:szCs w:val="20"/>
    </w:rPr>
  </w:style>
  <w:style w:type="character" w:customStyle="1" w:styleId="tlid-translation">
    <w:name w:val="tlid-translation"/>
    <w:basedOn w:val="a1"/>
    <w:rsid w:val="00935B97"/>
  </w:style>
  <w:style w:type="character" w:customStyle="1" w:styleId="gt-baf-cell">
    <w:name w:val="gt-baf-cell"/>
    <w:basedOn w:val="a1"/>
    <w:rsid w:val="006C10F0"/>
  </w:style>
  <w:style w:type="table" w:customStyle="1" w:styleId="1-1">
    <w:name w:val="Medium Shading 1 Accent 1"/>
    <w:basedOn w:val="a2"/>
    <w:uiPriority w:val="63"/>
    <w:rsid w:val="00AF3B1B"/>
    <w:rPr>
      <w:rFonts w:eastAsia="Times New Roman"/>
      <w:lang w:val="en-GB" w:eastAsia="zh-C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5">
    <w:name w:val="Сетка таблицы5"/>
    <w:basedOn w:val="a2"/>
    <w:next w:val="ab"/>
    <w:uiPriority w:val="59"/>
    <w:rsid w:val="004F3B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a1"/>
    <w:rsid w:val="0083636B"/>
  </w:style>
  <w:style w:type="character" w:customStyle="1" w:styleId="eop">
    <w:name w:val="eop"/>
    <w:basedOn w:val="a1"/>
    <w:rsid w:val="0083636B"/>
  </w:style>
  <w:style w:type="paragraph" w:styleId="afc">
    <w:name w:val="Bibliography"/>
    <w:basedOn w:val="a"/>
    <w:next w:val="a"/>
    <w:uiPriority w:val="37"/>
    <w:unhideWhenUsed/>
    <w:rsid w:val="0083636B"/>
    <w:pPr>
      <w:spacing w:after="200"/>
      <w:jc w:val="left"/>
    </w:pPr>
    <w:rPr>
      <w:rFonts w:ascii="Calibri" w:eastAsia="Times New Roman" w:hAnsi="Calibri"/>
      <w:sz w:val="22"/>
      <w:lang w:val="en-GB" w:eastAsia="zh-CN"/>
    </w:rPr>
  </w:style>
</w:styles>
</file>

<file path=word/webSettings.xml><?xml version="1.0" encoding="utf-8"?>
<w:webSettings xmlns:r="http://schemas.openxmlformats.org/officeDocument/2006/relationships" xmlns:w="http://schemas.openxmlformats.org/wordprocessingml/2006/main">
  <w:divs>
    <w:div w:id="228348214">
      <w:bodyDiv w:val="1"/>
      <w:marLeft w:val="0"/>
      <w:marRight w:val="0"/>
      <w:marTop w:val="0"/>
      <w:marBottom w:val="0"/>
      <w:divBdr>
        <w:top w:val="none" w:sz="0" w:space="0" w:color="auto"/>
        <w:left w:val="none" w:sz="0" w:space="0" w:color="auto"/>
        <w:bottom w:val="none" w:sz="0" w:space="0" w:color="auto"/>
        <w:right w:val="none" w:sz="0" w:space="0" w:color="auto"/>
      </w:divBdr>
    </w:div>
    <w:div w:id="597494290">
      <w:bodyDiv w:val="1"/>
      <w:marLeft w:val="0"/>
      <w:marRight w:val="0"/>
      <w:marTop w:val="0"/>
      <w:marBottom w:val="0"/>
      <w:divBdr>
        <w:top w:val="none" w:sz="0" w:space="0" w:color="auto"/>
        <w:left w:val="none" w:sz="0" w:space="0" w:color="auto"/>
        <w:bottom w:val="none" w:sz="0" w:space="0" w:color="auto"/>
        <w:right w:val="none" w:sz="0" w:space="0" w:color="auto"/>
      </w:divBdr>
    </w:div>
    <w:div w:id="636960027">
      <w:bodyDiv w:val="1"/>
      <w:marLeft w:val="0"/>
      <w:marRight w:val="0"/>
      <w:marTop w:val="0"/>
      <w:marBottom w:val="0"/>
      <w:divBdr>
        <w:top w:val="none" w:sz="0" w:space="0" w:color="auto"/>
        <w:left w:val="none" w:sz="0" w:space="0" w:color="auto"/>
        <w:bottom w:val="none" w:sz="0" w:space="0" w:color="auto"/>
        <w:right w:val="none" w:sz="0" w:space="0" w:color="auto"/>
      </w:divBdr>
    </w:div>
    <w:div w:id="722172263">
      <w:bodyDiv w:val="1"/>
      <w:marLeft w:val="0"/>
      <w:marRight w:val="0"/>
      <w:marTop w:val="0"/>
      <w:marBottom w:val="0"/>
      <w:divBdr>
        <w:top w:val="none" w:sz="0" w:space="0" w:color="auto"/>
        <w:left w:val="none" w:sz="0" w:space="0" w:color="auto"/>
        <w:bottom w:val="none" w:sz="0" w:space="0" w:color="auto"/>
        <w:right w:val="none" w:sz="0" w:space="0" w:color="auto"/>
      </w:divBdr>
    </w:div>
    <w:div w:id="1035697624">
      <w:bodyDiv w:val="1"/>
      <w:marLeft w:val="0"/>
      <w:marRight w:val="0"/>
      <w:marTop w:val="0"/>
      <w:marBottom w:val="0"/>
      <w:divBdr>
        <w:top w:val="none" w:sz="0" w:space="0" w:color="auto"/>
        <w:left w:val="none" w:sz="0" w:space="0" w:color="auto"/>
        <w:bottom w:val="none" w:sz="0" w:space="0" w:color="auto"/>
        <w:right w:val="none" w:sz="0" w:space="0" w:color="auto"/>
      </w:divBdr>
    </w:div>
    <w:div w:id="1216744541">
      <w:bodyDiv w:val="1"/>
      <w:marLeft w:val="0"/>
      <w:marRight w:val="0"/>
      <w:marTop w:val="0"/>
      <w:marBottom w:val="0"/>
      <w:divBdr>
        <w:top w:val="none" w:sz="0" w:space="0" w:color="auto"/>
        <w:left w:val="none" w:sz="0" w:space="0" w:color="auto"/>
        <w:bottom w:val="none" w:sz="0" w:space="0" w:color="auto"/>
        <w:right w:val="none" w:sz="0" w:space="0" w:color="auto"/>
      </w:divBdr>
    </w:div>
    <w:div w:id="1351448057">
      <w:bodyDiv w:val="1"/>
      <w:marLeft w:val="0"/>
      <w:marRight w:val="0"/>
      <w:marTop w:val="0"/>
      <w:marBottom w:val="0"/>
      <w:divBdr>
        <w:top w:val="none" w:sz="0" w:space="0" w:color="auto"/>
        <w:left w:val="none" w:sz="0" w:space="0" w:color="auto"/>
        <w:bottom w:val="none" w:sz="0" w:space="0" w:color="auto"/>
        <w:right w:val="none" w:sz="0" w:space="0" w:color="auto"/>
      </w:divBdr>
    </w:div>
    <w:div w:id="1741558082">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971587598">
      <w:bodyDiv w:val="1"/>
      <w:marLeft w:val="0"/>
      <w:marRight w:val="0"/>
      <w:marTop w:val="0"/>
      <w:marBottom w:val="0"/>
      <w:divBdr>
        <w:top w:val="none" w:sz="0" w:space="0" w:color="auto"/>
        <w:left w:val="none" w:sz="0" w:space="0" w:color="auto"/>
        <w:bottom w:val="none" w:sz="0" w:space="0" w:color="auto"/>
        <w:right w:val="none" w:sz="0" w:space="0" w:color="auto"/>
      </w:divBdr>
      <w:divsChild>
        <w:div w:id="352728724">
          <w:marLeft w:val="0"/>
          <w:marRight w:val="0"/>
          <w:marTop w:val="0"/>
          <w:marBottom w:val="0"/>
          <w:divBdr>
            <w:top w:val="none" w:sz="0" w:space="0" w:color="auto"/>
            <w:left w:val="none" w:sz="0" w:space="0" w:color="auto"/>
            <w:bottom w:val="none" w:sz="0" w:space="0" w:color="auto"/>
            <w:right w:val="none" w:sz="0" w:space="0" w:color="auto"/>
          </w:divBdr>
          <w:divsChild>
            <w:div w:id="705913797">
              <w:marLeft w:val="60"/>
              <w:marRight w:val="0"/>
              <w:marTop w:val="0"/>
              <w:marBottom w:val="0"/>
              <w:divBdr>
                <w:top w:val="none" w:sz="0" w:space="0" w:color="auto"/>
                <w:left w:val="none" w:sz="0" w:space="0" w:color="auto"/>
                <w:bottom w:val="none" w:sz="0" w:space="0" w:color="auto"/>
                <w:right w:val="none" w:sz="0" w:space="0" w:color="auto"/>
              </w:divBdr>
              <w:divsChild>
                <w:div w:id="331955539">
                  <w:marLeft w:val="0"/>
                  <w:marRight w:val="0"/>
                  <w:marTop w:val="0"/>
                  <w:marBottom w:val="0"/>
                  <w:divBdr>
                    <w:top w:val="none" w:sz="0" w:space="0" w:color="auto"/>
                    <w:left w:val="none" w:sz="0" w:space="0" w:color="auto"/>
                    <w:bottom w:val="none" w:sz="0" w:space="0" w:color="auto"/>
                    <w:right w:val="none" w:sz="0" w:space="0" w:color="auto"/>
                  </w:divBdr>
                  <w:divsChild>
                    <w:div w:id="675494967">
                      <w:marLeft w:val="0"/>
                      <w:marRight w:val="0"/>
                      <w:marTop w:val="0"/>
                      <w:marBottom w:val="120"/>
                      <w:divBdr>
                        <w:top w:val="single" w:sz="6" w:space="0" w:color="F5F5F5"/>
                        <w:left w:val="single" w:sz="6" w:space="0" w:color="F5F5F5"/>
                        <w:bottom w:val="single" w:sz="6" w:space="0" w:color="F5F5F5"/>
                        <w:right w:val="single" w:sz="6" w:space="0" w:color="F5F5F5"/>
                      </w:divBdr>
                      <w:divsChild>
                        <w:div w:id="889072327">
                          <w:marLeft w:val="0"/>
                          <w:marRight w:val="0"/>
                          <w:marTop w:val="0"/>
                          <w:marBottom w:val="0"/>
                          <w:divBdr>
                            <w:top w:val="none" w:sz="0" w:space="0" w:color="auto"/>
                            <w:left w:val="none" w:sz="0" w:space="0" w:color="auto"/>
                            <w:bottom w:val="none" w:sz="0" w:space="0" w:color="auto"/>
                            <w:right w:val="none" w:sz="0" w:space="0" w:color="auto"/>
                          </w:divBdr>
                          <w:divsChild>
                            <w:div w:id="128981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058033">
          <w:marLeft w:val="0"/>
          <w:marRight w:val="0"/>
          <w:marTop w:val="0"/>
          <w:marBottom w:val="0"/>
          <w:divBdr>
            <w:top w:val="none" w:sz="0" w:space="0" w:color="auto"/>
            <w:left w:val="none" w:sz="0" w:space="0" w:color="auto"/>
            <w:bottom w:val="none" w:sz="0" w:space="0" w:color="auto"/>
            <w:right w:val="none" w:sz="0" w:space="0" w:color="auto"/>
          </w:divBdr>
          <w:divsChild>
            <w:div w:id="1056591856">
              <w:marLeft w:val="0"/>
              <w:marRight w:val="60"/>
              <w:marTop w:val="0"/>
              <w:marBottom w:val="0"/>
              <w:divBdr>
                <w:top w:val="none" w:sz="0" w:space="0" w:color="auto"/>
                <w:left w:val="none" w:sz="0" w:space="0" w:color="auto"/>
                <w:bottom w:val="none" w:sz="0" w:space="0" w:color="auto"/>
                <w:right w:val="none" w:sz="0" w:space="0" w:color="auto"/>
              </w:divBdr>
              <w:divsChild>
                <w:div w:id="1369186745">
                  <w:marLeft w:val="0"/>
                  <w:marRight w:val="0"/>
                  <w:marTop w:val="0"/>
                  <w:marBottom w:val="120"/>
                  <w:divBdr>
                    <w:top w:val="single" w:sz="6" w:space="0" w:color="C0C0C0"/>
                    <w:left w:val="single" w:sz="6" w:space="0" w:color="D9D9D9"/>
                    <w:bottom w:val="single" w:sz="6" w:space="0" w:color="D9D9D9"/>
                    <w:right w:val="single" w:sz="6" w:space="0" w:color="D9D9D9"/>
                  </w:divBdr>
                  <w:divsChild>
                    <w:div w:id="355885312">
                      <w:marLeft w:val="0"/>
                      <w:marRight w:val="0"/>
                      <w:marTop w:val="0"/>
                      <w:marBottom w:val="0"/>
                      <w:divBdr>
                        <w:top w:val="none" w:sz="0" w:space="0" w:color="auto"/>
                        <w:left w:val="none" w:sz="0" w:space="0" w:color="auto"/>
                        <w:bottom w:val="none" w:sz="0" w:space="0" w:color="auto"/>
                        <w:right w:val="none" w:sz="0" w:space="0" w:color="auto"/>
                      </w:divBdr>
                    </w:div>
                    <w:div w:id="140479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Kör11</b:Tag>
    <b:SourceType>JournalArticle</b:SourceType>
    <b:Guid>{2FBE688F-9A5F-4F08-AA0E-847160B4AB4C}</b:Guid>
    <b:Title>A definition of mountains and their bioclimatic belts for global comparisons of biodiversity data</b:Title>
    <b:Year>2011</b:Year>
    <b:JournalName>Alpine Botany</b:JournalName>
    <b:Pages>73-78</b:Pages>
    <b:Author>
      <b:Author>
        <b:NameList>
          <b:Person>
            <b:Last>Körner</b:Last>
            <b:First>C</b:First>
          </b:Person>
          <b:Person>
            <b:Last>Paulsen</b:Last>
            <b:First>J</b:First>
          </b:Person>
          <b:Person>
            <b:Last>Spehn</b:Last>
            <b:First>E</b:First>
          </b:Person>
        </b:NameList>
      </b:Author>
    </b:Author>
    <b:Volume>121</b:Volume>
    <b:RefOrder>1</b:RefOrder>
  </b:Source>
  <b:Source>
    <b:Tag>Kar17</b:Tag>
    <b:SourceType>JournalArticle</b:SourceType>
    <b:Guid>{7F94D59D-5175-4E7D-8F19-C328D6CF294C}</b:Guid>
    <b:Title>Modeling global Hammond landform regions from 250-m elevation data</b:Title>
    <b:JournalName>Transactions in GIS</b:JournalName>
    <b:Year>2017</b:Year>
    <b:Author>
      <b:Author>
        <b:NameList>
          <b:Person>
            <b:Last>Karagulle</b:Last>
            <b:First>D</b:First>
          </b:Person>
          <b:Person>
            <b:Last>Frye</b:Last>
            <b:First>C</b:First>
          </b:Person>
          <b:Person>
            <b:Last>Breyer</b:Last>
            <b:First>S</b:First>
          </b:Person>
          <b:Person>
            <b:Last>Aniello</b:Last>
            <b:First>P</b:First>
          </b:Person>
          <b:Person>
            <b:Last>Vaughan</b:Last>
            <b:First>R</b:First>
          </b:Person>
          <b:Person>
            <b:Last>Wright</b:Last>
            <b:First>D</b:First>
          </b:Person>
        </b:NameList>
      </b:Author>
    </b:Author>
    <b:DOI>10.1111/tgis.12265</b:DOI>
    <b:RefOrder>2</b:RefOrder>
  </b:Source>
  <b:Source>
    <b:Tag>Kap00</b:Tag>
    <b:SourceType>BookSection</b:SourceType>
    <b:Guid>{0E82D813-1613-4646-8646-F951054E0ADE}</b:Guid>
    <b:Title>Developing a map of the world’s mountain forests</b:Title>
    <b:BookTitle>Forests in Sustainable Mountain Development: A State-of-Knowledge Report for 2000</b:BookTitle>
    <b:Year>2000</b:Year>
    <b:Pages>4-9</b:Pages>
    <b:City>Wallingford</b:City>
    <b:Publisher>CAB International</b:Publisher>
    <b:Author>
      <b:Author>
        <b:NameList>
          <b:Person>
            <b:Last>Kapos</b:Last>
            <b:First>V</b:First>
          </b:Person>
          <b:Person>
            <b:Last>Rhind</b:Last>
            <b:First>J</b:First>
          </b:Person>
          <b:Person>
            <b:Last>Edwards</b:Last>
            <b:First>M</b:First>
          </b:Person>
          <b:Person>
            <b:Last>Prince</b:Last>
            <b:First>M</b:First>
          </b:Person>
          <b:Person>
            <b:Last>Ravillous</b:Last>
            <b:First>C</b:First>
          </b:Person>
        </b:NameList>
      </b:Author>
      <b:Editor>
        <b:NameList>
          <b:Person>
            <b:Last>Price </b:Last>
            <b:Middle>F</b:Middle>
            <b:First>M</b:First>
          </b:Person>
          <b:Person>
            <b:Last>Butt</b:Last>
            <b:First>N</b:First>
          </b:Person>
        </b:NameList>
      </b:Editor>
    </b:Author>
    <b:RefOrder>3</b:RefOrder>
  </b:Source>
  <b:Source>
    <b:Tag>San15</b:Tag>
    <b:SourceType>Report</b:SourceType>
    <b:Guid>{639A3C4F-6C15-4A31-9560-CC7D7EB0506C}</b:Guid>
    <b:Title>Land Cover CCI PRODUCT USER GUIDE VERSION 2.0</b:Title>
    <b:Year>2015</b:Year>
    <b:URL>http://maps.elie.ucl.ac.be/CCI/viewer/download/ESACCI-LC-Ph2-PUGv2_2.0.pdf</b:URL>
    <b:Publisher>European Spatial Agency</b:Publisher>
    <b:Author>
      <b:Author>
        <b:NameList>
          <b:Person>
            <b:Last>Santoro</b:Last>
            <b:First>M.</b:First>
          </b:Person>
          <b:Person>
            <b:Last>Kirches</b:Last>
            <b:First>G.</b:First>
          </b:Person>
          <b:Person>
            <b:Last>Wevers</b:Last>
            <b:First>J.</b:First>
          </b:Person>
          <b:Person>
            <b:Last>Boettcher</b:Last>
            <b:First>M.</b:First>
          </b:Person>
          <b:Person>
            <b:Last>Brockmann</b:Last>
            <b:First>C.</b:First>
          </b:Person>
          <b:Person>
            <b:Last>Lamarche</b:Last>
            <b:First>C.</b:First>
          </b:Person>
          <b:Person>
            <b:Last>Bontemps</b:Last>
            <b:First>S.</b:First>
          </b:Person>
          <b:Person>
            <b:Last>Moreau</b:Last>
            <b:First>I.</b:First>
          </b:Person>
          <b:Person>
            <b:Last>Defourny</b:Last>
            <b:First>P.</b:First>
          </b:Person>
        </b:NameList>
      </b:Author>
    </b:Author>
    <b:Institution>European Spatial Agency</b:Institution>
    <b:Pages>26-27</b:Pages>
    <b:ThesisType>USER GUIDE</b:ThesisType>
    <b:RefOrder>5</b:RefOrder>
  </b:Source>
  <b:Source>
    <b:Tag>Eur191</b:Tag>
    <b:SourceType>InternetSite</b:SourceType>
    <b:Guid>{13C10E66-0D3F-4FEC-BA42-2A47076ED030}</b:Guid>
    <b:Author>
      <b:Author>
        <b:Corporate>Eurostats</b:Corporate>
      </b:Author>
    </b:Author>
    <b:Title>LUCAS Grid</b:Title>
    <b:InternetSiteTitle>Eurostat Your Key to European statistcs</b:InternetSiteTitle>
    <b:Year>2019</b:Year>
    <b:URL>https://ec.europa.eu/eurostat/web/lucas/data/lucas-grid</b:URL>
    <b:RefOrder>4</b:RefOrder>
  </b:Source>
</b:Sources>
</file>

<file path=customXml/itemProps1.xml><?xml version="1.0" encoding="utf-8"?>
<ds:datastoreItem xmlns:ds="http://schemas.openxmlformats.org/officeDocument/2006/customXml" ds:itemID="{E2EE57D2-686A-485D-8A18-30B02CAA2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2830</Words>
  <Characters>16137</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Rosstat</Company>
  <LinksUpToDate>false</LinksUpToDate>
  <CharactersWithSpaces>18930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БойкоТатьяна Евгеньевна</dc:creator>
  <cp:lastModifiedBy>a.abraeva</cp:lastModifiedBy>
  <cp:revision>2</cp:revision>
  <dcterms:created xsi:type="dcterms:W3CDTF">2023-02-02T04:42:00Z</dcterms:created>
  <dcterms:modified xsi:type="dcterms:W3CDTF">2023-02-02T04:42:00Z</dcterms:modified>
</cp:coreProperties>
</file>