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3BC" w:rsidRPr="00BD29EC" w:rsidRDefault="003143BC" w:rsidP="00853C09">
      <w:pPr>
        <w:pBdr>
          <w:top w:val="nil"/>
          <w:left w:val="nil"/>
          <w:bottom w:val="nil"/>
          <w:right w:val="nil"/>
          <w:between w:val="nil"/>
          <w:bar w:val="nil"/>
        </w:pBdr>
        <w:spacing w:after="0"/>
        <w:jc w:val="center"/>
        <w:rPr>
          <w:rFonts w:eastAsia="Arial Unicode MS"/>
          <w:b/>
          <w:szCs w:val="24"/>
          <w:bdr w:val="nil"/>
          <w:lang w:eastAsia="ru-RU"/>
        </w:rPr>
      </w:pPr>
    </w:p>
    <w:p w:rsidR="003143BC" w:rsidRPr="00BD29EC" w:rsidRDefault="003143BC" w:rsidP="00853C09">
      <w:pPr>
        <w:pBdr>
          <w:top w:val="nil"/>
          <w:left w:val="nil"/>
          <w:bottom w:val="nil"/>
          <w:right w:val="nil"/>
          <w:between w:val="nil"/>
          <w:bar w:val="nil"/>
        </w:pBdr>
        <w:spacing w:after="0" w:line="360" w:lineRule="auto"/>
        <w:jc w:val="center"/>
        <w:rPr>
          <w:rFonts w:eastAsia="Arial Unicode MS"/>
          <w:b/>
          <w:szCs w:val="24"/>
          <w:bdr w:val="nil"/>
          <w:lang w:eastAsia="ru-RU"/>
        </w:rPr>
      </w:pPr>
      <w:r w:rsidRPr="00BD29EC">
        <w:rPr>
          <w:rFonts w:eastAsia="Arial Unicode MS"/>
          <w:b/>
          <w:szCs w:val="24"/>
          <w:bdr w:val="nil"/>
          <w:lang w:eastAsia="ru-RU"/>
        </w:rPr>
        <w:t>Метаданные показателя ЦУР</w:t>
      </w:r>
    </w:p>
    <w:p w:rsidR="003143BC" w:rsidRPr="00BD29EC" w:rsidRDefault="003143BC" w:rsidP="00853C09">
      <w:pPr>
        <w:pBdr>
          <w:top w:val="nil"/>
          <w:left w:val="nil"/>
          <w:bottom w:val="nil"/>
          <w:right w:val="nil"/>
          <w:between w:val="nil"/>
          <w:bar w:val="nil"/>
        </w:pBdr>
        <w:spacing w:after="0" w:line="360" w:lineRule="auto"/>
        <w:jc w:val="center"/>
        <w:rPr>
          <w:rFonts w:eastAsia="Arial Unicode MS"/>
          <w:b/>
          <w:szCs w:val="24"/>
          <w:bdr w:val="nil"/>
          <w:lang w:eastAsia="ru-RU"/>
        </w:rPr>
      </w:pPr>
      <w:r w:rsidRPr="00BD29EC">
        <w:rPr>
          <w:rFonts w:eastAsia="Arial Unicode MS"/>
          <w:b/>
          <w:szCs w:val="24"/>
          <w:bdr w:val="nil"/>
          <w:lang w:eastAsia="ru-RU"/>
        </w:rPr>
        <w:t>(Гармонизированный шаблон метаданных - версия формата 1.0)</w:t>
      </w:r>
    </w:p>
    <w:p w:rsidR="003143BC" w:rsidRPr="00BD29EC" w:rsidRDefault="003143BC" w:rsidP="00853C09">
      <w:pPr>
        <w:pStyle w:val="ab"/>
        <w:numPr>
          <w:ilvl w:val="0"/>
          <w:numId w:val="3"/>
        </w:numPr>
        <w:pBdr>
          <w:top w:val="nil"/>
          <w:left w:val="nil"/>
          <w:bottom w:val="nil"/>
          <w:right w:val="nil"/>
          <w:between w:val="nil"/>
          <w:bar w:val="nil"/>
        </w:pBdr>
        <w:tabs>
          <w:tab w:val="left" w:pos="284"/>
        </w:tabs>
        <w:spacing w:after="0"/>
        <w:ind w:left="0" w:firstLine="0"/>
        <w:rPr>
          <w:rFonts w:eastAsia="Arial Unicode MS"/>
          <w:b/>
          <w:szCs w:val="24"/>
          <w:bdr w:val="nil"/>
          <w:lang w:eastAsia="ru-RU"/>
        </w:rPr>
      </w:pPr>
      <w:r w:rsidRPr="00BD29EC">
        <w:rPr>
          <w:rFonts w:eastAsia="Arial Unicode MS"/>
          <w:b/>
          <w:szCs w:val="24"/>
          <w:bdr w:val="nil"/>
          <w:lang w:eastAsia="ru-RU"/>
        </w:rPr>
        <w:t xml:space="preserve">Информация о показателе </w:t>
      </w:r>
    </w:p>
    <w:p w:rsidR="003143BC" w:rsidRPr="00BD29EC" w:rsidRDefault="003143BC" w:rsidP="00853C09">
      <w:pPr>
        <w:pBdr>
          <w:top w:val="nil"/>
          <w:left w:val="nil"/>
          <w:bottom w:val="nil"/>
          <w:right w:val="nil"/>
          <w:between w:val="nil"/>
          <w:bar w:val="nil"/>
        </w:pBdr>
        <w:tabs>
          <w:tab w:val="left" w:pos="284"/>
        </w:tabs>
        <w:spacing w:after="0"/>
        <w:rPr>
          <w:rFonts w:eastAsia="Arial Unicode MS"/>
          <w:b/>
          <w:szCs w:val="24"/>
          <w:bdr w:val="nil"/>
          <w:lang w:eastAsia="ru-RU"/>
        </w:rPr>
      </w:pPr>
      <w:r w:rsidRPr="00BD29EC">
        <w:rPr>
          <w:rFonts w:eastAsia="Arial Unicode MS"/>
          <w:b/>
          <w:szCs w:val="24"/>
          <w:bdr w:val="nil"/>
          <w:lang w:eastAsia="ru-RU"/>
        </w:rPr>
        <w:t>0.</w:t>
      </w:r>
      <w:r w:rsidRPr="00BD29EC">
        <w:rPr>
          <w:rFonts w:eastAsia="Arial Unicode MS"/>
          <w:b/>
          <w:szCs w:val="24"/>
          <w:bdr w:val="nil"/>
          <w:lang w:val="en-US" w:eastAsia="ru-RU"/>
        </w:rPr>
        <w:t>a</w:t>
      </w:r>
      <w:r w:rsidRPr="00BD29EC">
        <w:rPr>
          <w:rFonts w:eastAsia="Arial Unicode MS"/>
          <w:b/>
          <w:szCs w:val="24"/>
          <w:bdr w:val="nil"/>
          <w:lang w:eastAsia="ru-RU"/>
        </w:rPr>
        <w:t>. Цель</w:t>
      </w:r>
    </w:p>
    <w:p w:rsidR="00780F08" w:rsidRPr="004344AC" w:rsidRDefault="003859BD" w:rsidP="00853C09">
      <w:pPr>
        <w:pBdr>
          <w:top w:val="nil"/>
          <w:left w:val="nil"/>
          <w:bottom w:val="nil"/>
          <w:right w:val="nil"/>
          <w:between w:val="nil"/>
          <w:bar w:val="nil"/>
        </w:pBdr>
        <w:spacing w:after="0"/>
      </w:pPr>
      <w:r>
        <w:rPr>
          <w:rFonts w:eastAsia="Arial Unicode MS"/>
          <w:szCs w:val="24"/>
          <w:bdr w:val="nil"/>
          <w:lang w:eastAsia="ru-RU"/>
        </w:rPr>
        <w:t xml:space="preserve">Цель </w:t>
      </w:r>
      <w:r w:rsidR="004D2413">
        <w:rPr>
          <w:rFonts w:eastAsia="Arial Unicode MS"/>
          <w:szCs w:val="24"/>
          <w:bdr w:val="nil"/>
          <w:lang w:eastAsia="ru-RU"/>
        </w:rPr>
        <w:t>1</w:t>
      </w:r>
      <w:r w:rsidR="003B3294">
        <w:rPr>
          <w:rFonts w:eastAsia="Arial Unicode MS"/>
          <w:szCs w:val="24"/>
          <w:bdr w:val="nil"/>
          <w:lang w:eastAsia="ru-RU"/>
        </w:rPr>
        <w:t>7</w:t>
      </w:r>
      <w:r w:rsidR="00780F08" w:rsidRPr="00BD29EC">
        <w:rPr>
          <w:rFonts w:eastAsia="Arial Unicode MS"/>
          <w:szCs w:val="24"/>
          <w:bdr w:val="nil"/>
          <w:lang w:eastAsia="ru-RU"/>
        </w:rPr>
        <w:t xml:space="preserve">: </w:t>
      </w:r>
      <w:r w:rsidR="003B3294" w:rsidRPr="003B3294">
        <w:t>Укрепление средств осуществления и активизация работы в рамках Глобального партнерства в интересах устойчивого развития</w:t>
      </w:r>
      <w:r w:rsidR="00107A08">
        <w:t>.</w:t>
      </w:r>
    </w:p>
    <w:p w:rsidR="003143BC" w:rsidRPr="00BD29EC" w:rsidRDefault="003143BC" w:rsidP="00853C09">
      <w:pPr>
        <w:pBdr>
          <w:top w:val="nil"/>
          <w:left w:val="nil"/>
          <w:bottom w:val="nil"/>
          <w:right w:val="nil"/>
          <w:between w:val="nil"/>
          <w:bar w:val="nil"/>
        </w:pBdr>
        <w:tabs>
          <w:tab w:val="left" w:pos="284"/>
        </w:tabs>
        <w:spacing w:after="0"/>
        <w:rPr>
          <w:rFonts w:eastAsia="Arial Unicode MS"/>
          <w:b/>
          <w:szCs w:val="24"/>
          <w:bdr w:val="nil"/>
          <w:lang w:eastAsia="ru-RU"/>
        </w:rPr>
      </w:pPr>
      <w:r w:rsidRPr="00BD29EC">
        <w:rPr>
          <w:rFonts w:eastAsia="Arial Unicode MS"/>
          <w:b/>
          <w:szCs w:val="24"/>
          <w:bdr w:val="nil"/>
          <w:lang w:eastAsia="ru-RU"/>
        </w:rPr>
        <w:t>0.</w:t>
      </w:r>
      <w:r w:rsidRPr="00BD29EC">
        <w:rPr>
          <w:rFonts w:eastAsia="Arial Unicode MS"/>
          <w:b/>
          <w:szCs w:val="24"/>
          <w:bdr w:val="nil"/>
          <w:lang w:val="en-US" w:eastAsia="ru-RU"/>
        </w:rPr>
        <w:t>b</w:t>
      </w:r>
      <w:r w:rsidRPr="00BD29EC">
        <w:rPr>
          <w:rFonts w:eastAsia="Arial Unicode MS"/>
          <w:b/>
          <w:szCs w:val="24"/>
          <w:bdr w:val="nil"/>
          <w:lang w:eastAsia="ru-RU"/>
        </w:rPr>
        <w:t>. Задача</w:t>
      </w:r>
    </w:p>
    <w:p w:rsidR="00781DE7" w:rsidRDefault="00E559F9" w:rsidP="004430D2">
      <w:pPr>
        <w:rPr>
          <w:szCs w:val="24"/>
        </w:rPr>
      </w:pPr>
      <w:r>
        <w:rPr>
          <w:szCs w:val="24"/>
        </w:rPr>
        <w:t>1</w:t>
      </w:r>
      <w:r w:rsidR="003B3294">
        <w:rPr>
          <w:szCs w:val="24"/>
        </w:rPr>
        <w:t>7</w:t>
      </w:r>
      <w:r w:rsidR="00780F08" w:rsidRPr="00BD29EC">
        <w:rPr>
          <w:szCs w:val="24"/>
        </w:rPr>
        <w:t>.</w:t>
      </w:r>
      <w:r w:rsidR="00A31474">
        <w:rPr>
          <w:szCs w:val="24"/>
        </w:rPr>
        <w:t>17</w:t>
      </w:r>
      <w:r w:rsidR="00780F08" w:rsidRPr="00BD29EC">
        <w:rPr>
          <w:szCs w:val="24"/>
        </w:rPr>
        <w:t xml:space="preserve">. </w:t>
      </w:r>
      <w:r w:rsidR="004430D2">
        <w:t>Стимулировать и поощрять эффективное партнерство между государственными организациями, между государственным и частным секторами и между организациями гражданского общества, опираясь на опыт и стратегии использования ресурсов партнеров.</w:t>
      </w:r>
    </w:p>
    <w:p w:rsidR="003143BC" w:rsidRPr="00BD29EC" w:rsidRDefault="003143BC" w:rsidP="00781DE7">
      <w:pPr>
        <w:pBdr>
          <w:top w:val="nil"/>
          <w:left w:val="nil"/>
          <w:bottom w:val="nil"/>
          <w:right w:val="nil"/>
          <w:between w:val="nil"/>
          <w:bar w:val="nil"/>
        </w:pBdr>
        <w:spacing w:after="0"/>
        <w:rPr>
          <w:rFonts w:eastAsia="Arial Unicode MS"/>
          <w:b/>
          <w:szCs w:val="24"/>
          <w:bdr w:val="nil"/>
          <w:lang w:eastAsia="ru-RU"/>
        </w:rPr>
      </w:pPr>
      <w:r w:rsidRPr="00BD29EC">
        <w:rPr>
          <w:rFonts w:eastAsia="Arial Unicode MS"/>
          <w:b/>
          <w:szCs w:val="24"/>
          <w:bdr w:val="nil"/>
          <w:lang w:eastAsia="ru-RU"/>
        </w:rPr>
        <w:t>0.с. Показатель</w:t>
      </w:r>
    </w:p>
    <w:p w:rsidR="00780F08" w:rsidRPr="00BD29EC" w:rsidRDefault="003143BC" w:rsidP="004430D2">
      <w:r w:rsidRPr="00BD29EC">
        <w:t xml:space="preserve">Показатель </w:t>
      </w:r>
      <w:r w:rsidR="00741A39">
        <w:t>1</w:t>
      </w:r>
      <w:r w:rsidR="003B3294">
        <w:t>7</w:t>
      </w:r>
      <w:r w:rsidR="00780F08" w:rsidRPr="00BD29EC">
        <w:t>.</w:t>
      </w:r>
      <w:r w:rsidR="00A31474">
        <w:t>17</w:t>
      </w:r>
      <w:r w:rsidR="002064C4">
        <w:t>.</w:t>
      </w:r>
      <w:r w:rsidR="00B80FC8">
        <w:t>1</w:t>
      </w:r>
      <w:r w:rsidR="00C95AB2">
        <w:t>.</w:t>
      </w:r>
      <w:r w:rsidR="004430D2">
        <w:rPr>
          <w:shd w:val="clear" w:color="auto" w:fill="FFFFFF"/>
        </w:rPr>
        <w:t>Сумма (в долларах США), выделяемая на государственно-частные партнерства в области инфраструктуры.</w:t>
      </w:r>
    </w:p>
    <w:p w:rsidR="003143BC" w:rsidRDefault="003143BC" w:rsidP="00853C09">
      <w:pPr>
        <w:pBdr>
          <w:top w:val="nil"/>
          <w:left w:val="nil"/>
          <w:bottom w:val="nil"/>
          <w:right w:val="nil"/>
          <w:between w:val="nil"/>
          <w:bar w:val="nil"/>
        </w:pBdr>
        <w:tabs>
          <w:tab w:val="left" w:pos="284"/>
        </w:tabs>
        <w:spacing w:after="0"/>
        <w:rPr>
          <w:rFonts w:eastAsia="Arial Unicode MS"/>
          <w:b/>
          <w:szCs w:val="24"/>
          <w:bdr w:val="nil"/>
          <w:lang w:eastAsia="ru-RU"/>
        </w:rPr>
      </w:pPr>
      <w:r w:rsidRPr="00BD29EC">
        <w:rPr>
          <w:rFonts w:eastAsia="Arial Unicode MS"/>
          <w:b/>
          <w:szCs w:val="24"/>
          <w:bdr w:val="nil"/>
          <w:lang w:eastAsia="ru-RU"/>
        </w:rPr>
        <w:t>0.</w:t>
      </w:r>
      <w:r w:rsidRPr="00BD29EC">
        <w:rPr>
          <w:rFonts w:eastAsia="Arial Unicode MS"/>
          <w:b/>
          <w:szCs w:val="24"/>
          <w:bdr w:val="nil"/>
          <w:lang w:val="en-US" w:eastAsia="ru-RU"/>
        </w:rPr>
        <w:t>d</w:t>
      </w:r>
      <w:r w:rsidRPr="00BD29EC">
        <w:rPr>
          <w:rFonts w:eastAsia="Arial Unicode MS"/>
          <w:b/>
          <w:szCs w:val="24"/>
          <w:bdr w:val="nil"/>
          <w:lang w:eastAsia="ru-RU"/>
        </w:rPr>
        <w:t xml:space="preserve">. </w:t>
      </w:r>
      <w:r w:rsidR="00291FA0">
        <w:rPr>
          <w:rFonts w:eastAsia="Arial Unicode MS"/>
          <w:b/>
          <w:szCs w:val="24"/>
          <w:bdr w:val="nil"/>
          <w:lang w:eastAsia="ru-RU"/>
        </w:rPr>
        <w:t>Ряд</w:t>
      </w:r>
    </w:p>
    <w:p w:rsidR="003A325C" w:rsidRDefault="003A325C" w:rsidP="00004BE3">
      <w:pPr>
        <w:pBdr>
          <w:top w:val="nil"/>
          <w:left w:val="nil"/>
          <w:bottom w:val="nil"/>
          <w:right w:val="nil"/>
          <w:between w:val="nil"/>
          <w:bar w:val="nil"/>
        </w:pBdr>
        <w:tabs>
          <w:tab w:val="left" w:pos="284"/>
        </w:tabs>
        <w:spacing w:after="0"/>
      </w:pPr>
    </w:p>
    <w:p w:rsidR="00004BE3" w:rsidRDefault="00C8596F" w:rsidP="00004BE3">
      <w:pPr>
        <w:pBdr>
          <w:top w:val="nil"/>
          <w:left w:val="nil"/>
          <w:bottom w:val="nil"/>
          <w:right w:val="nil"/>
          <w:between w:val="nil"/>
          <w:bar w:val="nil"/>
        </w:pBdr>
        <w:tabs>
          <w:tab w:val="left" w:pos="284"/>
        </w:tabs>
        <w:spacing w:after="0"/>
        <w:rPr>
          <w:rFonts w:eastAsia="Arial Unicode MS"/>
          <w:b/>
          <w:szCs w:val="24"/>
          <w:bdr w:val="nil"/>
          <w:lang w:eastAsia="ru-RU"/>
        </w:rPr>
      </w:pPr>
      <w:r w:rsidRPr="00BD29EC">
        <w:rPr>
          <w:rFonts w:eastAsia="Arial Unicode MS"/>
          <w:b/>
          <w:szCs w:val="24"/>
          <w:bdr w:val="nil"/>
          <w:lang w:eastAsia="ru-RU"/>
        </w:rPr>
        <w:t>0.</w:t>
      </w:r>
      <w:r w:rsidRPr="00BD29EC">
        <w:rPr>
          <w:rFonts w:eastAsia="Arial Unicode MS"/>
          <w:b/>
          <w:szCs w:val="24"/>
          <w:bdr w:val="nil"/>
          <w:lang w:val="en-US" w:eastAsia="ru-RU"/>
        </w:rPr>
        <w:t>e</w:t>
      </w:r>
      <w:r w:rsidR="004430D2">
        <w:rPr>
          <w:rFonts w:eastAsia="Arial Unicode MS"/>
          <w:b/>
          <w:szCs w:val="24"/>
          <w:bdr w:val="nil"/>
          <w:lang w:eastAsia="ru-RU"/>
        </w:rPr>
        <w:t>. Обновление данных</w:t>
      </w:r>
    </w:p>
    <w:p w:rsidR="004430D2" w:rsidRPr="004430D2" w:rsidRDefault="004430D2" w:rsidP="004430D2">
      <w:pPr>
        <w:rPr>
          <w:rFonts w:eastAsia="Times New Roman"/>
          <w:szCs w:val="21"/>
          <w:lang w:eastAsia="en-GB"/>
        </w:rPr>
      </w:pPr>
      <w:r>
        <w:t>2020-09-01</w:t>
      </w:r>
    </w:p>
    <w:p w:rsidR="00C8596F" w:rsidRDefault="00C8596F" w:rsidP="00853C09">
      <w:pPr>
        <w:pBdr>
          <w:top w:val="nil"/>
          <w:left w:val="nil"/>
          <w:bottom w:val="nil"/>
          <w:right w:val="nil"/>
          <w:between w:val="nil"/>
          <w:bar w:val="nil"/>
        </w:pBdr>
        <w:tabs>
          <w:tab w:val="left" w:pos="284"/>
        </w:tabs>
        <w:spacing w:after="0"/>
        <w:rPr>
          <w:rFonts w:eastAsia="Arial Unicode MS"/>
          <w:b/>
          <w:szCs w:val="24"/>
          <w:bdr w:val="nil"/>
          <w:lang w:eastAsia="ru-RU"/>
        </w:rPr>
      </w:pPr>
      <w:r w:rsidRPr="00DA19D7">
        <w:rPr>
          <w:rFonts w:eastAsia="Arial Unicode MS"/>
          <w:b/>
          <w:szCs w:val="24"/>
          <w:bdr w:val="nil"/>
          <w:lang w:eastAsia="ru-RU"/>
        </w:rPr>
        <w:t>0.</w:t>
      </w:r>
      <w:r w:rsidRPr="00BD29EC">
        <w:rPr>
          <w:rFonts w:eastAsia="Arial Unicode MS"/>
          <w:b/>
          <w:szCs w:val="24"/>
          <w:bdr w:val="nil"/>
          <w:lang w:val="en-US" w:eastAsia="ru-RU"/>
        </w:rPr>
        <w:t>f</w:t>
      </w:r>
      <w:r w:rsidRPr="00DA19D7">
        <w:rPr>
          <w:rFonts w:eastAsia="Arial Unicode MS"/>
          <w:b/>
          <w:szCs w:val="24"/>
          <w:bdr w:val="nil"/>
          <w:lang w:eastAsia="ru-RU"/>
        </w:rPr>
        <w:t xml:space="preserve">. </w:t>
      </w:r>
      <w:r w:rsidRPr="00BD29EC">
        <w:rPr>
          <w:rFonts w:eastAsia="Arial Unicode MS"/>
          <w:b/>
          <w:szCs w:val="24"/>
          <w:bdr w:val="nil"/>
          <w:lang w:eastAsia="ru-RU"/>
        </w:rPr>
        <w:t>Связанныепоказатели</w:t>
      </w:r>
    </w:p>
    <w:p w:rsidR="00A91FDE" w:rsidRDefault="00E33CA8" w:rsidP="0075371E">
      <w:pPr>
        <w:pBdr>
          <w:top w:val="nil"/>
          <w:left w:val="nil"/>
          <w:bottom w:val="nil"/>
          <w:right w:val="nil"/>
          <w:between w:val="nil"/>
          <w:bar w:val="nil"/>
        </w:pBdr>
        <w:tabs>
          <w:tab w:val="left" w:pos="284"/>
        </w:tabs>
        <w:spacing w:after="0"/>
        <w:rPr>
          <w:rFonts w:eastAsia="Arial Unicode MS"/>
          <w:b/>
          <w:szCs w:val="24"/>
          <w:bdr w:val="nil"/>
          <w:lang w:eastAsia="ru-RU"/>
        </w:rPr>
      </w:pPr>
      <w:r w:rsidRPr="00BD29EC">
        <w:rPr>
          <w:rFonts w:eastAsia="Arial Unicode MS"/>
          <w:b/>
          <w:szCs w:val="24"/>
          <w:bdr w:val="nil"/>
          <w:lang w:eastAsia="ru-RU"/>
        </w:rPr>
        <w:t>0.</w:t>
      </w:r>
      <w:r w:rsidRPr="00BD29EC">
        <w:rPr>
          <w:rFonts w:eastAsia="Arial Unicode MS"/>
          <w:b/>
          <w:szCs w:val="24"/>
          <w:bdr w:val="nil"/>
          <w:lang w:val="en-US" w:eastAsia="ru-RU"/>
        </w:rPr>
        <w:t>g</w:t>
      </w:r>
      <w:r w:rsidRPr="00BD29EC">
        <w:rPr>
          <w:rFonts w:eastAsia="Arial Unicode MS"/>
          <w:b/>
          <w:szCs w:val="24"/>
          <w:bdr w:val="nil"/>
          <w:lang w:eastAsia="ru-RU"/>
        </w:rPr>
        <w:t>. Международные организации, ответственные за глобальный мониторинг</w:t>
      </w:r>
    </w:p>
    <w:p w:rsidR="004430D2" w:rsidRDefault="004430D2" w:rsidP="004430D2">
      <w:pPr>
        <w:rPr>
          <w:bdr w:val="nil"/>
          <w:lang w:eastAsia="ru-RU"/>
        </w:rPr>
      </w:pPr>
      <w:r>
        <w:rPr>
          <w:bdr w:val="nil"/>
          <w:lang w:eastAsia="ru-RU"/>
        </w:rPr>
        <w:t>Всемирный банк.</w:t>
      </w:r>
    </w:p>
    <w:p w:rsidR="00957A62" w:rsidRPr="00BD29EC" w:rsidRDefault="00957A62" w:rsidP="0075371E">
      <w:pPr>
        <w:pStyle w:val="MHeader"/>
        <w:rPr>
          <w:b/>
          <w:color w:val="auto"/>
          <w:sz w:val="24"/>
          <w:szCs w:val="24"/>
          <w:lang w:val="ru-RU"/>
        </w:rPr>
      </w:pPr>
      <w:bookmarkStart w:id="0" w:name="_Toc37932744"/>
      <w:bookmarkStart w:id="1" w:name="_Toc36813072"/>
      <w:bookmarkStart w:id="2" w:name="_Toc36812685"/>
      <w:bookmarkStart w:id="3" w:name="_Toc36812572"/>
      <w:bookmarkStart w:id="4" w:name="_Toc36655609"/>
      <w:r w:rsidRPr="00BD29EC">
        <w:rPr>
          <w:b/>
          <w:color w:val="auto"/>
          <w:sz w:val="24"/>
          <w:szCs w:val="24"/>
          <w:lang w:val="ru-RU"/>
        </w:rPr>
        <w:t xml:space="preserve">1. </w:t>
      </w:r>
      <w:bookmarkEnd w:id="0"/>
      <w:bookmarkEnd w:id="1"/>
      <w:bookmarkEnd w:id="2"/>
      <w:bookmarkEnd w:id="3"/>
      <w:bookmarkEnd w:id="4"/>
      <w:r w:rsidR="00853C09" w:rsidRPr="00BD29EC">
        <w:rPr>
          <w:b/>
          <w:color w:val="auto"/>
          <w:sz w:val="24"/>
          <w:szCs w:val="24"/>
          <w:lang w:val="ru-RU"/>
        </w:rPr>
        <w:t xml:space="preserve">Данные представлены </w:t>
      </w:r>
    </w:p>
    <w:p w:rsidR="00957A62" w:rsidRDefault="00957A62" w:rsidP="0075371E">
      <w:pPr>
        <w:pStyle w:val="MHeader2"/>
        <w:rPr>
          <w:color w:val="auto"/>
          <w:sz w:val="24"/>
          <w:szCs w:val="24"/>
          <w:lang w:val="ru-RU"/>
        </w:rPr>
      </w:pPr>
      <w:r w:rsidRPr="00BD29EC">
        <w:rPr>
          <w:color w:val="auto"/>
          <w:sz w:val="24"/>
          <w:szCs w:val="24"/>
          <w:lang w:val="ru-RU"/>
        </w:rPr>
        <w:t>1.</w:t>
      </w:r>
      <w:r w:rsidRPr="00BD29EC">
        <w:rPr>
          <w:color w:val="auto"/>
          <w:sz w:val="24"/>
          <w:szCs w:val="24"/>
        </w:rPr>
        <w:t>a</w:t>
      </w:r>
      <w:r w:rsidRPr="00BD29EC">
        <w:rPr>
          <w:color w:val="auto"/>
          <w:sz w:val="24"/>
          <w:szCs w:val="24"/>
          <w:lang w:val="ru-RU"/>
        </w:rPr>
        <w:t>. Организация</w:t>
      </w:r>
    </w:p>
    <w:p w:rsidR="004430D2" w:rsidRPr="004430D2" w:rsidRDefault="004430D2" w:rsidP="004430D2">
      <w:pPr>
        <w:rPr>
          <w:bdr w:val="nil"/>
          <w:lang w:eastAsia="ru-RU"/>
        </w:rPr>
      </w:pPr>
      <w:r>
        <w:rPr>
          <w:bdr w:val="nil"/>
          <w:lang w:eastAsia="ru-RU"/>
        </w:rPr>
        <w:t>Всемирный банк.</w:t>
      </w:r>
    </w:p>
    <w:p w:rsidR="00957A62" w:rsidRPr="00BD29EC" w:rsidRDefault="00957A62" w:rsidP="0075371E">
      <w:pPr>
        <w:pStyle w:val="MHeader"/>
        <w:rPr>
          <w:b/>
          <w:color w:val="auto"/>
          <w:sz w:val="24"/>
          <w:szCs w:val="24"/>
          <w:lang w:val="ru-RU"/>
        </w:rPr>
      </w:pPr>
      <w:r w:rsidRPr="00BD29EC">
        <w:rPr>
          <w:b/>
          <w:color w:val="auto"/>
          <w:sz w:val="24"/>
          <w:szCs w:val="24"/>
          <w:lang w:val="ru-RU"/>
        </w:rPr>
        <w:t>2. Определения, концепции и классификации</w:t>
      </w:r>
    </w:p>
    <w:p w:rsidR="00957A62" w:rsidRDefault="00957A62" w:rsidP="0075371E">
      <w:pPr>
        <w:pStyle w:val="MHeader2"/>
        <w:rPr>
          <w:color w:val="auto"/>
          <w:sz w:val="24"/>
          <w:szCs w:val="24"/>
          <w:lang w:val="ru-RU"/>
        </w:rPr>
      </w:pPr>
      <w:r w:rsidRPr="00BD29EC">
        <w:rPr>
          <w:color w:val="auto"/>
          <w:sz w:val="24"/>
          <w:szCs w:val="24"/>
          <w:lang w:val="ru-RU"/>
        </w:rPr>
        <w:t>2.</w:t>
      </w:r>
      <w:r w:rsidRPr="00781DE7">
        <w:rPr>
          <w:color w:val="auto"/>
          <w:sz w:val="24"/>
          <w:szCs w:val="24"/>
          <w:lang w:val="ru-RU"/>
        </w:rPr>
        <w:t>a</w:t>
      </w:r>
      <w:r w:rsidRPr="00BD29EC">
        <w:rPr>
          <w:color w:val="auto"/>
          <w:sz w:val="24"/>
          <w:szCs w:val="24"/>
          <w:lang w:val="ru-RU"/>
        </w:rPr>
        <w:t xml:space="preserve">. Определения и концепции </w:t>
      </w:r>
    </w:p>
    <w:p w:rsidR="00DA19D7" w:rsidRDefault="00DA19D7" w:rsidP="004430D2">
      <w:r>
        <w:t>Определение:</w:t>
      </w:r>
    </w:p>
    <w:p w:rsidR="004430D2" w:rsidRDefault="004430D2" w:rsidP="004430D2">
      <w:pPr>
        <w:rPr>
          <w:i/>
        </w:rPr>
      </w:pPr>
      <w:r w:rsidRPr="004430D2">
        <w:t xml:space="preserve">Индикатор, основанный на данных ГВБ: </w:t>
      </w:r>
      <w:r w:rsidRPr="004430D2">
        <w:rPr>
          <w:i/>
        </w:rPr>
        <w:t>«Сумма долларов США, выделенная на государственно-частное партнерство в области инфраструктуры».</w:t>
      </w:r>
    </w:p>
    <w:p w:rsidR="004430D2" w:rsidRDefault="004430D2" w:rsidP="004430D2">
      <w:r w:rsidRPr="004430D2">
        <w:t>Показатель Группы Всемирного банка определяет термин «государственно-частное партнерство» (ГЧП) как «любое договорное соглашение между государственным органом или органом власти и частным лицом для предоставления государственных активов или услуг, в котором частная сторона несет значительный рис</w:t>
      </w:r>
      <w:r>
        <w:t>к и ответственность руководства</w:t>
      </w:r>
      <w:r w:rsidRPr="004430D2">
        <w:t>"</w:t>
      </w:r>
      <w:r>
        <w:t>.</w:t>
      </w:r>
    </w:p>
    <w:p w:rsidR="004430D2" w:rsidRDefault="004430D2" w:rsidP="004430D2">
      <w:r>
        <w:t>Под инфраструктурой понимается:</w:t>
      </w:r>
    </w:p>
    <w:p w:rsidR="004430D2" w:rsidRDefault="004430D2" w:rsidP="004430D2">
      <w:r>
        <w:t>• Энергетика: производство, передача и распределение электроэнергии, а также трубопроводы для передачи и распределения природного газа.</w:t>
      </w:r>
    </w:p>
    <w:p w:rsidR="004430D2" w:rsidRDefault="004430D2" w:rsidP="004430D2">
      <w:r>
        <w:lastRenderedPageBreak/>
        <w:t>• Информационно-коммуникационные технологии (ИКТ): магистральная инфраструктура ИКТ.</w:t>
      </w:r>
    </w:p>
    <w:p w:rsidR="004430D2" w:rsidRDefault="004430D2" w:rsidP="004430D2">
      <w:r>
        <w:t>• Транспорт: аэропорты, железные дороги, порты и автомобильные дороги.</w:t>
      </w:r>
    </w:p>
    <w:p w:rsidR="004430D2" w:rsidRDefault="004430D2" w:rsidP="004430D2">
      <w:r>
        <w:t>• Вода: очистка и распределение питьевой воды, а также сбор и очистка сточных вод.</w:t>
      </w:r>
    </w:p>
    <w:p w:rsidR="00DA19D7" w:rsidRDefault="003859BD" w:rsidP="004430D2">
      <w:r>
        <w:t>Основные понятия</w:t>
      </w:r>
    </w:p>
    <w:p w:rsidR="004430D2" w:rsidRPr="004430D2" w:rsidRDefault="004430D2" w:rsidP="004430D2">
      <w:r w:rsidRPr="004430D2">
        <w:t xml:space="preserve">ГЧП определяется как «любое договорное соглашение между государственным субъектом или органом власти и частным субъектом о предоставлении государственного актива или услуги, в котором частная сторона несет значительный риск и </w:t>
      </w:r>
      <w:r>
        <w:t>ответственность за управление».</w:t>
      </w:r>
    </w:p>
    <w:p w:rsidR="004430D2" w:rsidRPr="004430D2" w:rsidRDefault="004430D2" w:rsidP="004430D2">
      <w:r w:rsidRPr="004430D2">
        <w:t>Под инфраструктурой понимается:</w:t>
      </w:r>
    </w:p>
    <w:p w:rsidR="004430D2" w:rsidRPr="004430D2" w:rsidRDefault="004430D2" w:rsidP="004430D2">
      <w:r w:rsidRPr="004430D2">
        <w:t>• Энергетика: производство, передача и распределение электроэнергии, а также трубопроводы для передачи и распределения природного газа.</w:t>
      </w:r>
    </w:p>
    <w:p w:rsidR="004430D2" w:rsidRPr="004430D2" w:rsidRDefault="004430D2" w:rsidP="004430D2">
      <w:r w:rsidRPr="004430D2">
        <w:t>• Информационно-коммуникационные технологии (ИКТ): магистральная инфраструктура ИКТ.</w:t>
      </w:r>
    </w:p>
    <w:p w:rsidR="004430D2" w:rsidRPr="004430D2" w:rsidRDefault="004430D2" w:rsidP="004430D2">
      <w:r w:rsidRPr="004430D2">
        <w:t>• Транспорт: аэропорты, железные дороги, порты и автомобильные дороги.</w:t>
      </w:r>
    </w:p>
    <w:p w:rsidR="004430D2" w:rsidRPr="00DA19D7" w:rsidRDefault="004430D2" w:rsidP="004430D2">
      <w:r w:rsidRPr="004430D2">
        <w:t>• Вода: очистка и распределение питьевой воды, а также сбор и очистка сточных вод.</w:t>
      </w:r>
    </w:p>
    <w:p w:rsidR="00407E4E" w:rsidRPr="00BD29EC" w:rsidRDefault="00407E4E" w:rsidP="004430D2">
      <w:r w:rsidRPr="00BD29EC">
        <w:t xml:space="preserve">2.b. </w:t>
      </w:r>
      <w:r w:rsidRPr="00A71EC6">
        <w:rPr>
          <w:b/>
        </w:rPr>
        <w:t>Единица измерения</w:t>
      </w:r>
    </w:p>
    <w:p w:rsidR="00407E4E" w:rsidRPr="00BD29EC" w:rsidRDefault="00407E4E" w:rsidP="0075371E">
      <w:pPr>
        <w:pBdr>
          <w:top w:val="nil"/>
          <w:left w:val="nil"/>
          <w:bottom w:val="nil"/>
          <w:right w:val="nil"/>
          <w:between w:val="nil"/>
          <w:bar w:val="nil"/>
        </w:pBdr>
        <w:spacing w:after="0"/>
        <w:rPr>
          <w:szCs w:val="24"/>
        </w:rPr>
      </w:pPr>
    </w:p>
    <w:p w:rsidR="000A229E" w:rsidRPr="00BD29EC" w:rsidRDefault="000A229E" w:rsidP="0075371E">
      <w:pPr>
        <w:pStyle w:val="MHeader2"/>
        <w:rPr>
          <w:color w:val="auto"/>
          <w:sz w:val="24"/>
          <w:szCs w:val="24"/>
          <w:lang w:val="ru-RU"/>
        </w:rPr>
      </w:pPr>
      <w:r w:rsidRPr="00BD29EC">
        <w:rPr>
          <w:color w:val="auto"/>
          <w:sz w:val="24"/>
          <w:szCs w:val="24"/>
          <w:lang w:val="ru-RU"/>
        </w:rPr>
        <w:t>2.</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Классификации</w:t>
      </w:r>
    </w:p>
    <w:p w:rsidR="000A229E" w:rsidRPr="00BD29EC" w:rsidRDefault="000A229E" w:rsidP="0075371E">
      <w:pPr>
        <w:pStyle w:val="MText"/>
        <w:rPr>
          <w:color w:val="auto"/>
          <w:sz w:val="24"/>
          <w:szCs w:val="24"/>
          <w:lang w:val="ru-RU"/>
        </w:rPr>
      </w:pPr>
    </w:p>
    <w:p w:rsidR="000A229E" w:rsidRPr="00BD29EC" w:rsidRDefault="000A229E" w:rsidP="0075371E">
      <w:pPr>
        <w:pStyle w:val="MHeader"/>
        <w:rPr>
          <w:b/>
          <w:color w:val="auto"/>
          <w:sz w:val="24"/>
          <w:szCs w:val="24"/>
          <w:lang w:val="ru-RU"/>
        </w:rPr>
      </w:pPr>
      <w:r w:rsidRPr="00BD29EC">
        <w:rPr>
          <w:b/>
          <w:color w:val="auto"/>
          <w:sz w:val="24"/>
          <w:szCs w:val="24"/>
          <w:lang w:val="ru-RU"/>
        </w:rPr>
        <w:t>3. Тип источника данных и метод сбора данных</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a</w:t>
      </w:r>
      <w:r w:rsidRPr="00BD29EC">
        <w:rPr>
          <w:color w:val="auto"/>
          <w:sz w:val="24"/>
          <w:szCs w:val="24"/>
          <w:lang w:val="ru-RU"/>
        </w:rPr>
        <w:t xml:space="preserve">. </w:t>
      </w:r>
      <w:r w:rsidRPr="00A71EC6">
        <w:rPr>
          <w:b/>
          <w:color w:val="auto"/>
          <w:sz w:val="24"/>
          <w:szCs w:val="24"/>
          <w:lang w:val="ru-RU"/>
        </w:rPr>
        <w:t>Источники данных</w:t>
      </w:r>
    </w:p>
    <w:p w:rsidR="004430D2" w:rsidRPr="004430D2" w:rsidRDefault="004430D2" w:rsidP="004430D2">
      <w:r w:rsidRPr="004430D2">
        <w:t>Показатель имеет установленную методологию, которая доступна на веб-сайте http://ppi.worldbank.org/methodology/ppi-methodology, и процесс сбора данных выглядит следующим образом:</w:t>
      </w:r>
    </w:p>
    <w:p w:rsidR="004430D2" w:rsidRPr="004430D2" w:rsidRDefault="004430D2" w:rsidP="004430D2">
      <w:r w:rsidRPr="004430D2">
        <w:t>• Команда исследователей собирает данные по каждому из регионов с использованием открытых источников; баз данных коммерческих новостей, а также из коммерческих специализированных и отраслевых изданий/подписок, специализированного портала, информации о спонсорах и многосторонних агентств по развитию.</w:t>
      </w:r>
    </w:p>
    <w:p w:rsidR="004430D2" w:rsidRPr="004430D2" w:rsidRDefault="004430D2" w:rsidP="004430D2">
      <w:r w:rsidRPr="004430D2">
        <w:t>• Данные загружаются на административный веб-сайт с помощью шаблона, чтобы обеспечить стандартизацию данных.</w:t>
      </w:r>
    </w:p>
    <w:p w:rsidR="004430D2" w:rsidRPr="004430D2" w:rsidRDefault="004430D2" w:rsidP="004430D2">
      <w:r w:rsidRPr="004430D2">
        <w:t>• Данные сначала проверяются группой экспертов в Сингапуре (команда PPI), а затем коллегами из координаторов Группы Всемирного банка.</w:t>
      </w:r>
    </w:p>
    <w:p w:rsidR="004430D2" w:rsidRPr="004430D2" w:rsidRDefault="004430D2" w:rsidP="004430D2">
      <w:r w:rsidRPr="004430D2">
        <w:lastRenderedPageBreak/>
        <w:t>• Позже данные загружаются на общедоступный веб-сайт (www.ppi.worldbank.org) и предоставляются бесплатн</w:t>
      </w:r>
      <w:r>
        <w:t>о.</w:t>
      </w:r>
    </w:p>
    <w:p w:rsidR="004430D2" w:rsidRPr="00BD29EC" w:rsidRDefault="004430D2" w:rsidP="004430D2">
      <w:r w:rsidRPr="004430D2">
        <w:t>Набор данных известен как база данных частного участия в инфраструктуре (PPI). Обновления предоставляются каждые шесть месяцев (обычно в апреле и октябре), а данные общедоступны на сайте www.ppi.worldbank.org. Этот индикатор также доступен в разделе «Показатели мирового развития» по адресу http://databank.worldbank.org/data/reports.aspx?source=world-development-indicators.</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Метод сбора данных</w:t>
      </w:r>
    </w:p>
    <w:p w:rsidR="00076635" w:rsidRDefault="00076635" w:rsidP="00076635">
      <w:r w:rsidRPr="00076635">
        <w:t xml:space="preserve">Группа исследователей собирает данные по каждому из регионов, используя </w:t>
      </w:r>
      <w:r w:rsidR="007663E6" w:rsidRPr="007663E6">
        <w:t>Группа исследователей собирает данные по каждому из регионов, используя общедоступные источники (с веб-сайтов правительства и МБР); баз данных коммерческих новостей (таких как Factiva, BusinessNewsAmerica, ISI EmergingMarkets и базы данных EconomistIntelligenceUnit), а также из коммерческих специализированных и отраслевых изданий/подписок (ThomsonFinancial'sProjectFinanceInternational, Euromoney'sProjectFinance, MediaAnalytics', GlobalWaterIntelligence, PisentMasons’ WaterYearbooks, и Platt’sPowerinAsia и тд.), специализированные порталы (такие как Privatization, IPAnet и PrivatizationBarometer), интернет-ресурсы (такие как веб-сайты проектных компаний, агентств по приватизации или ГЧП, а также регулирующие органы и агентства) спонсируют информацию (в основном через свои веб-сайты, годовые отчеты, пресс-релизы и финансовые отчеты, такие как формы 10K и 20F, представляемые на NYSE), а многосторонние агентства по развитию в основном через информацию на их веб-сайтах, годовые отчеты и другие исследования.</w:t>
      </w:r>
    </w:p>
    <w:p w:rsidR="00076635" w:rsidRDefault="00076635" w:rsidP="00076635">
      <w:r>
        <w:t>Данные загружаются на административный веб-сайт с помощью шаблона, чтобы обеспечить стандартизацию данных.</w:t>
      </w:r>
    </w:p>
    <w:p w:rsidR="00076635" w:rsidRDefault="00076635" w:rsidP="00076635">
      <w:r>
        <w:t>Данные сначала проверяются группой экспертов в Сингапуре (команда PPI), а затем коллегами из координаторов Группы Всемирного банка.</w:t>
      </w:r>
    </w:p>
    <w:p w:rsidR="00076635" w:rsidRPr="00BD29EC" w:rsidRDefault="00076635" w:rsidP="00076635">
      <w:r>
        <w:t>Позже данные загружаются на общедоступный веб-сайт (www.ppi.worldbank.org) и предоставляются бесплатно. На веб-сайте есть механизм оспаривания данных, и все подразделения ГЧП могут оспорить информацию о любом проекте.</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Календарь сбора данных</w:t>
      </w:r>
    </w:p>
    <w:p w:rsidR="00076635" w:rsidRPr="00BD29EC" w:rsidRDefault="00076635" w:rsidP="00076635">
      <w:r w:rsidRPr="00076635">
        <w:t>Данные собираются на постоянной основе. Обновления предоставляются каждые полгода (обычно апрель и октябрь).</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d</w:t>
      </w:r>
      <w:r w:rsidRPr="00BD29EC">
        <w:rPr>
          <w:color w:val="auto"/>
          <w:sz w:val="24"/>
          <w:szCs w:val="24"/>
          <w:lang w:val="ru-RU"/>
        </w:rPr>
        <w:t xml:space="preserve">. </w:t>
      </w:r>
      <w:r w:rsidRPr="00A71EC6">
        <w:rPr>
          <w:b/>
          <w:color w:val="auto"/>
          <w:sz w:val="24"/>
          <w:szCs w:val="24"/>
          <w:lang w:val="ru-RU"/>
        </w:rPr>
        <w:t>Календарь выпуска данных</w:t>
      </w:r>
    </w:p>
    <w:p w:rsidR="00076635" w:rsidRPr="00BD29EC" w:rsidRDefault="00076635" w:rsidP="00076635">
      <w:r w:rsidRPr="00076635">
        <w:t>Данные за первую половину календарного года публикуются в октябре, а за весь год обычно публикуются примерно в апреле.</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e</w:t>
      </w:r>
      <w:r w:rsidRPr="00BD29EC">
        <w:rPr>
          <w:color w:val="auto"/>
          <w:sz w:val="24"/>
          <w:szCs w:val="24"/>
          <w:lang w:val="ru-RU"/>
        </w:rPr>
        <w:t xml:space="preserve">. </w:t>
      </w:r>
      <w:r w:rsidR="00A71EC6" w:rsidRPr="00A71EC6">
        <w:rPr>
          <w:b/>
          <w:color w:val="auto"/>
          <w:sz w:val="24"/>
          <w:szCs w:val="24"/>
          <w:lang w:val="ru-RU"/>
        </w:rPr>
        <w:t>Поставщики данных</w:t>
      </w:r>
    </w:p>
    <w:p w:rsidR="00076635" w:rsidRPr="00A71EC6" w:rsidRDefault="00076635" w:rsidP="00076635">
      <w:r w:rsidRPr="00076635">
        <w:lastRenderedPageBreak/>
        <w:t>Хотя данные в настоящее время собираются Группой Всемирного банка, единицы ППС на национальном и субнациональном уровнях определены как национальные поставщики данных, которые могут напрямую предоставлять данные о проектах, ежегодно закрывающихся с финансовой точки зрения, или они могут активно проверять данные, собранные группой Всемирного банка.</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f</w:t>
      </w:r>
      <w:r w:rsidRPr="00BD29EC">
        <w:rPr>
          <w:color w:val="auto"/>
          <w:sz w:val="24"/>
          <w:szCs w:val="24"/>
          <w:lang w:val="ru-RU"/>
        </w:rPr>
        <w:t xml:space="preserve">. </w:t>
      </w:r>
      <w:r w:rsidRPr="00A71EC6">
        <w:rPr>
          <w:b/>
          <w:color w:val="auto"/>
          <w:sz w:val="24"/>
          <w:szCs w:val="24"/>
          <w:lang w:val="ru-RU"/>
        </w:rPr>
        <w:t>Составители данных</w:t>
      </w:r>
    </w:p>
    <w:p w:rsidR="00076635" w:rsidRPr="00BD29EC" w:rsidRDefault="00076635" w:rsidP="00076635">
      <w:r w:rsidRPr="00076635">
        <w:t>Группа Всемирного банка</w:t>
      </w:r>
    </w:p>
    <w:p w:rsidR="000A229E" w:rsidRPr="00BD29EC" w:rsidRDefault="000A229E" w:rsidP="0075371E">
      <w:pPr>
        <w:pStyle w:val="MHeader2"/>
        <w:rPr>
          <w:color w:val="auto"/>
          <w:sz w:val="24"/>
          <w:szCs w:val="24"/>
          <w:lang w:val="ru-RU"/>
        </w:rPr>
      </w:pPr>
      <w:r w:rsidRPr="00BD29EC">
        <w:rPr>
          <w:color w:val="auto"/>
          <w:sz w:val="24"/>
          <w:szCs w:val="24"/>
          <w:lang w:val="ru-RU"/>
        </w:rPr>
        <w:t>3.</w:t>
      </w:r>
      <w:r w:rsidRPr="00BD29EC">
        <w:rPr>
          <w:color w:val="auto"/>
          <w:sz w:val="24"/>
          <w:szCs w:val="24"/>
        </w:rPr>
        <w:t>g</w:t>
      </w:r>
      <w:r w:rsidRPr="00BD29EC">
        <w:rPr>
          <w:color w:val="auto"/>
          <w:sz w:val="24"/>
          <w:szCs w:val="24"/>
          <w:lang w:val="ru-RU"/>
        </w:rPr>
        <w:t xml:space="preserve">. </w:t>
      </w:r>
      <w:r w:rsidRPr="00A71EC6">
        <w:rPr>
          <w:b/>
          <w:color w:val="auto"/>
          <w:sz w:val="24"/>
          <w:szCs w:val="24"/>
          <w:lang w:val="ru-RU"/>
        </w:rPr>
        <w:t>Институциональный мандат</w:t>
      </w:r>
    </w:p>
    <w:p w:rsidR="00980F79" w:rsidRPr="00BD29EC" w:rsidRDefault="00980F79" w:rsidP="0075371E">
      <w:pPr>
        <w:pBdr>
          <w:top w:val="nil"/>
          <w:left w:val="nil"/>
          <w:bottom w:val="nil"/>
          <w:right w:val="nil"/>
          <w:between w:val="nil"/>
          <w:bar w:val="nil"/>
        </w:pBdr>
        <w:spacing w:after="0"/>
        <w:rPr>
          <w:b/>
          <w:szCs w:val="24"/>
        </w:rPr>
      </w:pPr>
    </w:p>
    <w:p w:rsidR="002E15F9" w:rsidRPr="00BD29EC" w:rsidRDefault="002E15F9" w:rsidP="0075371E">
      <w:pPr>
        <w:pStyle w:val="MHeader"/>
        <w:rPr>
          <w:b/>
          <w:color w:val="auto"/>
          <w:sz w:val="24"/>
          <w:szCs w:val="24"/>
          <w:lang w:val="ru-RU"/>
        </w:rPr>
      </w:pPr>
      <w:r w:rsidRPr="00BD29EC">
        <w:rPr>
          <w:b/>
          <w:color w:val="auto"/>
          <w:sz w:val="24"/>
          <w:szCs w:val="24"/>
          <w:lang w:val="ru-RU"/>
        </w:rPr>
        <w:t>4. Иные методологические соображения</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a</w:t>
      </w:r>
      <w:r w:rsidRPr="00BD29EC">
        <w:rPr>
          <w:color w:val="auto"/>
          <w:sz w:val="24"/>
          <w:szCs w:val="24"/>
          <w:lang w:val="ru-RU"/>
        </w:rPr>
        <w:t xml:space="preserve">. </w:t>
      </w:r>
      <w:r w:rsidR="00CA1CB1" w:rsidRPr="00A71EC6">
        <w:rPr>
          <w:b/>
          <w:color w:val="auto"/>
          <w:sz w:val="24"/>
          <w:szCs w:val="24"/>
          <w:lang w:val="ru-RU"/>
        </w:rPr>
        <w:t>Обоснование</w:t>
      </w:r>
    </w:p>
    <w:p w:rsidR="002E15F9" w:rsidRPr="00BD29EC" w:rsidRDefault="00076635" w:rsidP="00076635">
      <w:r w:rsidRPr="00076635">
        <w:t>Пробелы в инфраструктуре значительны, и это потребует увеличения финансирования частного сектора. Обоснование индикатора заключается в измерении изменений в объеме государственно-частных партнерств в инфраструктуре, оценке тенденций и выявлении ограничений для участия частного сектора.</w:t>
      </w: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b</w:t>
      </w:r>
      <w:r w:rsidRPr="00BD29EC">
        <w:rPr>
          <w:color w:val="auto"/>
          <w:sz w:val="24"/>
          <w:szCs w:val="24"/>
          <w:lang w:val="ru-RU"/>
        </w:rPr>
        <w:t xml:space="preserve">. </w:t>
      </w:r>
      <w:r w:rsidR="00CA1CB1" w:rsidRPr="00A71EC6">
        <w:rPr>
          <w:b/>
          <w:color w:val="auto"/>
          <w:sz w:val="24"/>
          <w:szCs w:val="24"/>
          <w:lang w:val="ru-RU"/>
        </w:rPr>
        <w:t>Комментарии и ограничения</w:t>
      </w:r>
    </w:p>
    <w:p w:rsidR="007663E6" w:rsidRPr="007663E6" w:rsidRDefault="007663E6" w:rsidP="007663E6">
      <w:r w:rsidRPr="007663E6">
        <w:t>Ограничение предлагаемого показателя заключается в том, что он не учитывает другие сектора, такие как образование и здравоохранение, которые могут составлять значительную часть ППС, но они не учитываются в базе данных.</w:t>
      </w:r>
    </w:p>
    <w:p w:rsidR="007663E6" w:rsidRPr="007663E6" w:rsidRDefault="007663E6" w:rsidP="007663E6">
      <w:r w:rsidRPr="007663E6">
        <w:t>База данных охватывает только страны с низким и средним уровнем дохода (классификация Всемирного банка) и не собирает показатель для стран с высоким уровнем дохода. Расширение данных для включения стран с высоким уровнем доходов, а также ППС в других секторах, помимо инфраструктуры, является тем, что рассматривает Всемирный банк, но в настоящее время он ограничен бюджетными ограничениями.</w:t>
      </w:r>
    </w:p>
    <w:p w:rsidR="007663E6" w:rsidRPr="00BD29EC" w:rsidRDefault="007663E6" w:rsidP="007663E6">
      <w:r w:rsidRPr="007663E6">
        <w:t>К сожалению, база данных PPI не собирает данные о партнерствах с гражданским обществом, и это не соответствует текущей методологии сбора данных и выходит за рамки настоящей работы.</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c</w:t>
      </w:r>
      <w:r w:rsidRPr="00BD29EC">
        <w:rPr>
          <w:color w:val="auto"/>
          <w:sz w:val="24"/>
          <w:szCs w:val="24"/>
          <w:lang w:val="ru-RU"/>
        </w:rPr>
        <w:t xml:space="preserve">. </w:t>
      </w:r>
      <w:r w:rsidR="00CA1CB1" w:rsidRPr="00A71EC6">
        <w:rPr>
          <w:b/>
          <w:color w:val="auto"/>
          <w:sz w:val="24"/>
          <w:szCs w:val="24"/>
          <w:lang w:val="ru-RU"/>
        </w:rPr>
        <w:t>Метод расчета</w:t>
      </w:r>
    </w:p>
    <w:p w:rsidR="007663E6" w:rsidRPr="007663E6" w:rsidRDefault="007663E6" w:rsidP="007663E6">
      <w:r w:rsidRPr="007663E6">
        <w:t>Показатель имеет установленную методологию, которая доступна на веб-сайте http://ppi.worldbank.org/methodology/ppi-methodology, и процесс сбора данных выглядит следующим образом:</w:t>
      </w:r>
    </w:p>
    <w:p w:rsidR="007663E6" w:rsidRPr="007663E6" w:rsidRDefault="007663E6" w:rsidP="007663E6">
      <w:r w:rsidRPr="007663E6">
        <w:t>• Группа исследователей собирает данные по каждому из регионов, используя общедоступные источники (с веб-сайтов правительства и МБР); баз данных коммерческих новостей (таких как Factiva, BusinessNewsAmerica, ISI EmergingMarkets и базы данных EconomistIntelligenceUnit), а также из коммерческих специализированных и отраслевых изданий/подписок (ThomsonFinancial'sProjectFinanceInternational, Euromoney'sProjectFinance, MediaAnalytics'</w:t>
      </w:r>
      <w:r>
        <w:t xml:space="preserve">,GlobalWaterIntelligence, PisentMasons’ </w:t>
      </w:r>
      <w:r>
        <w:lastRenderedPageBreak/>
        <w:t>WaterYearbooks, иPlatt’sPowerinAsia и тд.),</w:t>
      </w:r>
      <w:r w:rsidRPr="007663E6">
        <w:t xml:space="preserve">специализированные порталы (такие как Privatization, IPAnet и </w:t>
      </w:r>
      <w:r>
        <w:t>PrivatizationBarometer</w:t>
      </w:r>
      <w:r w:rsidRPr="007663E6">
        <w:t>), интернет-ресурсы (такие как веб-сайты проектных компаний, агентств по приватизации или ГЧ</w:t>
      </w:r>
      <w:r>
        <w:t>П, а также регулирующие органы и</w:t>
      </w:r>
      <w:r w:rsidRPr="007663E6">
        <w:t xml:space="preserve"> агентства) спонсируют информацию (в основном через свои веб-сайты, годовые отчеты, пресс-релизы и финансовые отчеты, такие как формы 10K и 20F, представляемые на NYSE), а многосторонние агентства по развитию в основном через информацию на их веб-сайтах, годовые отчеты и другие исследования.</w:t>
      </w:r>
    </w:p>
    <w:p w:rsidR="007663E6" w:rsidRPr="007663E6" w:rsidRDefault="007663E6" w:rsidP="007663E6">
      <w:r w:rsidRPr="007663E6">
        <w:t>• Данные загружаются на административный веб-сайт с помощью шаблона, чтобы обеспечить стандартизацию данных.</w:t>
      </w:r>
    </w:p>
    <w:p w:rsidR="007663E6" w:rsidRPr="007663E6" w:rsidRDefault="007663E6" w:rsidP="007663E6">
      <w:r w:rsidRPr="007663E6">
        <w:t>• Данные подтверждены группой экспертов в Сингапуре.</w:t>
      </w:r>
    </w:p>
    <w:p w:rsidR="007663E6" w:rsidRDefault="007663E6" w:rsidP="007663E6">
      <w:r w:rsidRPr="007663E6">
        <w:t>• Позже данные загружаются на общедоступный веб-сайт (www.ppi.worldbank.org) и предоставляются бесплатно.</w:t>
      </w:r>
    </w:p>
    <w:p w:rsidR="007663E6" w:rsidRDefault="007663E6" w:rsidP="007663E6">
      <w:r>
        <w:t>Ограничение предлагаемого показателя заключается в том, что он не учитывает другие сектора, такие как образование и здравоохранение, которые могут составлять значительную часть ППС, но они не учитываются в базе данных. Расширение данных для включения ППС в других секторах, помимо инфраструктуры, рассматривается Всемирным банком, но в настоящее время оно ограничено бюджетными ограничениями.</w:t>
      </w:r>
    </w:p>
    <w:p w:rsidR="007663E6" w:rsidRDefault="007663E6" w:rsidP="007663E6">
      <w:r>
        <w:t>К сожалению, база данных PPI не собирает данные о партнерствах с гражданским обществом, и это не соответствует текущей методологии сбора данных и выходит за рамки настоящей работы.</w:t>
      </w:r>
    </w:p>
    <w:p w:rsidR="002E15F9" w:rsidRPr="00BD29EC" w:rsidRDefault="002E15F9" w:rsidP="00A71EC6">
      <w:pPr>
        <w:pStyle w:val="MHeader2"/>
        <w:pBdr>
          <w:bottom w:val="single" w:sz="12" w:space="3" w:color="DDDDDD"/>
        </w:pBdr>
        <w:rPr>
          <w:color w:val="auto"/>
          <w:sz w:val="24"/>
          <w:szCs w:val="24"/>
          <w:lang w:val="ru-RU"/>
        </w:rPr>
      </w:pPr>
      <w:r w:rsidRPr="00BD29EC">
        <w:rPr>
          <w:color w:val="auto"/>
          <w:sz w:val="24"/>
          <w:szCs w:val="24"/>
          <w:lang w:val="ru-RU"/>
        </w:rPr>
        <w:t>4.</w:t>
      </w:r>
      <w:r w:rsidRPr="00BD29EC">
        <w:rPr>
          <w:color w:val="auto"/>
          <w:sz w:val="24"/>
          <w:szCs w:val="24"/>
        </w:rPr>
        <w:t>d</w:t>
      </w:r>
      <w:r w:rsidRPr="00BD29EC">
        <w:rPr>
          <w:color w:val="auto"/>
          <w:sz w:val="24"/>
          <w:szCs w:val="24"/>
          <w:lang w:val="ru-RU"/>
        </w:rPr>
        <w:t xml:space="preserve">. </w:t>
      </w:r>
      <w:r w:rsidR="00694160" w:rsidRPr="00A71EC6">
        <w:rPr>
          <w:b/>
          <w:color w:val="auto"/>
          <w:sz w:val="24"/>
          <w:szCs w:val="24"/>
          <w:lang w:val="ru-RU"/>
        </w:rPr>
        <w:t>Валидация</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e</w:t>
      </w:r>
      <w:r w:rsidRPr="00BD29EC">
        <w:rPr>
          <w:color w:val="auto"/>
          <w:sz w:val="24"/>
          <w:szCs w:val="24"/>
          <w:lang w:val="ru-RU"/>
        </w:rPr>
        <w:t xml:space="preserve">. </w:t>
      </w:r>
      <w:r w:rsidR="00694160" w:rsidRPr="00A71EC6">
        <w:rPr>
          <w:b/>
          <w:color w:val="auto"/>
          <w:sz w:val="24"/>
          <w:szCs w:val="24"/>
          <w:lang w:val="ru-RU"/>
        </w:rPr>
        <w:t>Корректировки</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f</w:t>
      </w:r>
      <w:r w:rsidRPr="00BD29EC">
        <w:rPr>
          <w:color w:val="auto"/>
          <w:sz w:val="24"/>
          <w:szCs w:val="24"/>
          <w:lang w:val="ru-RU"/>
        </w:rPr>
        <w:t xml:space="preserve">. </w:t>
      </w:r>
      <w:r w:rsidR="00694160" w:rsidRPr="00A71EC6">
        <w:rPr>
          <w:b/>
          <w:color w:val="auto"/>
          <w:sz w:val="24"/>
          <w:szCs w:val="24"/>
          <w:lang w:val="ru-RU"/>
        </w:rPr>
        <w:t>Обработка отсутствующих значений (</w:t>
      </w:r>
      <w:r w:rsidR="00694160" w:rsidRPr="00A71EC6">
        <w:rPr>
          <w:b/>
          <w:color w:val="auto"/>
          <w:sz w:val="24"/>
          <w:szCs w:val="24"/>
        </w:rPr>
        <w:t>i</w:t>
      </w:r>
      <w:r w:rsidR="00694160" w:rsidRPr="00A71EC6">
        <w:rPr>
          <w:b/>
          <w:color w:val="auto"/>
          <w:sz w:val="24"/>
          <w:szCs w:val="24"/>
          <w:lang w:val="ru-RU"/>
        </w:rPr>
        <w:t>) на уровне страны и (</w:t>
      </w:r>
      <w:r w:rsidR="00694160" w:rsidRPr="00A71EC6">
        <w:rPr>
          <w:b/>
          <w:color w:val="auto"/>
          <w:sz w:val="24"/>
          <w:szCs w:val="24"/>
        </w:rPr>
        <w:t>ii</w:t>
      </w:r>
      <w:r w:rsidR="00694160" w:rsidRPr="00A71EC6">
        <w:rPr>
          <w:b/>
          <w:color w:val="auto"/>
          <w:sz w:val="24"/>
          <w:szCs w:val="24"/>
          <w:lang w:val="ru-RU"/>
        </w:rPr>
        <w:t>) на региональном уровне</w:t>
      </w:r>
    </w:p>
    <w:p w:rsidR="002E15F9" w:rsidRPr="00BD29EC" w:rsidRDefault="002E15F9" w:rsidP="007663E6">
      <w:r w:rsidRPr="00BD29EC">
        <w:t>•</w:t>
      </w:r>
      <w:r w:rsidRPr="00BD29EC">
        <w:tab/>
      </w:r>
      <w:r w:rsidR="00694160" w:rsidRPr="00BD29EC">
        <w:t>На уровне страны</w:t>
      </w:r>
    </w:p>
    <w:p w:rsidR="002E15F9" w:rsidRPr="00BD29EC" w:rsidRDefault="007663E6" w:rsidP="007663E6">
      <w:r w:rsidRPr="007663E6">
        <w:t xml:space="preserve">Данные собираются раз в полгода по всем странам с формирующимся рынком и странам с развитой экономикой. Когда в стране нет проектов ГЧП, данные показывают значение нулевых инвестиций. Если есть информация о проекте в стране, но информация об инвестициях отсутствует, то она указывается как отсутствующая стоимость. Вменение пропущенных значений не </w:t>
      </w:r>
      <w:r>
        <w:t>производится</w:t>
      </w:r>
      <w:r w:rsidRPr="007663E6">
        <w:t>.</w:t>
      </w:r>
    </w:p>
    <w:p w:rsidR="002E15F9" w:rsidRPr="00BD29EC" w:rsidRDefault="002E15F9" w:rsidP="007663E6">
      <w:r w:rsidRPr="00BD29EC">
        <w:t>•</w:t>
      </w:r>
      <w:r w:rsidRPr="00BD29EC">
        <w:tab/>
      </w:r>
      <w:r w:rsidR="00694160" w:rsidRPr="00BD29EC">
        <w:t>На региональном и глобальном уровнях</w:t>
      </w:r>
    </w:p>
    <w:p w:rsidR="00694160" w:rsidRPr="00BD29EC" w:rsidRDefault="007663E6" w:rsidP="007663E6">
      <w:r w:rsidRPr="007663E6">
        <w:t xml:space="preserve">Вменение пропущенных значений не </w:t>
      </w:r>
      <w:r>
        <w:t>производится</w:t>
      </w:r>
      <w:r w:rsidRPr="007663E6">
        <w:t>.</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g</w:t>
      </w:r>
      <w:r w:rsidRPr="00BD29EC">
        <w:rPr>
          <w:color w:val="auto"/>
          <w:sz w:val="24"/>
          <w:szCs w:val="24"/>
          <w:lang w:val="ru-RU"/>
        </w:rPr>
        <w:t xml:space="preserve">. </w:t>
      </w:r>
      <w:r w:rsidR="00E27922" w:rsidRPr="00A71EC6">
        <w:rPr>
          <w:b/>
          <w:color w:val="auto"/>
          <w:sz w:val="24"/>
          <w:szCs w:val="24"/>
          <w:lang w:val="ru-RU"/>
        </w:rPr>
        <w:t>Региональное агрегирование</w:t>
      </w:r>
    </w:p>
    <w:p w:rsidR="002E15F9" w:rsidRPr="00BD29EC" w:rsidRDefault="007663E6" w:rsidP="007663E6">
      <w:r w:rsidRPr="007663E6">
        <w:t xml:space="preserve">Региональные и глобальные агрегаты рассчитываются путем сложения стоимости инвестиций всех стран в этом регионе или во всем мире без присвоения веса. Единственная корректировка, которую вносят данные, заключается в учете </w:t>
      </w:r>
      <w:r w:rsidRPr="007663E6">
        <w:lastRenderedPageBreak/>
        <w:t>трансграничных проектов только один раз, т. е. проектов, в которых участвуют более одной страны и, следовательно, они имеют уникальную инвестиционную стоимость проекта. Трансграничные проекты учитываются для каждой страны, если данные представлены на уровне страны, но только один раз, когда данные агрегируются на региональном или глобальном уровне.</w:t>
      </w: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h</w:t>
      </w:r>
      <w:r w:rsidRPr="00BD29EC">
        <w:rPr>
          <w:color w:val="auto"/>
          <w:sz w:val="24"/>
          <w:szCs w:val="24"/>
          <w:lang w:val="ru-RU"/>
        </w:rPr>
        <w:t xml:space="preserve">. </w:t>
      </w:r>
      <w:r w:rsidR="00E27922" w:rsidRPr="00A71EC6">
        <w:rPr>
          <w:b/>
          <w:color w:val="auto"/>
          <w:sz w:val="24"/>
          <w:szCs w:val="24"/>
          <w:lang w:val="ru-RU"/>
        </w:rPr>
        <w:t>Доступные странам методы для сбора данных на национальном уровне</w:t>
      </w:r>
    </w:p>
    <w:p w:rsidR="00651D97" w:rsidRPr="00BD29EC" w:rsidRDefault="00651D97" w:rsidP="00651D97">
      <w:r w:rsidRPr="00651D97">
        <w:t>В настоящее время страны не составляют этот показатель. Тем не менее, методология для базы данных PPI может использоваться любой страной для предоставления информации о проектах PPP, которые достигли финансового закрытия в конкретном году, или они могут проверить список проектов, предоставленный базой данных PPI.</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i</w:t>
      </w:r>
      <w:r w:rsidRPr="00BD29EC">
        <w:rPr>
          <w:color w:val="auto"/>
          <w:sz w:val="24"/>
          <w:szCs w:val="24"/>
          <w:lang w:val="ru-RU"/>
        </w:rPr>
        <w:t xml:space="preserve">. </w:t>
      </w:r>
      <w:r w:rsidR="00E27922" w:rsidRPr="00A71EC6">
        <w:rPr>
          <w:b/>
          <w:color w:val="auto"/>
          <w:sz w:val="24"/>
          <w:szCs w:val="24"/>
          <w:lang w:val="ru-RU"/>
        </w:rPr>
        <w:t>Управление качеством</w:t>
      </w:r>
    </w:p>
    <w:p w:rsidR="002E15F9" w:rsidRDefault="002E15F9" w:rsidP="0075371E">
      <w:pPr>
        <w:pStyle w:val="MHeader2"/>
        <w:rPr>
          <w:b/>
          <w:color w:val="auto"/>
          <w:sz w:val="24"/>
          <w:szCs w:val="24"/>
          <w:lang w:val="ru-RU"/>
        </w:rPr>
      </w:pPr>
      <w:r w:rsidRPr="00040034">
        <w:rPr>
          <w:color w:val="auto"/>
          <w:sz w:val="24"/>
          <w:szCs w:val="24"/>
          <w:lang w:val="ru-RU"/>
        </w:rPr>
        <w:t>4.</w:t>
      </w:r>
      <w:r w:rsidRPr="00BD29EC">
        <w:rPr>
          <w:color w:val="auto"/>
          <w:sz w:val="24"/>
          <w:szCs w:val="24"/>
        </w:rPr>
        <w:t>j</w:t>
      </w:r>
      <w:r w:rsidR="00E27922" w:rsidRPr="00040034">
        <w:rPr>
          <w:color w:val="auto"/>
          <w:sz w:val="24"/>
          <w:szCs w:val="24"/>
          <w:lang w:val="ru-RU"/>
        </w:rPr>
        <w:t>.</w:t>
      </w:r>
      <w:r w:rsidR="003859BD">
        <w:rPr>
          <w:b/>
          <w:color w:val="auto"/>
          <w:sz w:val="24"/>
          <w:szCs w:val="24"/>
          <w:lang w:val="ru-RU"/>
        </w:rPr>
        <w:t>Гарантия</w:t>
      </w:r>
      <w:r w:rsidR="00E27922" w:rsidRPr="00A71EC6">
        <w:rPr>
          <w:b/>
          <w:color w:val="auto"/>
          <w:sz w:val="24"/>
          <w:szCs w:val="24"/>
          <w:lang w:val="ru-RU"/>
        </w:rPr>
        <w:t xml:space="preserve"> качества</w:t>
      </w:r>
    </w:p>
    <w:p w:rsidR="00651D97" w:rsidRPr="00651D97" w:rsidRDefault="00651D97" w:rsidP="00651D97">
      <w:r w:rsidRPr="00651D97">
        <w:t>• Полугодовой список проектов проходит обширный процесс контроля качества сначала командой базы данных PPI, затем группой Всемирного банка по инфраструктуре, ГЧП и гарантиям и, наконец, предоставляется для комментариев всей Группе Всемирно</w:t>
      </w:r>
      <w:r>
        <w:t>го банка, включая координаторов</w:t>
      </w:r>
      <w:r w:rsidRPr="00651D97">
        <w:t xml:space="preserve"> в IFC и MIGA. Кроме того, когда данные обнародуются, любой проект можно оспорить на веб-сайте, и поэтому данные будут переоценены и при необходимости исправлены.</w:t>
      </w:r>
    </w:p>
    <w:p w:rsidR="00651D97" w:rsidRPr="00040034" w:rsidRDefault="00651D97" w:rsidP="00651D97">
      <w:r w:rsidRPr="00651D97">
        <w:t>• Консультационный проект со странами по национальным данным не ведется, но база данных PPI приветствует обратную связь и информацию, предоставленную на веб-сайте.</w:t>
      </w:r>
    </w:p>
    <w:p w:rsidR="002E15F9" w:rsidRPr="00BD29EC" w:rsidRDefault="0075371E" w:rsidP="0075371E">
      <w:pPr>
        <w:pStyle w:val="MHeader2"/>
        <w:rPr>
          <w:color w:val="auto"/>
          <w:sz w:val="24"/>
          <w:szCs w:val="24"/>
          <w:lang w:val="ru-RU"/>
        </w:rPr>
      </w:pPr>
      <w:r w:rsidRPr="00BD29EC">
        <w:rPr>
          <w:color w:val="auto"/>
          <w:sz w:val="24"/>
          <w:szCs w:val="24"/>
          <w:lang w:val="ru-RU"/>
        </w:rPr>
        <w:t>4.</w:t>
      </w:r>
      <w:r w:rsidRPr="00BD29EC">
        <w:rPr>
          <w:color w:val="auto"/>
          <w:sz w:val="24"/>
          <w:szCs w:val="24"/>
        </w:rPr>
        <w:t>k</w:t>
      </w:r>
      <w:r w:rsidRPr="00BD29EC">
        <w:rPr>
          <w:color w:val="auto"/>
          <w:sz w:val="24"/>
          <w:szCs w:val="24"/>
          <w:lang w:val="ru-RU"/>
        </w:rPr>
        <w:t xml:space="preserve">. </w:t>
      </w:r>
      <w:r w:rsidRPr="00A71EC6">
        <w:rPr>
          <w:b/>
          <w:color w:val="auto"/>
          <w:sz w:val="24"/>
          <w:szCs w:val="24"/>
          <w:lang w:val="ru-RU"/>
        </w:rPr>
        <w:t>Оценка качества</w:t>
      </w:r>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t xml:space="preserve">5. </w:t>
      </w:r>
      <w:r w:rsidR="0075371E" w:rsidRPr="00BD29EC">
        <w:rPr>
          <w:b/>
          <w:color w:val="auto"/>
          <w:sz w:val="24"/>
          <w:szCs w:val="24"/>
          <w:lang w:val="ru-RU"/>
        </w:rPr>
        <w:t>Доступность и дезагрегирование данных</w:t>
      </w:r>
    </w:p>
    <w:p w:rsidR="0075371E" w:rsidRDefault="0075371E" w:rsidP="00651D97">
      <w:r w:rsidRPr="00BD29EC">
        <w:t>Доступность данных:</w:t>
      </w:r>
    </w:p>
    <w:p w:rsidR="00651D97" w:rsidRPr="00BD29EC" w:rsidRDefault="00651D97" w:rsidP="00651D97">
      <w:r w:rsidRPr="00651D97">
        <w:t>Существующая база данных PPI включает данные по 6400 проектам за 28 лет (1990-2019 гг.) с более чем 50 переменными для каждого проекта. Он охватывает проекты в 139 странах с низким и средним уровнем дохода по классификации Всемирного банка. Список стран пересматривается каждые пять лет, чтобы обеспечить непрерывность данных.</w:t>
      </w:r>
    </w:p>
    <w:p w:rsidR="0075371E" w:rsidRDefault="0075371E" w:rsidP="00651D97">
      <w:r w:rsidRPr="00BD29EC">
        <w:t>Временные ряды:</w:t>
      </w:r>
    </w:p>
    <w:p w:rsidR="00651D97" w:rsidRPr="00BD29EC" w:rsidRDefault="00651D97" w:rsidP="00651D97">
      <w:r w:rsidRPr="00651D97">
        <w:t>Показатель доступен с 1990 года, и данные могут быть дезагрегированы по месяцам (т. е. общие инвестиции в инфраструктурные проекты ГЧП, которые достигли финансового закрытия в конкретном месяце с 1990 года).</w:t>
      </w:r>
    </w:p>
    <w:p w:rsidR="0075371E" w:rsidRDefault="0075371E" w:rsidP="00651D97">
      <w:r w:rsidRPr="00BD29EC">
        <w:t>Разбивка:</w:t>
      </w:r>
    </w:p>
    <w:p w:rsidR="00651D97" w:rsidRPr="00BD29EC" w:rsidRDefault="00651D97" w:rsidP="00651D97">
      <w:r w:rsidRPr="00651D97">
        <w:t>Единицей анализа является проект ГЧП; поэтому данные могут быть дезагрегированы на уровне проекта. Имеются данные по секторам и подсекторам, а также по географическому местоположению проекта на субнациональном уровне, и поэтому впоследствии они могут быть агрегированы по муниципалитетам, провинциям, странам или регионам.</w:t>
      </w:r>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lastRenderedPageBreak/>
        <w:t xml:space="preserve">6. </w:t>
      </w:r>
      <w:r w:rsidR="0075371E" w:rsidRPr="00BD29EC">
        <w:rPr>
          <w:b/>
          <w:color w:val="auto"/>
          <w:sz w:val="24"/>
          <w:szCs w:val="24"/>
          <w:lang w:val="ru-RU"/>
        </w:rPr>
        <w:t>Сопоставимость / отклонение от международных стандартов</w:t>
      </w:r>
    </w:p>
    <w:p w:rsidR="00651D97" w:rsidRPr="00651D97" w:rsidRDefault="00651D97" w:rsidP="00651D97">
      <w:pPr>
        <w:rPr>
          <w:lang w:eastAsia="en-GB"/>
        </w:rPr>
      </w:pPr>
      <w:r w:rsidRPr="00651D97">
        <w:rPr>
          <w:lang w:eastAsia="en-GB"/>
        </w:rPr>
        <w:t>Источники расхождений:</w:t>
      </w:r>
    </w:p>
    <w:p w:rsidR="00651D97" w:rsidRDefault="00651D97" w:rsidP="00651D97">
      <w:pPr>
        <w:rPr>
          <w:lang w:eastAsia="en-GB"/>
        </w:rPr>
      </w:pPr>
      <w:r w:rsidRPr="00651D97">
        <w:rPr>
          <w:lang w:eastAsia="en-GB"/>
        </w:rPr>
        <w:t>Насколько нам известно, страны не производят оценки этого показателя. Некоторые единицы ППС в очень немногих странах имеют данные, доступные наих веб-сайтах, но они не представлены ни в рамках межстранового сопоставимого подхода, ни в ежегодной отчетности.</w:t>
      </w:r>
    </w:p>
    <w:p w:rsidR="00040034" w:rsidRDefault="00040034" w:rsidP="00651D97">
      <w:pPr>
        <w:pBdr>
          <w:bottom w:val="single" w:sz="12" w:space="4" w:color="DDDDDD"/>
        </w:pBdr>
        <w:shd w:val="clear" w:color="auto" w:fill="FFFFFF"/>
        <w:spacing w:after="100"/>
        <w:outlineLvl w:val="2"/>
        <w:rPr>
          <w:rFonts w:eastAsia="Times New Roman"/>
          <w:b/>
          <w:szCs w:val="24"/>
          <w:lang w:eastAsia="en-GB"/>
        </w:rPr>
      </w:pPr>
      <w:r w:rsidRPr="00651D97">
        <w:rPr>
          <w:rFonts w:eastAsia="Times New Roman"/>
          <w:b/>
          <w:szCs w:val="24"/>
          <w:lang w:eastAsia="en-GB"/>
        </w:rPr>
        <w:t xml:space="preserve">7. </w:t>
      </w:r>
      <w:r>
        <w:rPr>
          <w:rFonts w:eastAsia="Times New Roman"/>
          <w:b/>
          <w:szCs w:val="24"/>
          <w:lang w:eastAsia="en-GB"/>
        </w:rPr>
        <w:t>Ссылкиидокументы</w:t>
      </w:r>
    </w:p>
    <w:p w:rsidR="00651D97" w:rsidRPr="00651D97" w:rsidRDefault="00651D97" w:rsidP="00651D97">
      <w:pPr>
        <w:rPr>
          <w:lang w:eastAsia="en-GB"/>
        </w:rPr>
      </w:pPr>
      <w:bookmarkStart w:id="5" w:name="_GoBack"/>
      <w:r w:rsidRPr="00651D97">
        <w:rPr>
          <w:lang w:eastAsia="en-GB"/>
        </w:rPr>
        <w:t>Данные находятся в открытом доступе на сайте www.ppi.worldbank.org. Этот индикатор также доступен в разделе «Показатели мирового развития» по адресу http://databank.worldbank.org/data/reports.aspx?source=world-development-indicators.</w:t>
      </w:r>
      <w:bookmarkEnd w:id="5"/>
    </w:p>
    <w:sectPr w:rsidR="00651D97" w:rsidRPr="00651D97" w:rsidSect="00C345F6">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5E1" w:rsidRDefault="005F45E1" w:rsidP="00F73DBC">
      <w:pPr>
        <w:spacing w:after="0" w:line="240" w:lineRule="auto"/>
      </w:pPr>
      <w:r>
        <w:separator/>
      </w:r>
    </w:p>
  </w:endnote>
  <w:endnote w:type="continuationSeparator" w:id="1">
    <w:p w:rsidR="005F45E1" w:rsidRDefault="005F45E1" w:rsidP="00F73D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5E1" w:rsidRDefault="005F45E1" w:rsidP="00F73DBC">
      <w:pPr>
        <w:spacing w:after="0" w:line="240" w:lineRule="auto"/>
      </w:pPr>
      <w:r>
        <w:separator/>
      </w:r>
    </w:p>
  </w:footnote>
  <w:footnote w:type="continuationSeparator" w:id="1">
    <w:p w:rsidR="005F45E1" w:rsidRDefault="005F45E1" w:rsidP="00F73D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8D1" w:rsidRPr="00087B96" w:rsidRDefault="009508D1" w:rsidP="009508D1">
    <w:pPr>
      <w:pStyle w:val="ae"/>
      <w:jc w:val="right"/>
      <w:rPr>
        <w:i/>
      </w:rPr>
    </w:pPr>
    <w:r w:rsidRPr="00087B96">
      <w:rPr>
        <w:i/>
      </w:rPr>
      <w:t xml:space="preserve">Неофициальный перевод </w:t>
    </w:r>
  </w:p>
  <w:p w:rsidR="009508D1" w:rsidRPr="00087B96" w:rsidRDefault="009508D1" w:rsidP="009508D1">
    <w:pPr>
      <w:pStyle w:val="ae"/>
      <w:jc w:val="right"/>
    </w:pPr>
    <w:r w:rsidRPr="00087B96">
      <w:t xml:space="preserve">Последнее обновление: </w:t>
    </w:r>
    <w:r w:rsidR="00495496">
      <w:t>ок</w:t>
    </w:r>
    <w:r w:rsidR="00B22AB5">
      <w:t xml:space="preserve">тябрь </w:t>
    </w:r>
    <w:r w:rsidR="00781DE7" w:rsidRPr="00087B96">
      <w:t>2022</w:t>
    </w:r>
  </w:p>
  <w:p w:rsidR="009508D1" w:rsidRDefault="009508D1">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B63BB"/>
    <w:multiLevelType w:val="hybridMultilevel"/>
    <w:tmpl w:val="B0C86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26A3170"/>
    <w:multiLevelType w:val="hybridMultilevel"/>
    <w:tmpl w:val="1CF669A2"/>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6904FA"/>
    <w:multiLevelType w:val="hybridMultilevel"/>
    <w:tmpl w:val="8436A3E6"/>
    <w:lvl w:ilvl="0" w:tplc="27868E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614A86"/>
    <w:multiLevelType w:val="hybridMultilevel"/>
    <w:tmpl w:val="F768F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A618FC"/>
    <w:rsid w:val="00004BE3"/>
    <w:rsid w:val="00033E1C"/>
    <w:rsid w:val="00040034"/>
    <w:rsid w:val="000410BA"/>
    <w:rsid w:val="000476F9"/>
    <w:rsid w:val="00053D20"/>
    <w:rsid w:val="00076635"/>
    <w:rsid w:val="00087B96"/>
    <w:rsid w:val="000A210D"/>
    <w:rsid w:val="000A229E"/>
    <w:rsid w:val="000C5EF5"/>
    <w:rsid w:val="000F3B83"/>
    <w:rsid w:val="00107A08"/>
    <w:rsid w:val="00116248"/>
    <w:rsid w:val="001470A2"/>
    <w:rsid w:val="00147D8F"/>
    <w:rsid w:val="001612F6"/>
    <w:rsid w:val="00165896"/>
    <w:rsid w:val="001762D0"/>
    <w:rsid w:val="0018353F"/>
    <w:rsid w:val="001A163A"/>
    <w:rsid w:val="001C4663"/>
    <w:rsid w:val="001E2FC9"/>
    <w:rsid w:val="002064C4"/>
    <w:rsid w:val="002306F8"/>
    <w:rsid w:val="002652D0"/>
    <w:rsid w:val="00291FA0"/>
    <w:rsid w:val="002C7BF9"/>
    <w:rsid w:val="002E122C"/>
    <w:rsid w:val="002E15F9"/>
    <w:rsid w:val="002F63E5"/>
    <w:rsid w:val="00303D71"/>
    <w:rsid w:val="003143BC"/>
    <w:rsid w:val="00320C65"/>
    <w:rsid w:val="00322B59"/>
    <w:rsid w:val="003746BC"/>
    <w:rsid w:val="003859BD"/>
    <w:rsid w:val="003A325C"/>
    <w:rsid w:val="003B3294"/>
    <w:rsid w:val="003D33FA"/>
    <w:rsid w:val="003D58DC"/>
    <w:rsid w:val="003D7A38"/>
    <w:rsid w:val="00407AF0"/>
    <w:rsid w:val="00407E4E"/>
    <w:rsid w:val="004143B4"/>
    <w:rsid w:val="00421928"/>
    <w:rsid w:val="004344AC"/>
    <w:rsid w:val="004430D2"/>
    <w:rsid w:val="00456E71"/>
    <w:rsid w:val="00467B9B"/>
    <w:rsid w:val="00495496"/>
    <w:rsid w:val="004D2413"/>
    <w:rsid w:val="004E087E"/>
    <w:rsid w:val="005016B8"/>
    <w:rsid w:val="00503B4A"/>
    <w:rsid w:val="00504837"/>
    <w:rsid w:val="00532D98"/>
    <w:rsid w:val="00536829"/>
    <w:rsid w:val="00587D0B"/>
    <w:rsid w:val="005A4DCB"/>
    <w:rsid w:val="005C6119"/>
    <w:rsid w:val="005E47BD"/>
    <w:rsid w:val="005F2C0B"/>
    <w:rsid w:val="005F45E1"/>
    <w:rsid w:val="00651D97"/>
    <w:rsid w:val="00655F55"/>
    <w:rsid w:val="006704C2"/>
    <w:rsid w:val="00682107"/>
    <w:rsid w:val="00690B09"/>
    <w:rsid w:val="00691C96"/>
    <w:rsid w:val="00694160"/>
    <w:rsid w:val="006B260E"/>
    <w:rsid w:val="006B3939"/>
    <w:rsid w:val="006C43F8"/>
    <w:rsid w:val="006D5488"/>
    <w:rsid w:val="006D7049"/>
    <w:rsid w:val="00702333"/>
    <w:rsid w:val="00705161"/>
    <w:rsid w:val="00724018"/>
    <w:rsid w:val="00741A39"/>
    <w:rsid w:val="0075371E"/>
    <w:rsid w:val="00753F18"/>
    <w:rsid w:val="00760F87"/>
    <w:rsid w:val="007663E6"/>
    <w:rsid w:val="00780F08"/>
    <w:rsid w:val="00781DE7"/>
    <w:rsid w:val="007953D8"/>
    <w:rsid w:val="007B07B2"/>
    <w:rsid w:val="007B0CFD"/>
    <w:rsid w:val="007B32CE"/>
    <w:rsid w:val="007C27E0"/>
    <w:rsid w:val="007D1185"/>
    <w:rsid w:val="007D1FD7"/>
    <w:rsid w:val="007F06DF"/>
    <w:rsid w:val="008138AD"/>
    <w:rsid w:val="00836F3E"/>
    <w:rsid w:val="00853C09"/>
    <w:rsid w:val="00864C1A"/>
    <w:rsid w:val="0092739E"/>
    <w:rsid w:val="009508D1"/>
    <w:rsid w:val="00957A62"/>
    <w:rsid w:val="00963238"/>
    <w:rsid w:val="009655B4"/>
    <w:rsid w:val="009737AE"/>
    <w:rsid w:val="00980F79"/>
    <w:rsid w:val="00982FE8"/>
    <w:rsid w:val="009C064B"/>
    <w:rsid w:val="009D4322"/>
    <w:rsid w:val="009F43A6"/>
    <w:rsid w:val="00A110F9"/>
    <w:rsid w:val="00A31474"/>
    <w:rsid w:val="00A53D4B"/>
    <w:rsid w:val="00A618FC"/>
    <w:rsid w:val="00A71EC6"/>
    <w:rsid w:val="00A82CD3"/>
    <w:rsid w:val="00A91FDE"/>
    <w:rsid w:val="00AC1A97"/>
    <w:rsid w:val="00B0378B"/>
    <w:rsid w:val="00B06B4E"/>
    <w:rsid w:val="00B22AB5"/>
    <w:rsid w:val="00B518DC"/>
    <w:rsid w:val="00B72F77"/>
    <w:rsid w:val="00B80FC8"/>
    <w:rsid w:val="00BD29EC"/>
    <w:rsid w:val="00BE2C5D"/>
    <w:rsid w:val="00BE415C"/>
    <w:rsid w:val="00C345F6"/>
    <w:rsid w:val="00C374EC"/>
    <w:rsid w:val="00C47A4A"/>
    <w:rsid w:val="00C515AF"/>
    <w:rsid w:val="00C8596F"/>
    <w:rsid w:val="00C90708"/>
    <w:rsid w:val="00C95AB2"/>
    <w:rsid w:val="00CA1CB1"/>
    <w:rsid w:val="00CA53CA"/>
    <w:rsid w:val="00D05466"/>
    <w:rsid w:val="00D2619D"/>
    <w:rsid w:val="00DA19D7"/>
    <w:rsid w:val="00DC18AA"/>
    <w:rsid w:val="00E123F7"/>
    <w:rsid w:val="00E21B43"/>
    <w:rsid w:val="00E27922"/>
    <w:rsid w:val="00E33CA8"/>
    <w:rsid w:val="00E559F9"/>
    <w:rsid w:val="00E90164"/>
    <w:rsid w:val="00E90BD4"/>
    <w:rsid w:val="00EA206F"/>
    <w:rsid w:val="00EB362A"/>
    <w:rsid w:val="00EB389E"/>
    <w:rsid w:val="00EE0900"/>
    <w:rsid w:val="00F374BA"/>
    <w:rsid w:val="00F53A75"/>
    <w:rsid w:val="00F5412C"/>
    <w:rsid w:val="00F6371F"/>
    <w:rsid w:val="00F7075F"/>
    <w:rsid w:val="00F73DBC"/>
    <w:rsid w:val="00F84FF1"/>
    <w:rsid w:val="00F85991"/>
    <w:rsid w:val="00F92D6F"/>
    <w:rsid w:val="00FB66D9"/>
    <w:rsid w:val="00FC5800"/>
    <w:rsid w:val="00FE3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B2"/>
    <w:pPr>
      <w:spacing w:after="200" w:line="276" w:lineRule="auto"/>
      <w:jc w:val="both"/>
    </w:pPr>
    <w:rPr>
      <w:rFonts w:ascii="Times New Roman" w:hAnsi="Times New Roman"/>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u w:val="single"/>
    </w:rPr>
  </w:style>
  <w:style w:type="table" w:customStyle="1" w:styleId="ad">
    <w:name w:val="Light Shading"/>
    <w:basedOn w:val="a1"/>
    <w:uiPriority w:val="60"/>
    <w:rsid w:val="000A210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imes New Roman"/>
      <w:sz w:val="20"/>
      <w:szCs w:val="20"/>
      <w:lang w:val="en-GB" w:eastAsia="zh-CN"/>
    </w:rPr>
  </w:style>
  <w:style w:type="character" w:customStyle="1" w:styleId="af3">
    <w:name w:val="Текст примечания Знак"/>
    <w:basedOn w:val="a0"/>
    <w:link w:val="af2"/>
    <w:uiPriority w:val="99"/>
    <w:rsid w:val="00A91FDE"/>
    <w:rPr>
      <w:rFonts w:eastAsia="Times New Roman"/>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rPr>
      <w:rFonts w:eastAsia="Times New Roman"/>
      <w:lang w:val="en-GB" w:eastAsia="zh-CN"/>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paragraph" w:customStyle="1" w:styleId="Default">
    <w:name w:val="Default"/>
    <w:rsid w:val="00004BE3"/>
    <w:pPr>
      <w:autoSpaceDE w:val="0"/>
      <w:autoSpaceDN w:val="0"/>
      <w:adjustRightInd w:val="0"/>
    </w:pPr>
    <w:rPr>
      <w:rFonts w:cs="Calibri"/>
      <w:color w:val="000000"/>
      <w:sz w:val="24"/>
      <w:szCs w:val="24"/>
      <w:lang w:eastAsia="en-US"/>
    </w:rPr>
  </w:style>
  <w:style w:type="paragraph" w:styleId="af4">
    <w:name w:val="No Spacing"/>
    <w:uiPriority w:val="1"/>
    <w:qFormat/>
    <w:rsid w:val="00724018"/>
    <w:pPr>
      <w:jc w:val="both"/>
    </w:pPr>
    <w:rPr>
      <w:rFonts w:ascii="Times New Roman" w:hAnsi="Times New Roman"/>
      <w:sz w:val="24"/>
      <w:szCs w:val="22"/>
      <w:lang w:eastAsia="en-US"/>
    </w:rPr>
  </w:style>
  <w:style w:type="paragraph" w:customStyle="1" w:styleId="MGTHeader">
    <w:name w:val="M.G+T.Header"/>
    <w:basedOn w:val="a"/>
    <w:link w:val="MGTHeaderChar"/>
    <w:qFormat/>
    <w:rsid w:val="004430D2"/>
    <w:pPr>
      <w:shd w:val="clear" w:color="auto" w:fill="F5F5F5"/>
      <w:spacing w:after="100" w:line="240" w:lineRule="auto"/>
      <w:jc w:val="left"/>
      <w:outlineLvl w:val="4"/>
    </w:pPr>
    <w:rPr>
      <w:rFonts w:ascii="Calibri" w:eastAsia="Times New Roman" w:hAnsi="Calibri"/>
      <w:color w:val="333333"/>
      <w:sz w:val="21"/>
      <w:szCs w:val="21"/>
      <w:lang w:val="en-GB" w:eastAsia="en-GB"/>
    </w:rPr>
  </w:style>
  <w:style w:type="character" w:customStyle="1" w:styleId="MGTHeaderChar">
    <w:name w:val="M.G+T.Header Char"/>
    <w:basedOn w:val="a0"/>
    <w:link w:val="MGTHeader"/>
    <w:rsid w:val="004430D2"/>
    <w:rPr>
      <w:rFonts w:eastAsia="Times New Roman" w:cs="Times New Roman"/>
      <w:color w:val="333333"/>
      <w:sz w:val="21"/>
      <w:szCs w:val="21"/>
      <w:shd w:val="clear" w:color="auto" w:fill="F5F5F5"/>
      <w:lang w:val="en-GB" w:eastAsia="en-GB"/>
    </w:rPr>
  </w:style>
</w:styles>
</file>

<file path=word/webSettings.xml><?xml version="1.0" encoding="utf-8"?>
<w:webSettings xmlns:r="http://schemas.openxmlformats.org/officeDocument/2006/relationships" xmlns:w="http://schemas.openxmlformats.org/wordprocessingml/2006/main">
  <w:divs>
    <w:div w:id="1971587598">
      <w:bodyDiv w:val="1"/>
      <w:marLeft w:val="0"/>
      <w:marRight w:val="0"/>
      <w:marTop w:val="0"/>
      <w:marBottom w:val="0"/>
      <w:divBdr>
        <w:top w:val="none" w:sz="0" w:space="0" w:color="auto"/>
        <w:left w:val="none" w:sz="0" w:space="0" w:color="auto"/>
        <w:bottom w:val="none" w:sz="0" w:space="0" w:color="auto"/>
        <w:right w:val="none" w:sz="0" w:space="0" w:color="auto"/>
      </w:divBdr>
      <w:divsChild>
        <w:div w:id="352728724">
          <w:marLeft w:val="0"/>
          <w:marRight w:val="0"/>
          <w:marTop w:val="0"/>
          <w:marBottom w:val="0"/>
          <w:divBdr>
            <w:top w:val="none" w:sz="0" w:space="0" w:color="auto"/>
            <w:left w:val="none" w:sz="0" w:space="0" w:color="auto"/>
            <w:bottom w:val="none" w:sz="0" w:space="0" w:color="auto"/>
            <w:right w:val="none" w:sz="0" w:space="0" w:color="auto"/>
          </w:divBdr>
          <w:divsChild>
            <w:div w:id="705913797">
              <w:marLeft w:val="60"/>
              <w:marRight w:val="0"/>
              <w:marTop w:val="0"/>
              <w:marBottom w:val="0"/>
              <w:divBdr>
                <w:top w:val="none" w:sz="0" w:space="0" w:color="auto"/>
                <w:left w:val="none" w:sz="0" w:space="0" w:color="auto"/>
                <w:bottom w:val="none" w:sz="0" w:space="0" w:color="auto"/>
                <w:right w:val="none" w:sz="0" w:space="0" w:color="auto"/>
              </w:divBdr>
              <w:divsChild>
                <w:div w:id="331955539">
                  <w:marLeft w:val="0"/>
                  <w:marRight w:val="0"/>
                  <w:marTop w:val="0"/>
                  <w:marBottom w:val="0"/>
                  <w:divBdr>
                    <w:top w:val="none" w:sz="0" w:space="0" w:color="auto"/>
                    <w:left w:val="none" w:sz="0" w:space="0" w:color="auto"/>
                    <w:bottom w:val="none" w:sz="0" w:space="0" w:color="auto"/>
                    <w:right w:val="none" w:sz="0" w:space="0" w:color="auto"/>
                  </w:divBdr>
                  <w:divsChild>
                    <w:div w:id="675494967">
                      <w:marLeft w:val="0"/>
                      <w:marRight w:val="0"/>
                      <w:marTop w:val="0"/>
                      <w:marBottom w:val="120"/>
                      <w:divBdr>
                        <w:top w:val="single" w:sz="6" w:space="0" w:color="F5F5F5"/>
                        <w:left w:val="single" w:sz="6" w:space="0" w:color="F5F5F5"/>
                        <w:bottom w:val="single" w:sz="6" w:space="0" w:color="F5F5F5"/>
                        <w:right w:val="single" w:sz="6" w:space="0" w:color="F5F5F5"/>
                      </w:divBdr>
                      <w:divsChild>
                        <w:div w:id="889072327">
                          <w:marLeft w:val="0"/>
                          <w:marRight w:val="0"/>
                          <w:marTop w:val="0"/>
                          <w:marBottom w:val="0"/>
                          <w:divBdr>
                            <w:top w:val="none" w:sz="0" w:space="0" w:color="auto"/>
                            <w:left w:val="none" w:sz="0" w:space="0" w:color="auto"/>
                            <w:bottom w:val="none" w:sz="0" w:space="0" w:color="auto"/>
                            <w:right w:val="none" w:sz="0" w:space="0" w:color="auto"/>
                          </w:divBdr>
                          <w:divsChild>
                            <w:div w:id="12898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058033">
          <w:marLeft w:val="0"/>
          <w:marRight w:val="0"/>
          <w:marTop w:val="0"/>
          <w:marBottom w:val="0"/>
          <w:divBdr>
            <w:top w:val="none" w:sz="0" w:space="0" w:color="auto"/>
            <w:left w:val="none" w:sz="0" w:space="0" w:color="auto"/>
            <w:bottom w:val="none" w:sz="0" w:space="0" w:color="auto"/>
            <w:right w:val="none" w:sz="0" w:space="0" w:color="auto"/>
          </w:divBdr>
          <w:divsChild>
            <w:div w:id="1056591856">
              <w:marLeft w:val="0"/>
              <w:marRight w:val="60"/>
              <w:marTop w:val="0"/>
              <w:marBottom w:val="0"/>
              <w:divBdr>
                <w:top w:val="none" w:sz="0" w:space="0" w:color="auto"/>
                <w:left w:val="none" w:sz="0" w:space="0" w:color="auto"/>
                <w:bottom w:val="none" w:sz="0" w:space="0" w:color="auto"/>
                <w:right w:val="none" w:sz="0" w:space="0" w:color="auto"/>
              </w:divBdr>
              <w:divsChild>
                <w:div w:id="1369186745">
                  <w:marLeft w:val="0"/>
                  <w:marRight w:val="0"/>
                  <w:marTop w:val="0"/>
                  <w:marBottom w:val="120"/>
                  <w:divBdr>
                    <w:top w:val="single" w:sz="6" w:space="0" w:color="C0C0C0"/>
                    <w:left w:val="single" w:sz="6" w:space="0" w:color="D9D9D9"/>
                    <w:bottom w:val="single" w:sz="6" w:space="0" w:color="D9D9D9"/>
                    <w:right w:val="single" w:sz="6" w:space="0" w:color="D9D9D9"/>
                  </w:divBdr>
                  <w:divsChild>
                    <w:div w:id="355885312">
                      <w:marLeft w:val="0"/>
                      <w:marRight w:val="0"/>
                      <w:marTop w:val="0"/>
                      <w:marBottom w:val="0"/>
                      <w:divBdr>
                        <w:top w:val="none" w:sz="0" w:space="0" w:color="auto"/>
                        <w:left w:val="none" w:sz="0" w:space="0" w:color="auto"/>
                        <w:bottom w:val="none" w:sz="0" w:space="0" w:color="auto"/>
                        <w:right w:val="none" w:sz="0" w:space="0" w:color="auto"/>
                      </w:divBdr>
                    </w:div>
                    <w:div w:id="14047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849B8-D42C-4077-8489-DD765E3D4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1958</Words>
  <Characters>11163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13095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БойкоТатьяна Евгеньевна</dc:creator>
  <cp:lastModifiedBy>a.abraeva</cp:lastModifiedBy>
  <cp:revision>2</cp:revision>
  <dcterms:created xsi:type="dcterms:W3CDTF">2023-02-02T04:43:00Z</dcterms:created>
  <dcterms:modified xsi:type="dcterms:W3CDTF">2023-02-02T04:43:00Z</dcterms:modified>
</cp:coreProperties>
</file>