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BC" w:rsidRPr="00BD29EC" w:rsidRDefault="003143BC" w:rsidP="00853C09">
      <w:pPr>
        <w:pBdr>
          <w:top w:val="nil"/>
          <w:left w:val="nil"/>
          <w:bottom w:val="nil"/>
          <w:right w:val="nil"/>
          <w:between w:val="nil"/>
          <w:bar w:val="nil"/>
        </w:pBdr>
        <w:spacing w:after="0"/>
        <w:jc w:val="center"/>
        <w:rPr>
          <w:rFonts w:eastAsia="Arial Unicode MS"/>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b/>
          <w:szCs w:val="24"/>
          <w:bdr w:val="nil"/>
          <w:lang w:eastAsia="ru-RU"/>
        </w:rPr>
      </w:pPr>
      <w:r w:rsidRPr="00BD29EC">
        <w:rPr>
          <w:rFonts w:eastAsia="Arial Unicode MS"/>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b/>
          <w:szCs w:val="24"/>
          <w:bdr w:val="nil"/>
          <w:lang w:eastAsia="ru-RU"/>
        </w:rPr>
      </w:pPr>
      <w:r w:rsidRPr="00BD29EC">
        <w:rPr>
          <w:rFonts w:eastAsia="Arial Unicode MS"/>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b/>
          <w:szCs w:val="24"/>
          <w:bdr w:val="nil"/>
          <w:lang w:eastAsia="ru-RU"/>
        </w:rPr>
      </w:pPr>
      <w:r w:rsidRPr="00BD29EC">
        <w:rPr>
          <w:rFonts w:eastAsia="Arial Unicode MS"/>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a</w:t>
      </w:r>
      <w:r w:rsidRPr="00BD29EC">
        <w:rPr>
          <w:rFonts w:eastAsia="Arial Unicode MS"/>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szCs w:val="24"/>
          <w:bdr w:val="nil"/>
          <w:lang w:eastAsia="ru-RU"/>
        </w:rPr>
        <w:t xml:space="preserve">Цель </w:t>
      </w:r>
      <w:r w:rsidR="004D2413">
        <w:rPr>
          <w:rFonts w:eastAsia="Arial Unicode MS"/>
          <w:szCs w:val="24"/>
          <w:bdr w:val="nil"/>
          <w:lang w:eastAsia="ru-RU"/>
        </w:rPr>
        <w:t>1</w:t>
      </w:r>
      <w:r w:rsidR="00107A08">
        <w:rPr>
          <w:rFonts w:eastAsia="Arial Unicode MS"/>
          <w:szCs w:val="24"/>
          <w:bdr w:val="nil"/>
          <w:lang w:eastAsia="ru-RU"/>
        </w:rPr>
        <w:t>6</w:t>
      </w:r>
      <w:r w:rsidR="00780F08" w:rsidRPr="00BD29EC">
        <w:rPr>
          <w:rFonts w:eastAsia="Arial Unicode MS"/>
          <w:szCs w:val="24"/>
          <w:bdr w:val="nil"/>
          <w:lang w:eastAsia="ru-RU"/>
        </w:rPr>
        <w:t xml:space="preserve">: </w:t>
      </w:r>
      <w:r w:rsidR="00107A08">
        <w:t>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w:t>
      </w:r>
    </w:p>
    <w:p w:rsidR="003143BC" w:rsidRPr="00BD29EC" w:rsidRDefault="003143BC"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b</w:t>
      </w:r>
      <w:r w:rsidRPr="00BD29EC">
        <w:rPr>
          <w:rFonts w:eastAsia="Arial Unicode MS"/>
          <w:b/>
          <w:szCs w:val="24"/>
          <w:bdr w:val="nil"/>
          <w:lang w:eastAsia="ru-RU"/>
        </w:rPr>
        <w:t>. Задача</w:t>
      </w:r>
    </w:p>
    <w:p w:rsidR="00781DE7" w:rsidRDefault="00E559F9" w:rsidP="002775CF">
      <w:pPr>
        <w:rPr>
          <w:szCs w:val="24"/>
        </w:rPr>
      </w:pPr>
      <w:r>
        <w:rPr>
          <w:szCs w:val="24"/>
        </w:rPr>
        <w:t>1</w:t>
      </w:r>
      <w:r w:rsidR="00107A08">
        <w:rPr>
          <w:szCs w:val="24"/>
        </w:rPr>
        <w:t>6</w:t>
      </w:r>
      <w:r w:rsidR="00780F08" w:rsidRPr="00BD29EC">
        <w:rPr>
          <w:szCs w:val="24"/>
        </w:rPr>
        <w:t>.</w:t>
      </w:r>
      <w:r w:rsidR="002775CF">
        <w:rPr>
          <w:szCs w:val="24"/>
        </w:rPr>
        <w:t>7</w:t>
      </w:r>
      <w:r w:rsidR="00780F08" w:rsidRPr="00BD29EC">
        <w:rPr>
          <w:szCs w:val="24"/>
        </w:rPr>
        <w:t xml:space="preserve">. </w:t>
      </w:r>
      <w:r w:rsidR="002775CF">
        <w:t>Обеспечить ответственное принятие решений репрезентативными органами на всех уровнях с участием всех слоев общества.</w:t>
      </w:r>
    </w:p>
    <w:p w:rsidR="003143BC" w:rsidRPr="00BD29EC" w:rsidRDefault="003143BC" w:rsidP="00781DE7">
      <w:pPr>
        <w:pBdr>
          <w:top w:val="nil"/>
          <w:left w:val="nil"/>
          <w:bottom w:val="nil"/>
          <w:right w:val="nil"/>
          <w:between w:val="nil"/>
          <w:bar w:val="nil"/>
        </w:pBdr>
        <w:spacing w:after="0"/>
        <w:rPr>
          <w:rFonts w:eastAsia="Arial Unicode MS"/>
          <w:b/>
          <w:szCs w:val="24"/>
          <w:bdr w:val="nil"/>
          <w:lang w:eastAsia="ru-RU"/>
        </w:rPr>
      </w:pPr>
      <w:r w:rsidRPr="00BD29EC">
        <w:rPr>
          <w:rFonts w:eastAsia="Arial Unicode MS"/>
          <w:b/>
          <w:szCs w:val="24"/>
          <w:bdr w:val="nil"/>
          <w:lang w:eastAsia="ru-RU"/>
        </w:rPr>
        <w:t>0.с. Показатель</w:t>
      </w:r>
    </w:p>
    <w:p w:rsidR="00780F08" w:rsidRPr="00BD29EC" w:rsidRDefault="003143BC" w:rsidP="00724018">
      <w:r w:rsidRPr="00BD29EC">
        <w:t xml:space="preserve">Показатель </w:t>
      </w:r>
      <w:r w:rsidR="00741A39">
        <w:t>1</w:t>
      </w:r>
      <w:r w:rsidR="00107A08">
        <w:t>6</w:t>
      </w:r>
      <w:r w:rsidR="00780F08" w:rsidRPr="00BD29EC">
        <w:t>.</w:t>
      </w:r>
      <w:r w:rsidR="002775CF">
        <w:t>7</w:t>
      </w:r>
      <w:r w:rsidR="002064C4">
        <w:t>.</w:t>
      </w:r>
      <w:r w:rsidR="002775CF">
        <w:t>2</w:t>
      </w:r>
      <w:r w:rsidR="00C95AB2">
        <w:t>.</w:t>
      </w:r>
      <w:r w:rsidR="002775CF" w:rsidRPr="002775CF">
        <w:t>Доля населения, считающего процесс принятия решений всеохватывающим и оперативным, в разбивке по полу, возрасту, признаку инвалидности и группе населения</w:t>
      </w:r>
      <w:r w:rsidR="002775CF">
        <w:t>.</w:t>
      </w:r>
    </w:p>
    <w:p w:rsidR="003143BC" w:rsidRDefault="003143BC"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d</w:t>
      </w:r>
      <w:r w:rsidRPr="00BD29EC">
        <w:rPr>
          <w:rFonts w:eastAsia="Arial Unicode MS"/>
          <w:b/>
          <w:szCs w:val="24"/>
          <w:bdr w:val="nil"/>
          <w:lang w:eastAsia="ru-RU"/>
        </w:rPr>
        <w:t xml:space="preserve">. </w:t>
      </w:r>
      <w:r w:rsidR="00291FA0">
        <w:rPr>
          <w:rFonts w:eastAsia="Arial Unicode MS"/>
          <w:b/>
          <w:szCs w:val="24"/>
          <w:bdr w:val="nil"/>
          <w:lang w:eastAsia="ru-RU"/>
        </w:rPr>
        <w:t>Ряд</w:t>
      </w:r>
    </w:p>
    <w:p w:rsidR="003A325C" w:rsidRDefault="003A325C" w:rsidP="00004BE3">
      <w:pPr>
        <w:pBdr>
          <w:top w:val="nil"/>
          <w:left w:val="nil"/>
          <w:bottom w:val="nil"/>
          <w:right w:val="nil"/>
          <w:between w:val="nil"/>
          <w:bar w:val="nil"/>
        </w:pBdr>
        <w:tabs>
          <w:tab w:val="left" w:pos="284"/>
        </w:tabs>
        <w:spacing w:after="0"/>
      </w:pPr>
    </w:p>
    <w:p w:rsidR="00004BE3" w:rsidRDefault="00C8596F" w:rsidP="00004BE3">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e</w:t>
      </w:r>
      <w:r w:rsidRPr="00BD29EC">
        <w:rPr>
          <w:rFonts w:eastAsia="Arial Unicode MS"/>
          <w:b/>
          <w:szCs w:val="24"/>
          <w:bdr w:val="nil"/>
          <w:lang w:eastAsia="ru-RU"/>
        </w:rPr>
        <w:t xml:space="preserve">. Обновление данных </w:t>
      </w:r>
    </w:p>
    <w:p w:rsidR="00A30D97" w:rsidRPr="00004BE3" w:rsidRDefault="00A30D97" w:rsidP="00A30D97">
      <w:pPr>
        <w:rPr>
          <w:rFonts w:eastAsia="Arial Unicode MS"/>
          <w:b/>
          <w:szCs w:val="24"/>
          <w:bdr w:val="nil"/>
          <w:lang w:eastAsia="ru-RU"/>
        </w:rPr>
      </w:pPr>
      <w:r>
        <w:t>2021-05-01</w:t>
      </w:r>
    </w:p>
    <w:p w:rsidR="00C8596F" w:rsidRDefault="00C8596F"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DA19D7">
        <w:rPr>
          <w:rFonts w:eastAsia="Arial Unicode MS"/>
          <w:b/>
          <w:szCs w:val="24"/>
          <w:bdr w:val="nil"/>
          <w:lang w:eastAsia="ru-RU"/>
        </w:rPr>
        <w:t>0.</w:t>
      </w:r>
      <w:r w:rsidRPr="00BD29EC">
        <w:rPr>
          <w:rFonts w:eastAsia="Arial Unicode MS"/>
          <w:b/>
          <w:szCs w:val="24"/>
          <w:bdr w:val="nil"/>
          <w:lang w:val="en-US" w:eastAsia="ru-RU"/>
        </w:rPr>
        <w:t>f</w:t>
      </w:r>
      <w:r w:rsidRPr="00DA19D7">
        <w:rPr>
          <w:rFonts w:eastAsia="Arial Unicode MS"/>
          <w:b/>
          <w:szCs w:val="24"/>
          <w:bdr w:val="nil"/>
          <w:lang w:eastAsia="ru-RU"/>
        </w:rPr>
        <w:t xml:space="preserve">. </w:t>
      </w:r>
      <w:r w:rsidRPr="00BD29EC">
        <w:rPr>
          <w:rFonts w:eastAsia="Arial Unicode MS"/>
          <w:b/>
          <w:szCs w:val="24"/>
          <w:bdr w:val="nil"/>
          <w:lang w:eastAsia="ru-RU"/>
        </w:rPr>
        <w:t>Связанныепоказатели</w:t>
      </w:r>
    </w:p>
    <w:p w:rsidR="000C0B35" w:rsidRPr="004717D0" w:rsidRDefault="000C0B35" w:rsidP="000C0B35">
      <w:pPr>
        <w:autoSpaceDE w:val="0"/>
        <w:autoSpaceDN w:val="0"/>
        <w:adjustRightInd w:val="0"/>
        <w:rPr>
          <w:rFonts w:eastAsia="Times New Roman"/>
          <w:color w:val="000000"/>
          <w:lang w:eastAsia="zh-CN"/>
        </w:rPr>
      </w:pPr>
      <w:r w:rsidRPr="004717D0">
        <w:rPr>
          <w:rFonts w:eastAsia="Times New Roman"/>
          <w:color w:val="000000"/>
          <w:lang w:eastAsia="zh-CN"/>
        </w:rPr>
        <w:t xml:space="preserve">Показатель ЦУР 16.7.2 дополняет показатель 16.7.1 (в рамках той же цели 16.7 - «Обеспечить ответственное принятие решений репрезентативными органами на всех уровнях с участием всех слоев общества»), который опирается на административные источники данных для измерения пропорционального представительства различных групп населения в государственных учреждениях. Эти два показателя в значительной степени дополняют друг друга, поскольку только пропорциональное представительство не является гарантией того, что все группы населения, представленные в государственных учреждениях, имеют равные полномочия для принятия решений или что все группы населения в национальном населении имеют равные возможности выражать свои интересы и предпочтения и оказывать влияние на общественность.принятие решения. Показатель 16.7.2 предоставляет важную дополнительную информацию, фокусируясь на инклюзивности и оперативности принятия решений, как это воспринимается населением (на основе </w:t>
      </w:r>
      <w:r>
        <w:rPr>
          <w:rFonts w:eastAsia="Times New Roman"/>
          <w:color w:val="000000"/>
          <w:lang w:eastAsia="zh-CN"/>
        </w:rPr>
        <w:t>обследований</w:t>
      </w:r>
      <w:r w:rsidRPr="004717D0">
        <w:rPr>
          <w:rFonts w:eastAsia="Times New Roman"/>
          <w:color w:val="000000"/>
          <w:lang w:eastAsia="zh-CN"/>
        </w:rPr>
        <w:t xml:space="preserve"> населения).</w:t>
      </w:r>
    </w:p>
    <w:p w:rsidR="000C0B35" w:rsidRPr="004717D0" w:rsidRDefault="000C0B35" w:rsidP="000C0B35">
      <w:pPr>
        <w:rPr>
          <w:color w:val="000000"/>
          <w:shd w:val="clear" w:color="auto" w:fill="FFFFFF"/>
        </w:rPr>
      </w:pPr>
      <w:r w:rsidRPr="004717D0">
        <w:rPr>
          <w:rFonts w:eastAsia="Times New Roman"/>
          <w:color w:val="000000"/>
          <w:lang w:eastAsia="zh-CN"/>
        </w:rPr>
        <w:t>Показатель</w:t>
      </w:r>
      <w:r w:rsidRPr="004717D0">
        <w:rPr>
          <w:color w:val="000000"/>
          <w:shd w:val="clear" w:color="auto" w:fill="FFFFFF"/>
        </w:rPr>
        <w:t xml:space="preserve"> 16.7.2 также может использоваться для дополнения цели 10.2 ЦУР по содействию «социальной, экономической и политической интеграции всех, независимо от возраста, пола, инвалидности, расы, этнической принадлежности, происхождения, религии или экономического или </w:t>
      </w:r>
      <w:r>
        <w:rPr>
          <w:color w:val="000000"/>
          <w:shd w:val="clear" w:color="auto" w:fill="FFFFFF"/>
        </w:rPr>
        <w:t>ин</w:t>
      </w:r>
      <w:r w:rsidRPr="004717D0">
        <w:rPr>
          <w:color w:val="000000"/>
          <w:shd w:val="clear" w:color="auto" w:fill="FFFFFF"/>
        </w:rPr>
        <w:t xml:space="preserve">ого статуса», который имеет только один показатель, измеряющий экономическое отчуждение (ЦУР 10.2.1 - Доля людей с доходом ниже 50 процентов медианного дохода в разбивке по полу, возрасту и признаку инвалидности). Поэтому показатель 16.7.2 предоставляет важную дополнительную информацию для </w:t>
      </w:r>
      <w:r w:rsidRPr="004717D0">
        <w:rPr>
          <w:color w:val="000000"/>
          <w:shd w:val="clear" w:color="auto" w:fill="FFFFFF"/>
        </w:rPr>
        <w:lastRenderedPageBreak/>
        <w:t>оценки прогресса в достижении этой цели путем предоставления данных о политической интеграции.</w:t>
      </w:r>
    </w:p>
    <w:p w:rsidR="000C0B35" w:rsidRPr="000C0B35" w:rsidRDefault="000C0B35" w:rsidP="000C0B35">
      <w:pPr>
        <w:rPr>
          <w:color w:val="000000"/>
          <w:shd w:val="clear" w:color="auto" w:fill="FFFFFF"/>
        </w:rPr>
      </w:pPr>
      <w:r w:rsidRPr="004717D0">
        <w:rPr>
          <w:color w:val="000000"/>
          <w:shd w:val="clear" w:color="auto" w:fill="FFFFFF"/>
        </w:rPr>
        <w:t>Аналогичным образом, 16.7.2 может также использоваться для дополнения цели 10.3 ЦУР «Обеспечить равенство возможностей и уменьшить неравенство результатов, в том числе путем отмены дискриминационных законов, политики и практики и содействия принятию соответствующего законодательства, политики и мер в этом направлении», которое имеет только один показатель измерения чувствительности к дискриминации по различным признакам (ЦУР 10.3.1 Доля населения, сообщившего о том, что в течение последних 12 месяцев они лично столкнулись с дискриминацией или преследованиями на основании, дискриминация на котором запрещена международным правом прав человека). Поэтому показатель 16.7.2 предоставляет соответствующую дополнительную информацию для измерения прогресса в достижении этой цели, помогая определить, могут ли определенные группы населения чувствовать себя дискриминированными с точки зрения их включения в общественное принятие решений и степени, в которой политические институ</w:t>
      </w:r>
      <w:r>
        <w:rPr>
          <w:color w:val="000000"/>
          <w:shd w:val="clear" w:color="auto" w:fill="FFFFFF"/>
        </w:rPr>
        <w:t>ты реагируют на их требования /</w:t>
      </w:r>
      <w:r w:rsidRPr="004717D0">
        <w:rPr>
          <w:color w:val="000000"/>
          <w:shd w:val="clear" w:color="auto" w:fill="FFFFFF"/>
        </w:rPr>
        <w:t>предпочтения.</w:t>
      </w:r>
    </w:p>
    <w:p w:rsidR="00A91FDE" w:rsidRDefault="00E33CA8" w:rsidP="0075371E">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g</w:t>
      </w:r>
      <w:r w:rsidRPr="00BD29EC">
        <w:rPr>
          <w:rFonts w:eastAsia="Arial Unicode MS"/>
          <w:b/>
          <w:szCs w:val="24"/>
          <w:bdr w:val="nil"/>
          <w:lang w:eastAsia="ru-RU"/>
        </w:rPr>
        <w:t>. Международные организации, ответственные за глобальный мониторинг</w:t>
      </w:r>
    </w:p>
    <w:p w:rsidR="000C0B35" w:rsidRPr="000C0B35" w:rsidRDefault="000C0B35" w:rsidP="000C0B35">
      <w:pPr>
        <w:rPr>
          <w:color w:val="4A4A4A"/>
          <w:lang w:eastAsia="en-GB"/>
        </w:rPr>
      </w:pPr>
      <w:r w:rsidRPr="00F7169A">
        <w:rPr>
          <w:lang w:eastAsia="en-GB"/>
        </w:rPr>
        <w:t>Центр управления ПРООН в Осло</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0C0B35" w:rsidRPr="000C0B35" w:rsidRDefault="000C0B35" w:rsidP="000C0B35">
      <w:pPr>
        <w:shd w:val="clear" w:color="auto" w:fill="FFFFFF"/>
        <w:rPr>
          <w:color w:val="4A4A4A"/>
          <w:lang w:eastAsia="en-GB"/>
        </w:rPr>
      </w:pPr>
      <w:r w:rsidRPr="00F7169A">
        <w:rPr>
          <w:color w:val="000000"/>
          <w:lang w:eastAsia="en-GB"/>
        </w:rPr>
        <w:t>Центр управления ПРООН в Осло</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sz w:val="24"/>
          <w:szCs w:val="24"/>
          <w:lang w:val="ru-RU"/>
        </w:rPr>
      </w:pPr>
      <w:r>
        <w:rPr>
          <w:color w:val="000000"/>
          <w:sz w:val="24"/>
          <w:szCs w:val="24"/>
          <w:lang w:val="ru-RU"/>
        </w:rPr>
        <w:t>Определение:</w:t>
      </w:r>
    </w:p>
    <w:p w:rsidR="000C0B35" w:rsidRPr="000C0B35" w:rsidRDefault="000C0B35" w:rsidP="000C0B35">
      <w:pPr>
        <w:shd w:val="clear" w:color="auto" w:fill="FFFFFF"/>
        <w:rPr>
          <w:lang w:eastAsia="en-GB"/>
        </w:rPr>
      </w:pPr>
      <w:r w:rsidRPr="00C951EC">
        <w:rPr>
          <w:lang w:eastAsia="en-GB"/>
        </w:rPr>
        <w:t xml:space="preserve">Этот показатель, основанный на </w:t>
      </w:r>
      <w:r>
        <w:rPr>
          <w:lang w:eastAsia="en-GB"/>
        </w:rPr>
        <w:t>обследовании</w:t>
      </w:r>
      <w:r w:rsidRPr="00C951EC">
        <w:rPr>
          <w:lang w:eastAsia="en-GB"/>
        </w:rPr>
        <w:t>, измеряет самооценку «внешней политической эффективности», то есть степень, в которо</w:t>
      </w:r>
      <w:r>
        <w:rPr>
          <w:lang w:eastAsia="en-GB"/>
        </w:rPr>
        <w:t>й люди думают, что политики и/</w:t>
      </w:r>
      <w:r w:rsidRPr="00C951EC">
        <w:rPr>
          <w:lang w:eastAsia="en-GB"/>
        </w:rPr>
        <w:t>или политические институты будут прислушиваться к мнениям простых граждан и реагировать на них.</w:t>
      </w:r>
    </w:p>
    <w:p w:rsidR="000C0B35" w:rsidRPr="00C951EC" w:rsidRDefault="000C0B35" w:rsidP="000C0B35">
      <w:pPr>
        <w:shd w:val="clear" w:color="auto" w:fill="FFFFFF"/>
        <w:rPr>
          <w:color w:val="000000"/>
          <w:lang w:eastAsia="en-GB"/>
        </w:rPr>
      </w:pPr>
      <w:r w:rsidRPr="00C951EC">
        <w:rPr>
          <w:color w:val="000000"/>
          <w:lang w:eastAsia="en-GB"/>
        </w:rPr>
        <w:t xml:space="preserve">Для решения обоих аспектов, охватываемых этим показателем, в показателе 16.7.2 ЦУР используются два хорошо известных вопроса </w:t>
      </w:r>
      <w:r>
        <w:rPr>
          <w:color w:val="000000"/>
          <w:lang w:eastAsia="en-GB"/>
        </w:rPr>
        <w:t>обследования</w:t>
      </w:r>
      <w:r w:rsidRPr="00C951EC">
        <w:rPr>
          <w:color w:val="000000"/>
          <w:lang w:eastAsia="en-GB"/>
        </w:rPr>
        <w:t xml:space="preserve">, а именно: 1) </w:t>
      </w:r>
      <w:r>
        <w:rPr>
          <w:color w:val="000000"/>
          <w:lang w:eastAsia="en-GB"/>
        </w:rPr>
        <w:t>первый</w:t>
      </w:r>
      <w:r w:rsidRPr="00C951EC">
        <w:rPr>
          <w:color w:val="000000"/>
          <w:lang w:eastAsia="en-GB"/>
        </w:rPr>
        <w:t xml:space="preserve"> вопрос, измеряющий степень, в которой люди чувствуют, что они имеют право голоса в действиях правительства (фокусируется на </w:t>
      </w:r>
      <w:r w:rsidRPr="00C951EC">
        <w:rPr>
          <w:i/>
          <w:color w:val="000000"/>
          <w:lang w:eastAsia="en-GB"/>
        </w:rPr>
        <w:t>инклюзивном</w:t>
      </w:r>
      <w:r w:rsidRPr="00C951EC">
        <w:rPr>
          <w:color w:val="000000"/>
          <w:lang w:eastAsia="en-GB"/>
        </w:rPr>
        <w:t xml:space="preserve"> участии в принятие решений) и 2) второй вопрос, измеряющий степень, в которой люди чувствуют, что политическая система позволяет им влиять на политику (сосредоточиться на принятии </w:t>
      </w:r>
      <w:r w:rsidRPr="00C951EC">
        <w:rPr>
          <w:i/>
          <w:color w:val="000000"/>
          <w:lang w:eastAsia="en-GB"/>
        </w:rPr>
        <w:t>ответственных</w:t>
      </w:r>
      <w:r w:rsidRPr="00C951EC">
        <w:rPr>
          <w:color w:val="000000"/>
          <w:lang w:eastAsia="en-GB"/>
        </w:rPr>
        <w:t xml:space="preserve"> решений).</w:t>
      </w:r>
    </w:p>
    <w:p w:rsidR="000C0B35" w:rsidRDefault="000C0B35" w:rsidP="000C0B35">
      <w:pPr>
        <w:shd w:val="clear" w:color="auto" w:fill="FFFFFF"/>
        <w:rPr>
          <w:color w:val="000000"/>
          <w:lang w:eastAsia="en-GB"/>
        </w:rPr>
      </w:pPr>
      <w:r w:rsidRPr="00C951EC">
        <w:rPr>
          <w:color w:val="000000"/>
          <w:lang w:eastAsia="en-GB"/>
        </w:rPr>
        <w:t>Необходимо приложить все усилия для дезагрегации результатов опроса по этим двум вопросам по полу,</w:t>
      </w:r>
      <w:r>
        <w:rPr>
          <w:color w:val="000000"/>
          <w:lang w:eastAsia="en-GB"/>
        </w:rPr>
        <w:t xml:space="preserve"> возрасту,</w:t>
      </w:r>
      <w:r w:rsidRPr="00C951EC">
        <w:rPr>
          <w:color w:val="000000"/>
          <w:lang w:eastAsia="en-GB"/>
        </w:rPr>
        <w:t xml:space="preserve"> уровню дохода, уровню образования, месту жительства (административный район, например, </w:t>
      </w:r>
      <w:r>
        <w:rPr>
          <w:color w:val="000000"/>
          <w:lang w:eastAsia="en-GB"/>
        </w:rPr>
        <w:t>провинция, штат, район; город/</w:t>
      </w:r>
      <w:r w:rsidRPr="00C951EC">
        <w:rPr>
          <w:color w:val="000000"/>
          <w:lang w:eastAsia="en-GB"/>
        </w:rPr>
        <w:t>село), статусу инвалидности, национально значимым группам населения.</w:t>
      </w:r>
    </w:p>
    <w:p w:rsidR="000C0B35" w:rsidRPr="000C0B35" w:rsidRDefault="000C0B35" w:rsidP="000C0B35">
      <w:pPr>
        <w:shd w:val="clear" w:color="auto" w:fill="FFFFFF"/>
        <w:rPr>
          <w:color w:val="000000"/>
          <w:lang w:eastAsia="en-GB"/>
        </w:rPr>
      </w:pPr>
    </w:p>
    <w:p w:rsidR="00DA19D7" w:rsidRDefault="003859BD" w:rsidP="000C0B35">
      <w:r>
        <w:lastRenderedPageBreak/>
        <w:t>Основные понятия</w:t>
      </w:r>
    </w:p>
    <w:p w:rsidR="000C0B35" w:rsidRPr="00C951EC" w:rsidRDefault="000C0B35" w:rsidP="000C0B35">
      <w:pPr>
        <w:rPr>
          <w:lang w:eastAsia="en-GB"/>
        </w:rPr>
      </w:pPr>
      <w:r w:rsidRPr="00C951EC">
        <w:rPr>
          <w:lang w:eastAsia="en-GB"/>
        </w:rPr>
        <w:t>относится к принятию решений в сфере государственного управления (и не ко всем процессам принятия решений).</w:t>
      </w:r>
    </w:p>
    <w:p w:rsidR="000C0B35" w:rsidRPr="00C951EC" w:rsidRDefault="000C0B35" w:rsidP="000C0B35">
      <w:pPr>
        <w:rPr>
          <w:lang w:eastAsia="en-GB"/>
        </w:rPr>
      </w:pPr>
      <w:r w:rsidRPr="00C951EC">
        <w:rPr>
          <w:b/>
          <w:i/>
          <w:lang w:eastAsia="en-GB"/>
        </w:rPr>
        <w:t>Инклюзивное</w:t>
      </w:r>
      <w:r w:rsidRPr="00C951EC">
        <w:rPr>
          <w:b/>
          <w:lang w:eastAsia="en-GB"/>
        </w:rPr>
        <w:t xml:space="preserve"> принятие решений</w:t>
      </w:r>
      <w:r w:rsidRPr="00C951EC">
        <w:rPr>
          <w:lang w:eastAsia="en-GB"/>
        </w:rPr>
        <w:t>: процессы принятия решений, которые дают людям возможность «иметь право голоса», то есть высказ</w:t>
      </w:r>
      <w:r>
        <w:rPr>
          <w:lang w:eastAsia="en-GB"/>
        </w:rPr>
        <w:t>ывать свои требования, мнения и/и</w:t>
      </w:r>
      <w:r w:rsidRPr="00C951EC">
        <w:rPr>
          <w:lang w:eastAsia="en-GB"/>
        </w:rPr>
        <w:t>ли предпочтения лицам, принимающим решения.</w:t>
      </w:r>
    </w:p>
    <w:p w:rsidR="000C0B35" w:rsidRPr="00C951EC" w:rsidRDefault="000C0B35" w:rsidP="000C0B35">
      <w:pPr>
        <w:rPr>
          <w:lang w:eastAsia="en-GB"/>
        </w:rPr>
      </w:pPr>
      <w:r w:rsidRPr="00C951EC">
        <w:rPr>
          <w:b/>
          <w:i/>
          <w:lang w:eastAsia="en-GB"/>
        </w:rPr>
        <w:t>Адаптивное</w:t>
      </w:r>
      <w:r w:rsidRPr="00C951EC">
        <w:rPr>
          <w:b/>
          <w:lang w:eastAsia="en-GB"/>
        </w:rPr>
        <w:t xml:space="preserve"> принятие решений:</w:t>
      </w:r>
      <w:r w:rsidRPr="00C951EC">
        <w:rPr>
          <w:lang w:eastAsia="en-GB"/>
        </w:rPr>
        <w:t xml:space="preserve"> процессы принятия решений, когда политики и</w:t>
      </w:r>
      <w:r>
        <w:rPr>
          <w:lang w:eastAsia="en-GB"/>
        </w:rPr>
        <w:t>/</w:t>
      </w:r>
      <w:r w:rsidRPr="00C951EC">
        <w:rPr>
          <w:lang w:eastAsia="en-GB"/>
        </w:rPr>
        <w:t>или политические институты прислушиваются к высказанным требованиям, мнениям и</w:t>
      </w:r>
      <w:r>
        <w:rPr>
          <w:lang w:eastAsia="en-GB"/>
        </w:rPr>
        <w:t>/</w:t>
      </w:r>
      <w:r w:rsidRPr="00C951EC">
        <w:rPr>
          <w:lang w:eastAsia="en-GB"/>
        </w:rPr>
        <w:t>или предпочтениям людей и действуют в соответствии с ними.</w:t>
      </w:r>
    </w:p>
    <w:p w:rsidR="000C0B35" w:rsidRPr="00DA19D7" w:rsidRDefault="000C0B35" w:rsidP="00DA19D7">
      <w:pPr>
        <w:pStyle w:val="MText"/>
        <w:rPr>
          <w:color w:val="000000"/>
          <w:sz w:val="24"/>
          <w:szCs w:val="24"/>
          <w:lang w:val="ru-RU"/>
        </w:rPr>
      </w:pP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0C0B35" w:rsidP="000C0B35">
      <w:r>
        <w:t>Процент</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0C0B35" w:rsidP="000C0B35">
      <w:r>
        <w:t>Не применимо.</w:t>
      </w: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0C0B35" w:rsidRPr="00BD29EC" w:rsidRDefault="000C0B35" w:rsidP="000C0B35">
      <w:r w:rsidRPr="000C0B35">
        <w:t>Этот показатель необходимо измерять на основе данных, собранных НСУ в ходе официальных обследований домохозяйств.</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07779B" w:rsidRPr="00BD29EC" w:rsidRDefault="0007779B" w:rsidP="0007779B">
      <w:r>
        <w:t>НСУ</w:t>
      </w:r>
      <w:r w:rsidRPr="0007779B">
        <w:t xml:space="preserve"> должны определить подходящие инструменты обследования для включения двух вопросов для </w:t>
      </w:r>
      <w:r>
        <w:t>измерения показателя 16.7.2 ЦУР с учетом приведенных выше руководящих</w:t>
      </w:r>
      <w:r w:rsidRPr="0007779B">
        <w:t xml:space="preserve"> принцип</w:t>
      </w:r>
      <w:r>
        <w:t>ов</w:t>
      </w:r>
      <w:r w:rsidRPr="0007779B">
        <w:t xml:space="preserve"> в отношении методологии обследования.</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BA0FA2" w:rsidRPr="00BA0FA2" w:rsidRDefault="00BA0FA2" w:rsidP="00BA0FA2">
      <w:r w:rsidRPr="00BA0FA2">
        <w:t>Чтобы своевременно фиксировать изменения в уровнях внешнеполитической эффективности, НСУ должны представлять данные по показателю 16.7.2 не реже одного раза в два года.</w:t>
      </w:r>
    </w:p>
    <w:p w:rsidR="00BA0FA2" w:rsidRPr="00BD29EC" w:rsidRDefault="00BA0FA2" w:rsidP="00BA0FA2">
      <w:r w:rsidRPr="00BA0FA2">
        <w:t>НСУ необходимо будет выбрать наиболее подходящее время/период для администрирования вопросов 16.7.2. Следует избегать избирательных периодов, а НСУ следует стремиться к середине избирательного срока. Опыт показывает, что опросы, проводимые в начале избирательного срока, дают больше положительных ответов, чем опросы, проводимые в конце срока.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9B6F83" w:rsidRPr="00BD29EC" w:rsidRDefault="009B6F83" w:rsidP="009B6F83">
      <w:r w:rsidRPr="009B6F83">
        <w:t xml:space="preserve">Данные будут сообщаться на международном уровне в апреле каждого года. Первый полный выпуск данных по </w:t>
      </w:r>
      <w:r>
        <w:t>показателю</w:t>
      </w:r>
      <w:r w:rsidRPr="009B6F83">
        <w:t xml:space="preserve"> состоится в апреле 2021 года.</w:t>
      </w:r>
    </w:p>
    <w:p w:rsidR="000A229E" w:rsidRDefault="000A229E" w:rsidP="0075371E">
      <w:pPr>
        <w:pStyle w:val="MHeader2"/>
        <w:rPr>
          <w:b/>
          <w:color w:val="auto"/>
          <w:sz w:val="24"/>
          <w:szCs w:val="24"/>
          <w:lang w:val="ru-RU"/>
        </w:rPr>
      </w:pPr>
      <w:r w:rsidRPr="00BD29EC">
        <w:rPr>
          <w:color w:val="auto"/>
          <w:sz w:val="24"/>
          <w:szCs w:val="24"/>
          <w:lang w:val="ru-RU"/>
        </w:rPr>
        <w:lastRenderedPageBreak/>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C24BA9" w:rsidRPr="00A71EC6" w:rsidRDefault="00C24BA9" w:rsidP="00C24BA9">
      <w:r>
        <w:t>НСУ</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C24BA9" w:rsidRPr="00BD29EC" w:rsidRDefault="00C24BA9" w:rsidP="00C24BA9">
      <w:r w:rsidRPr="00C24BA9">
        <w:t>ПРООН</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C24BA9" w:rsidP="00C24BA9">
      <w:r w:rsidRPr="00C24BA9">
        <w:t>ПРООН помогает партнерам из национальных и местных органов власти создавать дееспособные, оперативно реагирующие, открытые, инклюзивные и подотчетные основные институты управления, которые укрепляют динамичные отношения между государством и народом во всех контекстах развития, поддерживая всеохватные политические процессы и усиливая участие многих заинтересованных сторон на местный уровень для более широкого участия и потенциала сообщества и включения маргинализированных групп.</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5811A9" w:rsidRPr="00C951EC" w:rsidRDefault="005811A9" w:rsidP="005811A9">
      <w:pPr>
        <w:rPr>
          <w:lang w:eastAsia="en-GB"/>
        </w:rPr>
      </w:pPr>
      <w:r w:rsidRPr="00C951EC">
        <w:rPr>
          <w:lang w:eastAsia="en-GB"/>
        </w:rPr>
        <w:t>Показатель ЦУР 16.7.2 относится к концепции «политической эффективности», которая датируется 1950-ми годами, когда эта концепция обсуждалась совместно с политическим доверием в качестве ключевой меры общего состояния демократической системы (Craigetal, 1990). Его можно определить как «ощущение, что политические и социальные перемены возможны и что отдельный гражданин может сыграть свою роль в достижении этих изменений» (Кэмпбелл, Гурин и Миллер, 1954, с.187). Это восприятие, что люди могут влиять на принятие решений, поскольку для них это означает выполнение своих гражданских обязанностей (Acoketal, 1985).</w:t>
      </w:r>
    </w:p>
    <w:p w:rsidR="005811A9" w:rsidRPr="00C951EC" w:rsidRDefault="005811A9" w:rsidP="005811A9">
      <w:pPr>
        <w:rPr>
          <w:lang w:eastAsia="en-GB"/>
        </w:rPr>
      </w:pPr>
      <w:r w:rsidRPr="00C951EC">
        <w:rPr>
          <w:lang w:eastAsia="en-GB"/>
        </w:rPr>
        <w:t>Способность участвовать в жизни общества, иметь право голоса при формировании политики и выражать несогласие без страха - это основные свободы. Политический голос также вносит коррективы в государственную политику: он может обеспечить подотчетность должностных лиц и государственных учреждений, выявить, что людям нужно и ценно, и привлечь внимание к значительным лишениям. Политический голос также уменьшает вероятность возникновения конфликтов и повышает перспективы достижения консенсуса по ключевым вопросам, что дает преимущества в плане экономической эффективности, социальной справедливости и открытости в общественной жизни.</w:t>
      </w:r>
      <w:r w:rsidRPr="00C951EC">
        <w:rPr>
          <w:rStyle w:val="a6"/>
          <w:color w:val="000000"/>
          <w:lang w:val="en-GB" w:eastAsia="en-GB"/>
        </w:rPr>
        <w:footnoteReference w:id="2"/>
      </w:r>
    </w:p>
    <w:p w:rsidR="005811A9" w:rsidRPr="00C951EC" w:rsidRDefault="005811A9" w:rsidP="005811A9">
      <w:pPr>
        <w:rPr>
          <w:rFonts w:eastAsia="Times New Roman"/>
          <w:lang w:eastAsia="en-GB"/>
        </w:rPr>
      </w:pPr>
      <w:r w:rsidRPr="00C951EC">
        <w:rPr>
          <w:rFonts w:eastAsia="Times New Roman"/>
          <w:lang w:eastAsia="en-GB"/>
        </w:rPr>
        <w:t xml:space="preserve">После первоначальных исследований Кэмпбелла, Гурина и Миллера (1954) и Кэмпбелла, Конверса, Миллера и Стоукса (1960) конструкция политической эффективности рассматривается как важный показатель политического участия и как положительный результат участия (Финкель, 1985). Высокий уровень политической эффективности среди граждан считается желательным для демократической стабильности. Люди, которые </w:t>
      </w:r>
      <w:r w:rsidRPr="00C951EC">
        <w:rPr>
          <w:rFonts w:eastAsia="Times New Roman"/>
          <w:lang w:eastAsia="en-GB"/>
        </w:rPr>
        <w:lastRenderedPageBreak/>
        <w:t>уверены в своей способности влиять на действия своего правительства, с большей вероятностью будут поддерживать демократическую систему управления (Истон, 1965)</w:t>
      </w:r>
    </w:p>
    <w:p w:rsidR="005811A9" w:rsidRPr="005811A9" w:rsidRDefault="005811A9" w:rsidP="005811A9">
      <w:pPr>
        <w:rPr>
          <w:rFonts w:eastAsia="Times New Roman"/>
          <w:b/>
          <w:lang w:eastAsia="en-GB"/>
        </w:rPr>
      </w:pPr>
      <w:r w:rsidRPr="00C951EC">
        <w:rPr>
          <w:rFonts w:eastAsia="Times New Roman"/>
          <w:lang w:eastAsia="en-GB"/>
        </w:rPr>
        <w:t xml:space="preserve">Есть два измерения политической эффективности. Во-первых, субъективная компетентность, или «внутренняя эффективность», может быть определена как уверенность индивида в его или ее собственных способностях понимать политику и действовать политически. Во-вторых, отзывчивость системы, или «внешняя эффективность», может быть определена как вера индивида в </w:t>
      </w:r>
      <w:r>
        <w:rPr>
          <w:rFonts w:eastAsia="Times New Roman"/>
          <w:lang w:eastAsia="en-GB"/>
        </w:rPr>
        <w:t>восприимчивость</w:t>
      </w:r>
      <w:r w:rsidRPr="00C951EC">
        <w:rPr>
          <w:rFonts w:eastAsia="Times New Roman"/>
          <w:lang w:eastAsia="en-GB"/>
        </w:rPr>
        <w:t xml:space="preserve"> политической системы, то есть процессы выработки политики и правительственные решения, которые отвечают общественным требованиям или предпочтениям (Lane 1959; Converse 1972; Balch 1974). </w:t>
      </w:r>
      <w:r w:rsidRPr="00C951EC">
        <w:rPr>
          <w:rFonts w:eastAsia="Times New Roman"/>
          <w:b/>
          <w:lang w:eastAsia="en-GB"/>
        </w:rPr>
        <w:t>Показатель ЦУР 16.7.2 фокусируется только на этом втором измерении, «внешней эффективности».</w:t>
      </w:r>
    </w:p>
    <w:p w:rsidR="005811A9" w:rsidRPr="00C951EC" w:rsidRDefault="005811A9" w:rsidP="005811A9">
      <w:pPr>
        <w:rPr>
          <w:rFonts w:eastAsia="Times New Roman"/>
          <w:lang w:eastAsia="zh-CN"/>
        </w:rPr>
      </w:pPr>
      <w:r w:rsidRPr="00C951EC">
        <w:rPr>
          <w:rFonts w:eastAsia="Times New Roman"/>
          <w:lang w:eastAsia="zh-CN"/>
        </w:rPr>
        <w:t>Уровни внешней эффективности в разных группах населения важно измерять, поскольку они коррелируют с доверием к правительству и оценками правительства (</w:t>
      </w:r>
      <w:r w:rsidRPr="00C951EC">
        <w:rPr>
          <w:rFonts w:eastAsia="Times New Roman"/>
          <w:lang w:val="en-US" w:eastAsia="zh-CN"/>
        </w:rPr>
        <w:t>Finkel</w:t>
      </w:r>
      <w:r w:rsidRPr="00C951EC">
        <w:rPr>
          <w:rFonts w:eastAsia="Times New Roman"/>
          <w:lang w:eastAsia="zh-CN"/>
        </w:rPr>
        <w:t xml:space="preserve">, 1985; </w:t>
      </w:r>
      <w:r w:rsidRPr="00C951EC">
        <w:rPr>
          <w:rFonts w:eastAsia="Times New Roman"/>
          <w:lang w:val="en-US" w:eastAsia="zh-CN"/>
        </w:rPr>
        <w:t>Quintilier</w:t>
      </w:r>
      <w:r w:rsidRPr="00C951EC">
        <w:rPr>
          <w:rFonts w:eastAsia="Times New Roman"/>
          <w:lang w:eastAsia="zh-CN"/>
        </w:rPr>
        <w:t>&amp;</w:t>
      </w:r>
      <w:r w:rsidRPr="00C951EC">
        <w:rPr>
          <w:rFonts w:eastAsia="Times New Roman"/>
          <w:lang w:val="en-US" w:eastAsia="zh-CN"/>
        </w:rPr>
        <w:t>Hooghe</w:t>
      </w:r>
      <w:r w:rsidRPr="00C951EC">
        <w:rPr>
          <w:rFonts w:eastAsia="Times New Roman"/>
          <w:lang w:eastAsia="zh-CN"/>
        </w:rPr>
        <w:t>, 2012), а также с восприятием легитимности государственных учреждений (</w:t>
      </w:r>
      <w:r w:rsidRPr="00C951EC">
        <w:rPr>
          <w:rFonts w:eastAsia="Times New Roman"/>
          <w:lang w:val="en-US" w:eastAsia="zh-CN"/>
        </w:rPr>
        <w:t>Mcevoy</w:t>
      </w:r>
      <w:r>
        <w:rPr>
          <w:rFonts w:eastAsia="Times New Roman"/>
          <w:lang w:eastAsia="zh-CN"/>
        </w:rPr>
        <w:t>, 2016).</w:t>
      </w:r>
      <w:r w:rsidRPr="00C951EC">
        <w:rPr>
          <w:rFonts w:eastAsia="Times New Roman"/>
          <w:lang w:eastAsia="zh-CN"/>
        </w:rPr>
        <w:t xml:space="preserve"> Ожидается, что более высокий уровень реагирования системы также будет связан с более высоким уровнем участия в политической жизни, включая голосование на выборах (</w:t>
      </w:r>
      <w:r w:rsidRPr="00C951EC">
        <w:rPr>
          <w:rFonts w:eastAsia="Times New Roman"/>
          <w:lang w:val="en-US" w:eastAsia="zh-CN"/>
        </w:rPr>
        <w:t>AbramsonandAldrich</w:t>
      </w:r>
      <w:r w:rsidRPr="00C951EC">
        <w:rPr>
          <w:rFonts w:eastAsia="Times New Roman"/>
          <w:lang w:eastAsia="zh-CN"/>
        </w:rPr>
        <w:t>, 1982), и с удовлетворе</w:t>
      </w:r>
      <w:r>
        <w:rPr>
          <w:rFonts w:eastAsia="Times New Roman"/>
          <w:lang w:eastAsia="zh-CN"/>
        </w:rPr>
        <w:t>нностью</w:t>
      </w:r>
      <w:r w:rsidRPr="00C951EC">
        <w:rPr>
          <w:rFonts w:eastAsia="Times New Roman"/>
          <w:lang w:eastAsia="zh-CN"/>
        </w:rPr>
        <w:t xml:space="preserve"> людей собственной жизнью (</w:t>
      </w:r>
      <w:r w:rsidRPr="00C951EC">
        <w:rPr>
          <w:rFonts w:eastAsia="Times New Roman"/>
          <w:lang w:val="en-US" w:eastAsia="zh-CN"/>
        </w:rPr>
        <w:t>FlavinandKeane</w:t>
      </w:r>
      <w:r w:rsidRPr="00C951EC">
        <w:rPr>
          <w:rFonts w:eastAsia="Times New Roman"/>
          <w:lang w:eastAsia="zh-CN"/>
        </w:rPr>
        <w:t>, 2011).</w:t>
      </w:r>
    </w:p>
    <w:p w:rsidR="005811A9" w:rsidRPr="00C951EC" w:rsidRDefault="005811A9" w:rsidP="005811A9">
      <w:pPr>
        <w:rPr>
          <w:rFonts w:eastAsia="Times New Roman"/>
          <w:lang w:eastAsia="zh-CN"/>
        </w:rPr>
      </w:pPr>
      <w:r w:rsidRPr="00C951EC">
        <w:rPr>
          <w:rFonts w:eastAsia="Times New Roman"/>
          <w:lang w:eastAsia="zh-CN"/>
        </w:rPr>
        <w:t xml:space="preserve">ОЭСР следит за уровнем внешней политической эффективности - «личным ощущением того, что имеешь право высказать свое мнение относительно работы правительства» - в рамках своего двухгодичного доклада «Измерение благосостояния» (ОЭСР, </w:t>
      </w:r>
      <w:r w:rsidRPr="004E4883">
        <w:rPr>
          <w:rFonts w:eastAsia="Times New Roman"/>
          <w:lang w:eastAsia="zh-CN"/>
        </w:rPr>
        <w:t>How’sLife?2017:</w:t>
      </w:r>
      <w:r w:rsidRPr="00C951EC">
        <w:rPr>
          <w:rFonts w:eastAsia="Times New Roman"/>
          <w:lang w:eastAsia="zh-CN"/>
        </w:rPr>
        <w:t>Измерениеблагосостояния</w:t>
      </w:r>
      <w:r w:rsidRPr="004E4883">
        <w:rPr>
          <w:rFonts w:eastAsia="Times New Roman"/>
          <w:lang w:eastAsia="zh-CN"/>
        </w:rPr>
        <w:t xml:space="preserve">, </w:t>
      </w:r>
      <w:r w:rsidRPr="00C951EC">
        <w:rPr>
          <w:rFonts w:eastAsia="Times New Roman"/>
          <w:lang w:eastAsia="zh-CN"/>
        </w:rPr>
        <w:t>с</w:t>
      </w:r>
      <w:r w:rsidRPr="004E4883">
        <w:rPr>
          <w:rFonts w:eastAsia="Times New Roman"/>
          <w:lang w:eastAsia="zh-CN"/>
        </w:rPr>
        <w:t xml:space="preserve">. 182) </w:t>
      </w:r>
      <w:r w:rsidRPr="004E4883">
        <w:t>(</w:t>
      </w:r>
      <w:hyperlink r:id="rId8" w:anchor="page26" w:history="1">
        <w:r w:rsidRPr="00C951EC">
          <w:rPr>
            <w:rStyle w:val="ad"/>
          </w:rPr>
          <w:t>OECD</w:t>
        </w:r>
        <w:r w:rsidRPr="004E4883">
          <w:rPr>
            <w:rStyle w:val="ad"/>
          </w:rPr>
          <w:t xml:space="preserve">, </w:t>
        </w:r>
        <w:r w:rsidRPr="00C951EC">
          <w:rPr>
            <w:rStyle w:val="ad"/>
          </w:rPr>
          <w:t>How</w:t>
        </w:r>
        <w:r w:rsidRPr="004E4883">
          <w:rPr>
            <w:rStyle w:val="ad"/>
          </w:rPr>
          <w:t>’</w:t>
        </w:r>
        <w:r w:rsidRPr="00C951EC">
          <w:rPr>
            <w:rStyle w:val="ad"/>
          </w:rPr>
          <w:t>sLife</w:t>
        </w:r>
        <w:r w:rsidRPr="004E4883">
          <w:rPr>
            <w:rStyle w:val="ad"/>
          </w:rPr>
          <w:t xml:space="preserve">? 2017: </w:t>
        </w:r>
        <w:r w:rsidRPr="00C951EC">
          <w:rPr>
            <w:rStyle w:val="ad"/>
          </w:rPr>
          <w:t>MeasuringWell</w:t>
        </w:r>
        <w:r w:rsidRPr="004E4883">
          <w:rPr>
            <w:rStyle w:val="ad"/>
          </w:rPr>
          <w:t>-</w:t>
        </w:r>
        <w:r w:rsidRPr="00C951EC">
          <w:rPr>
            <w:rStyle w:val="ad"/>
          </w:rPr>
          <w:t>Being</w:t>
        </w:r>
      </w:hyperlink>
      <w:r w:rsidRPr="004E4883">
        <w:t xml:space="preserve">, </w:t>
      </w:r>
      <w:r w:rsidRPr="00C951EC">
        <w:t>p</w:t>
      </w:r>
      <w:r w:rsidRPr="004E4883">
        <w:t>.182)</w:t>
      </w:r>
      <w:r w:rsidRPr="004E4883">
        <w:rPr>
          <w:rFonts w:eastAsia="Times New Roman"/>
          <w:lang w:eastAsia="zh-CN"/>
        </w:rPr>
        <w:t>.</w:t>
      </w:r>
      <w:r w:rsidRPr="00C951EC">
        <w:rPr>
          <w:rFonts w:eastAsia="Times New Roman"/>
          <w:lang w:eastAsia="zh-CN"/>
        </w:rPr>
        <w:t>Вопрос о реагировании системы, взятый из Обследования навыков взрослого населения ОЭСР (PIAAC)</w:t>
      </w:r>
      <w:r>
        <w:rPr>
          <w:rStyle w:val="a6"/>
          <w:rFonts w:eastAsia="Times New Roman"/>
          <w:lang w:eastAsia="zh-CN"/>
        </w:rPr>
        <w:footnoteReference w:id="3"/>
      </w:r>
      <w:r w:rsidRPr="00C951EC">
        <w:rPr>
          <w:rFonts w:eastAsia="Times New Roman"/>
          <w:lang w:eastAsia="zh-CN"/>
        </w:rPr>
        <w:t xml:space="preserve">, используется ОЭСР для получения одного из двух «основных </w:t>
      </w:r>
      <w:r>
        <w:rPr>
          <w:rFonts w:eastAsia="Times New Roman"/>
          <w:lang w:eastAsia="zh-CN"/>
        </w:rPr>
        <w:t>показателей</w:t>
      </w:r>
      <w:r w:rsidRPr="00C951EC">
        <w:rPr>
          <w:rFonts w:eastAsia="Times New Roman"/>
          <w:lang w:eastAsia="zh-CN"/>
        </w:rPr>
        <w:t xml:space="preserve">» гражданской активности и управления для почти </w:t>
      </w:r>
      <w:r>
        <w:rPr>
          <w:rFonts w:eastAsia="Times New Roman"/>
          <w:lang w:eastAsia="zh-CN"/>
        </w:rPr>
        <w:t>40 стран ОЭСР и/</w:t>
      </w:r>
      <w:r w:rsidRPr="00C951EC">
        <w:rPr>
          <w:rFonts w:eastAsia="Times New Roman"/>
          <w:lang w:eastAsia="zh-CN"/>
        </w:rPr>
        <w:t>или стран-партнеров (Другим ключевым показателем, используемым ОЭСР, является явка избирателей). Конкретный вопрос, который ОЭСР задает респондентам: «</w:t>
      </w:r>
      <w:r w:rsidRPr="00C951EC">
        <w:rPr>
          <w:rFonts w:eastAsia="Times New Roman"/>
          <w:i/>
          <w:lang w:eastAsia="zh-CN"/>
        </w:rPr>
        <w:t>В какой мере Вы согласны или не</w:t>
      </w:r>
      <w:r w:rsidRPr="00C951EC">
        <w:rPr>
          <w:rFonts w:eastAsia="Times New Roman"/>
          <w:i/>
          <w:lang w:val="en-US" w:eastAsia="zh-CN"/>
        </w:rPr>
        <w:t> </w:t>
      </w:r>
      <w:r w:rsidRPr="00C951EC">
        <w:rPr>
          <w:rFonts w:eastAsia="Times New Roman"/>
          <w:i/>
          <w:lang w:eastAsia="zh-CN"/>
        </w:rPr>
        <w:t>согласны со</w:t>
      </w:r>
      <w:r w:rsidRPr="00C951EC">
        <w:rPr>
          <w:rFonts w:eastAsia="Times New Roman"/>
          <w:i/>
          <w:lang w:val="en-US" w:eastAsia="zh-CN"/>
        </w:rPr>
        <w:t> </w:t>
      </w:r>
      <w:r w:rsidRPr="00C951EC">
        <w:rPr>
          <w:rFonts w:eastAsia="Times New Roman"/>
          <w:i/>
          <w:lang w:eastAsia="zh-CN"/>
        </w:rPr>
        <w:t>следующими утверждениями? Такие люди, как я, не имеют права голоса относительно работы правительства»,</w:t>
      </w:r>
      <w:r w:rsidRPr="00C951EC">
        <w:rPr>
          <w:rFonts w:eastAsia="Times New Roman"/>
          <w:lang w:eastAsia="zh-CN"/>
        </w:rPr>
        <w:t xml:space="preserve"> что оценивается по 5-балльной шкале Лайкерта (от 1 «полностью согласен» до 5 «категорически не согласен»).</w:t>
      </w:r>
    </w:p>
    <w:p w:rsidR="005811A9" w:rsidRPr="005811A9" w:rsidRDefault="005811A9" w:rsidP="005811A9">
      <w:r w:rsidRPr="00C951EC">
        <w:t xml:space="preserve">С 2016 года Европейское социальное </w:t>
      </w:r>
      <w:r>
        <w:t>об</w:t>
      </w:r>
      <w:r w:rsidRPr="00C951EC">
        <w:t>следование</w:t>
      </w:r>
      <w:r w:rsidRPr="00C951EC">
        <w:rPr>
          <w:rStyle w:val="a6"/>
        </w:rPr>
        <w:footnoteReference w:id="4"/>
      </w:r>
      <w:r w:rsidRPr="00C951EC">
        <w:t xml:space="preserve"> включило в свой основной модуль два вопроса о реагировании системы, а именно: </w:t>
      </w:r>
      <w:r w:rsidRPr="00C951EC">
        <w:rPr>
          <w:i/>
        </w:rPr>
        <w:t xml:space="preserve">«Насколько вы согласны, что политическая система в [стране] позволяет таким людям, как вы, </w:t>
      </w:r>
      <w:r w:rsidRPr="00C951EC">
        <w:rPr>
          <w:rFonts w:eastAsia="Times New Roman"/>
          <w:i/>
          <w:lang w:eastAsia="zh-CN"/>
        </w:rPr>
        <w:t>высказать свое мнение относительно работы правительства</w:t>
      </w:r>
      <w:r w:rsidRPr="00C951EC">
        <w:rPr>
          <w:i/>
        </w:rPr>
        <w:t>?»</w:t>
      </w:r>
      <w:r w:rsidRPr="00C951EC">
        <w:t xml:space="preserve"> и </w:t>
      </w:r>
      <w:r w:rsidRPr="00C951EC">
        <w:rPr>
          <w:i/>
        </w:rPr>
        <w:t>«Насколько вы согласны, что политическая система в [стране] позволяет таким людям, как вы, влиять на политику?»,</w:t>
      </w:r>
      <w:r w:rsidRPr="00C951EC">
        <w:t xml:space="preserve"> каждый отве</w:t>
      </w:r>
      <w:r>
        <w:t>чал</w:t>
      </w:r>
      <w:r w:rsidRPr="00C951EC">
        <w:t xml:space="preserve"> по 5-балльной шкале Лайкерта, варьирующейся от </w:t>
      </w:r>
      <w:r w:rsidRPr="00C951EC">
        <w:lastRenderedPageBreak/>
        <w:t>«Совершенно не согласен», «Частично не согласен», «Трудно сказать, согласен или не согласен», «Частично согласен», «Полностью согласен» в последнем 9-м раунде в 2018 году. В последнем 9-м раунде в 2018 году ESS проводилась в 29 европейских странах.</w:t>
      </w:r>
      <w:r w:rsidRPr="00C951EC">
        <w:rPr>
          <w:rStyle w:val="a6"/>
        </w:rPr>
        <w:footnoteReference w:id="5"/>
      </w:r>
    </w:p>
    <w:p w:rsidR="002E15F9" w:rsidRPr="005811A9" w:rsidRDefault="005811A9" w:rsidP="005811A9">
      <w:pPr>
        <w:rPr>
          <w:rFonts w:eastAsia="Times New Roman"/>
          <w:lang w:eastAsia="zh-CN"/>
        </w:rPr>
      </w:pPr>
      <w:r>
        <w:rPr>
          <w:rFonts w:eastAsia="Times New Roman"/>
          <w:lang w:eastAsia="zh-CN"/>
        </w:rPr>
        <w:t>В рамках сво</w:t>
      </w:r>
      <w:r w:rsidRPr="00C951EC">
        <w:rPr>
          <w:rFonts w:eastAsia="Times New Roman"/>
          <w:lang w:eastAsia="zh-CN"/>
        </w:rPr>
        <w:t xml:space="preserve">его 7-ого раунда (2018-19гг.) Всемирная ассоциация по исследованию ценностей </w:t>
      </w:r>
      <w:hyperlink r:id="rId9" w:history="1">
        <w:r w:rsidRPr="00C951EC">
          <w:rPr>
            <w:rStyle w:val="ad"/>
            <w:rFonts w:eastAsia="Times New Roman"/>
            <w:lang w:val="en-US" w:eastAsia="zh-CN"/>
          </w:rPr>
          <w:t>WorldValuesSurveyAssociation</w:t>
        </w:r>
      </w:hyperlink>
      <w:r w:rsidRPr="00C951EC">
        <w:rPr>
          <w:rFonts w:eastAsia="Times New Roman"/>
          <w:lang w:eastAsia="zh-CN"/>
        </w:rPr>
        <w:t xml:space="preserve"> (WVSA) задала в 15 странах мира</w:t>
      </w:r>
      <w:r w:rsidRPr="00C951EC">
        <w:rPr>
          <w:rStyle w:val="a6"/>
        </w:rPr>
        <w:footnoteReference w:id="6"/>
      </w:r>
      <w:r w:rsidRPr="00C951EC">
        <w:rPr>
          <w:rFonts w:eastAsia="Times New Roman"/>
          <w:lang w:eastAsia="zh-CN"/>
        </w:rPr>
        <w:t xml:space="preserve"> первый вопрос о внешней политической эффективности, используемый в ESS («</w:t>
      </w:r>
      <w:r w:rsidRPr="00C951EC">
        <w:rPr>
          <w:i/>
        </w:rPr>
        <w:t xml:space="preserve">Насколько вы согласны, что политическая система в [стране] позволяет таким людям, как вы, </w:t>
      </w:r>
      <w:r w:rsidRPr="00C951EC">
        <w:rPr>
          <w:rFonts w:eastAsia="Times New Roman"/>
          <w:i/>
          <w:lang w:eastAsia="zh-CN"/>
        </w:rPr>
        <w:t>высказать свое мнение относительно работы правительства</w:t>
      </w:r>
      <w:r w:rsidRPr="00C951EC">
        <w:rPr>
          <w:rFonts w:eastAsia="Times New Roman"/>
          <w:lang w:eastAsia="zh-CN"/>
        </w:rPr>
        <w:t>?»). Этот вопрос с тех пор был включен в основной вопросник WVS для всех стран, и WVSA будет включать второй вопрос, используемый ESS («</w:t>
      </w:r>
      <w:r w:rsidRPr="00C951EC">
        <w:rPr>
          <w:i/>
        </w:rPr>
        <w:t>Насколько вы согласны, что политическая система в [стране] позволяет таким людям, как вы, влиять на политику?</w:t>
      </w:r>
      <w:r w:rsidRPr="00C951EC">
        <w:rPr>
          <w:rFonts w:eastAsia="Times New Roman"/>
          <w:lang w:eastAsia="zh-CN"/>
        </w:rPr>
        <w:t>») в его следующем раунде об</w:t>
      </w:r>
      <w:r>
        <w:rPr>
          <w:rFonts w:eastAsia="Times New Roman"/>
          <w:lang w:eastAsia="zh-CN"/>
        </w:rPr>
        <w:t>следования</w:t>
      </w:r>
      <w:r w:rsidRPr="00C951EC">
        <w:rPr>
          <w:rFonts w:eastAsia="Times New Roman"/>
          <w:lang w:eastAsia="zh-CN"/>
        </w:rPr>
        <w:t>.</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5811A9" w:rsidRPr="00C951EC" w:rsidRDefault="005811A9" w:rsidP="005811A9">
      <w:pPr>
        <w:rPr>
          <w:lang w:eastAsia="en-GB"/>
        </w:rPr>
      </w:pPr>
      <w:r w:rsidRPr="00C951EC">
        <w:rPr>
          <w:lang w:eastAsia="en-GB"/>
        </w:rPr>
        <w:t>Исключает измерение «внутриполитической эффективности»</w:t>
      </w:r>
    </w:p>
    <w:p w:rsidR="005811A9" w:rsidRPr="005811A9" w:rsidRDefault="005811A9" w:rsidP="005811A9">
      <w:pPr>
        <w:rPr>
          <w:rFonts w:eastAsia="Times New Roman"/>
          <w:lang w:eastAsia="en-GB"/>
        </w:rPr>
      </w:pPr>
      <w:r>
        <w:rPr>
          <w:rFonts w:eastAsia="Times New Roman"/>
          <w:lang w:eastAsia="en-GB"/>
        </w:rPr>
        <w:t>Как детально описывалось выше, существует</w:t>
      </w:r>
      <w:r w:rsidRPr="00C951EC">
        <w:rPr>
          <w:rFonts w:eastAsia="Times New Roman"/>
          <w:lang w:eastAsia="en-GB"/>
        </w:rPr>
        <w:t xml:space="preserve"> два измерения политической эффективности. Во-первых, субъективная компетентность, или «внутренняя эффективность», </w:t>
      </w:r>
      <w:r>
        <w:rPr>
          <w:rFonts w:eastAsia="Times New Roman"/>
          <w:lang w:eastAsia="en-GB"/>
        </w:rPr>
        <w:t xml:space="preserve">и, во-вторых, </w:t>
      </w:r>
      <w:r w:rsidRPr="00C951EC">
        <w:rPr>
          <w:rFonts w:eastAsia="Times New Roman"/>
          <w:lang w:eastAsia="en-GB"/>
        </w:rPr>
        <w:t>отзывчивость системы, или «внешняя эффективность»</w:t>
      </w:r>
      <w:r>
        <w:rPr>
          <w:rFonts w:eastAsia="Times New Roman"/>
          <w:lang w:eastAsia="en-GB"/>
        </w:rPr>
        <w:t>.</w:t>
      </w:r>
      <w:r w:rsidRPr="001371D4">
        <w:rPr>
          <w:rFonts w:eastAsia="Times New Roman"/>
          <w:lang w:eastAsia="en-GB"/>
        </w:rPr>
        <w:t>Эта методология не ограничивается измерением "внутренней политической эффективности" (также называемой "субъективной компетентностью"), которая может быть определена как уверенность или убежденность индивида в его собственных способностях понимать политику и участвовать в политическом процессе.Предполагается, что субъективная компетентность будет коррелировать с политическими интересами (ESS, 2016).</w:t>
      </w:r>
      <w:r>
        <w:rPr>
          <w:rFonts w:eastAsia="Times New Roman"/>
          <w:lang w:eastAsia="zh-CN"/>
        </w:rPr>
        <w:t>Предполагается</w:t>
      </w:r>
      <w:r w:rsidRPr="00C951EC">
        <w:rPr>
          <w:rFonts w:eastAsia="Times New Roman"/>
          <w:lang w:eastAsia="zh-CN"/>
        </w:rPr>
        <w:t xml:space="preserve"> также, что более высокий уровень субъективной компетенции будет связан с более высоким уровнем участия в политической жизни, включая голосование на выборах.Таким образом, политики, заинтересованные в выявлении факторов, определяющих высокий или низкий уровень участия в политической жизни, не должны основывать свою диагностику исключительно на уровнях внешней эффективности, измеряемых показателем ЦУР 16.7.2, так как еще имеются уровни внутренней эффективности (не измеряемые показателем ЦУР 16.7.2).</w:t>
      </w:r>
    </w:p>
    <w:p w:rsidR="005811A9" w:rsidRPr="00C951EC" w:rsidRDefault="005811A9" w:rsidP="005811A9">
      <w:pPr>
        <w:rPr>
          <w:lang w:eastAsia="en-GB"/>
        </w:rPr>
      </w:pPr>
      <w:r w:rsidRPr="00C951EC">
        <w:rPr>
          <w:lang w:eastAsia="en-GB"/>
        </w:rPr>
        <w:t>Проблемы перевода</w:t>
      </w:r>
    </w:p>
    <w:p w:rsidR="005811A9" w:rsidRPr="00C951EC" w:rsidRDefault="005811A9" w:rsidP="005811A9">
      <w:pPr>
        <w:rPr>
          <w:rFonts w:eastAsia="Times New Roman"/>
          <w:lang w:eastAsia="zh-CN"/>
        </w:rPr>
      </w:pPr>
      <w:r w:rsidRPr="00C951EC">
        <w:rPr>
          <w:rFonts w:eastAsia="Times New Roman"/>
          <w:lang w:eastAsia="zh-CN"/>
        </w:rPr>
        <w:t xml:space="preserve">Идиому ‘having a say’ «иметь право голоса» может быть трудно перевести на другие языки, поскольку он также может иметь различные значения на английском языке (например, выражать свое мнение или быть командующим, среди прочих). Чтобы обеспечить глобальную сопоставимость результатов по этому вопросу, получение качественных переводов на местные языки является важным шагом в измерении </w:t>
      </w:r>
      <w:r w:rsidRPr="00C951EC">
        <w:rPr>
          <w:rFonts w:eastAsia="Times New Roman"/>
          <w:lang w:eastAsia="zh-CN"/>
        </w:rPr>
        <w:lastRenderedPageBreak/>
        <w:t>показателя ЦУР 16.7.2. Чтобы обеспечить наилучшее качество переводов на местные языки, НС</w:t>
      </w:r>
      <w:r>
        <w:rPr>
          <w:rFonts w:eastAsia="Times New Roman"/>
          <w:lang w:eastAsia="zh-CN"/>
        </w:rPr>
        <w:t>О</w:t>
      </w:r>
      <w:r w:rsidRPr="00C951EC">
        <w:rPr>
          <w:rFonts w:eastAsia="Times New Roman"/>
          <w:lang w:eastAsia="zh-CN"/>
        </w:rPr>
        <w:t xml:space="preserve"> следует проявлять осторожность, чтобы не использовать формальные или «академически правильные» версии местных языков; скорее, они должны сосредоточиться на повседневном (разговорном) использовании языка.</w:t>
      </w:r>
    </w:p>
    <w:p w:rsidR="005811A9" w:rsidRPr="00C951EC" w:rsidRDefault="005811A9" w:rsidP="005811A9">
      <w:r w:rsidRPr="00C951EC">
        <w:t>Для обеспечения эквивалентности значения во время перевода рекомендуется соблюдать следующие правила:</w:t>
      </w:r>
    </w:p>
    <w:p w:rsidR="005811A9" w:rsidRPr="00C951EC" w:rsidRDefault="005811A9" w:rsidP="005811A9">
      <w:pPr>
        <w:rPr>
          <w:rFonts w:eastAsia="Times New Roman"/>
          <w:lang w:eastAsia="zh-CN"/>
        </w:rPr>
      </w:pPr>
      <w:r w:rsidRPr="00C951EC">
        <w:rPr>
          <w:rFonts w:eastAsia="Times New Roman"/>
          <w:lang w:eastAsia="zh-CN"/>
        </w:rPr>
        <w:t>• НС</w:t>
      </w:r>
      <w:r>
        <w:rPr>
          <w:rFonts w:eastAsia="Times New Roman"/>
          <w:lang w:eastAsia="zh-CN"/>
        </w:rPr>
        <w:t>У</w:t>
      </w:r>
      <w:r w:rsidRPr="00C951EC">
        <w:rPr>
          <w:rFonts w:eastAsia="Times New Roman"/>
          <w:lang w:eastAsia="zh-CN"/>
        </w:rPr>
        <w:t xml:space="preserve"> должны убедиться, что переводчики понимают концепции, обоснование и значение каждого вопроса, прежде чем приступать к переводу.</w:t>
      </w:r>
    </w:p>
    <w:p w:rsidR="005811A9" w:rsidRPr="00C951EC" w:rsidRDefault="005811A9" w:rsidP="005811A9">
      <w:pPr>
        <w:rPr>
          <w:rFonts w:eastAsia="Times New Roman"/>
          <w:lang w:eastAsia="zh-CN"/>
        </w:rPr>
      </w:pPr>
      <w:r w:rsidRPr="00C951EC">
        <w:rPr>
          <w:rFonts w:eastAsia="Times New Roman"/>
          <w:lang w:eastAsia="zh-CN"/>
        </w:rPr>
        <w:t>• Первоначальные проекты переводов на каждый местный язык должны быть переданы независимым рецензентам для слепого обратного перевода на национальный язык. Эти переводчики не должны видеть версию вопросника на языке оригинала.</w:t>
      </w:r>
    </w:p>
    <w:p w:rsidR="005811A9" w:rsidRPr="00C951EC" w:rsidRDefault="005811A9" w:rsidP="005811A9">
      <w:pPr>
        <w:rPr>
          <w:rFonts w:eastAsia="Times New Roman"/>
          <w:lang w:eastAsia="zh-CN"/>
        </w:rPr>
      </w:pPr>
      <w:r w:rsidRPr="00C951EC">
        <w:rPr>
          <w:rFonts w:eastAsia="Times New Roman"/>
          <w:lang w:eastAsia="zh-CN"/>
        </w:rPr>
        <w:t>• Исходная команда переводчиков должна затем доработать свои переводы на основе анализа обратных переводов.</w:t>
      </w:r>
    </w:p>
    <w:p w:rsidR="005811A9" w:rsidRPr="005811A9" w:rsidRDefault="005811A9" w:rsidP="005811A9">
      <w:pPr>
        <w:rPr>
          <w:rFonts w:eastAsia="Times New Roman"/>
          <w:lang w:eastAsia="zh-CN"/>
        </w:rPr>
      </w:pPr>
      <w:r w:rsidRPr="00C951EC">
        <w:rPr>
          <w:rFonts w:eastAsia="Times New Roman"/>
          <w:lang w:eastAsia="zh-CN"/>
        </w:rPr>
        <w:t>• Эти пересмотренные переводы должны быть предварительно протестированы. Отзывы о предварительных тестах должны привести к окончательному уточнению переводов, чтобы получить окончательные версии, которые будут направлены на места.</w:t>
      </w:r>
    </w:p>
    <w:p w:rsidR="005811A9" w:rsidRPr="00C951EC" w:rsidRDefault="005811A9" w:rsidP="005811A9">
      <w:r w:rsidRPr="00C951EC">
        <w:t>Важно понимать, что для прохождения этих этапов и получения переводов хорошего качества требуется время. НСО следует начать этот процесс задолго до запланированных сроков полевых работ, чтобы можно было тщательно соблюдать процедуры.</w:t>
      </w:r>
    </w:p>
    <w:p w:rsidR="005811A9" w:rsidRPr="005811A9" w:rsidRDefault="005811A9" w:rsidP="005811A9">
      <w:pPr>
        <w:rPr>
          <w:lang w:eastAsia="en-GB"/>
        </w:rPr>
      </w:pPr>
      <w:r w:rsidRPr="00C951EC">
        <w:rPr>
          <w:lang w:eastAsia="en-GB"/>
        </w:rPr>
        <w:t>Перевод на эти два вопроса доступен на всех языках, используемых 29 европейскими странами, охваченными Европейским социальным опросом, а также на арабском, ката</w:t>
      </w:r>
      <w:r>
        <w:rPr>
          <w:lang w:eastAsia="en-GB"/>
        </w:rPr>
        <w:t>лонском, малайском, китайском/</w:t>
      </w:r>
      <w:r w:rsidRPr="00C951EC">
        <w:rPr>
          <w:lang w:eastAsia="en-GB"/>
        </w:rPr>
        <w:t>мандаринскомкитайском, хауса, игбо, йоруба, индонезийском, урду, бенгали, русском, суахили и казахском языках.</w:t>
      </w:r>
    </w:p>
    <w:p w:rsidR="005811A9" w:rsidRPr="00C951EC" w:rsidRDefault="005811A9" w:rsidP="005811A9">
      <w:pPr>
        <w:rPr>
          <w:color w:val="000000"/>
          <w:lang w:eastAsia="en-GB"/>
        </w:rPr>
      </w:pPr>
      <w:r w:rsidRPr="00C951EC">
        <w:rPr>
          <w:color w:val="000000"/>
          <w:lang w:eastAsia="en-GB"/>
        </w:rPr>
        <w:t>Эффект социальной желательности</w:t>
      </w:r>
    </w:p>
    <w:p w:rsidR="005811A9" w:rsidRPr="00C951EC" w:rsidRDefault="005811A9" w:rsidP="005811A9">
      <w:pPr>
        <w:rPr>
          <w:color w:val="000000"/>
          <w:lang w:eastAsia="en-GB"/>
        </w:rPr>
      </w:pPr>
      <w:r w:rsidRPr="00C951EC">
        <w:rPr>
          <w:color w:val="000000"/>
          <w:lang w:eastAsia="en-GB"/>
        </w:rPr>
        <w:t>О</w:t>
      </w:r>
      <w:r>
        <w:rPr>
          <w:color w:val="000000"/>
          <w:lang w:eastAsia="en-GB"/>
        </w:rPr>
        <w:t>бследования</w:t>
      </w:r>
      <w:r w:rsidRPr="00C951EC">
        <w:rPr>
          <w:color w:val="000000"/>
          <w:lang w:eastAsia="en-GB"/>
        </w:rPr>
        <w:t xml:space="preserve"> являются наиболее распространенным и наиболее надежным методом сбора данных общественного мнения  населения,по которому была произведена выборка.Однако при изучении общественного мнения с помощью опросов исследователь предполагает, что респонденты правдиво отвечают на вопросы, которые задают интервьюеры. Как показывает опыт, это предположение не выполняется во многих случаях.Например, результаты опросов о явке избирателей, о которых они сами сообщали, весьма предвзяты, поскольку было обнаружено, что значительная часть респондентов в США заявляют, что проголосовали, тогда как на самом деле это не так</w:t>
      </w:r>
      <w:r>
        <w:rPr>
          <w:rStyle w:val="a6"/>
          <w:color w:val="000000"/>
          <w:lang w:eastAsia="en-GB"/>
        </w:rPr>
        <w:footnoteReference w:id="7"/>
      </w:r>
      <w:r w:rsidRPr="00C951EC">
        <w:rPr>
          <w:color w:val="000000"/>
          <w:lang w:eastAsia="en-GB"/>
        </w:rPr>
        <w:t>.</w:t>
      </w:r>
      <w:bookmarkStart w:id="5" w:name="_ftnref1"/>
      <w:bookmarkEnd w:id="5"/>
      <w:r w:rsidRPr="00C951EC">
        <w:rPr>
          <w:color w:val="000000"/>
          <w:lang w:eastAsia="en-GB"/>
        </w:rPr>
        <w:t xml:space="preserve">Точно так же социологи определили, что многие общие вопросы </w:t>
      </w:r>
      <w:r>
        <w:rPr>
          <w:color w:val="000000"/>
          <w:lang w:eastAsia="en-GB"/>
        </w:rPr>
        <w:t xml:space="preserve">обследования </w:t>
      </w:r>
      <w:r w:rsidRPr="00C951EC">
        <w:rPr>
          <w:color w:val="000000"/>
          <w:lang w:eastAsia="en-GB"/>
        </w:rPr>
        <w:t xml:space="preserve">страдают от такой предвзятости, например, те, которые исследуют </w:t>
      </w:r>
      <w:r>
        <w:rPr>
          <w:color w:val="000000"/>
          <w:lang w:eastAsia="en-GB"/>
        </w:rPr>
        <w:t>мнение</w:t>
      </w:r>
      <w:r w:rsidRPr="00C951EC">
        <w:rPr>
          <w:color w:val="000000"/>
          <w:lang w:eastAsia="en-GB"/>
        </w:rPr>
        <w:t xml:space="preserve"> человека к расовым отношениям</w:t>
      </w:r>
      <w:r>
        <w:rPr>
          <w:rStyle w:val="a6"/>
          <w:color w:val="000000"/>
          <w:lang w:eastAsia="en-GB"/>
        </w:rPr>
        <w:footnoteReference w:id="8"/>
      </w:r>
      <w:r w:rsidRPr="00C951EC">
        <w:rPr>
          <w:color w:val="000000"/>
          <w:lang w:eastAsia="en-GB"/>
        </w:rPr>
        <w:t>,коррупци</w:t>
      </w:r>
      <w:r>
        <w:rPr>
          <w:color w:val="000000"/>
          <w:lang w:eastAsia="en-GB"/>
        </w:rPr>
        <w:t>и</w:t>
      </w:r>
      <w:r w:rsidRPr="00C951EC">
        <w:rPr>
          <w:color w:val="000000"/>
          <w:lang w:eastAsia="en-GB"/>
        </w:rPr>
        <w:t xml:space="preserve"> и электоральн</w:t>
      </w:r>
      <w:r>
        <w:rPr>
          <w:color w:val="000000"/>
          <w:lang w:eastAsia="en-GB"/>
        </w:rPr>
        <w:t>ой</w:t>
      </w:r>
      <w:r w:rsidRPr="00C951EC">
        <w:rPr>
          <w:color w:val="000000"/>
          <w:lang w:eastAsia="en-GB"/>
        </w:rPr>
        <w:t xml:space="preserve"> поддержк</w:t>
      </w:r>
      <w:r>
        <w:rPr>
          <w:color w:val="000000"/>
          <w:lang w:eastAsia="en-GB"/>
        </w:rPr>
        <w:t>е</w:t>
      </w:r>
      <w:r w:rsidRPr="00C951EC">
        <w:rPr>
          <w:color w:val="000000"/>
          <w:lang w:eastAsia="en-GB"/>
        </w:rPr>
        <w:t>.</w:t>
      </w:r>
    </w:p>
    <w:p w:rsidR="005811A9" w:rsidRPr="00C951EC" w:rsidRDefault="005811A9" w:rsidP="005811A9">
      <w:pPr>
        <w:rPr>
          <w:color w:val="000000"/>
          <w:lang w:eastAsia="en-GB"/>
        </w:rPr>
      </w:pPr>
      <w:r w:rsidRPr="00A25BF2">
        <w:rPr>
          <w:color w:val="000000"/>
          <w:lang w:eastAsia="en-GB"/>
        </w:rPr>
        <w:lastRenderedPageBreak/>
        <w:t>«Эффект социальной желательности»,</w:t>
      </w:r>
      <w:r w:rsidRPr="00C951EC">
        <w:rPr>
          <w:color w:val="000000"/>
          <w:lang w:eastAsia="en-GB"/>
        </w:rPr>
        <w:t xml:space="preserve">  как это известно из литературы, возникает всякий раз, когда респонденты опроса не раскрывают свои истинные убеждения, а скорее дают ответ, который они считают более социально приемлемым, или ответ, который, по их мнению, интервьюеры желают услышать. Естественно, это создает угрозу надежности и достоверности пунктов опроса.</w:t>
      </w:r>
    </w:p>
    <w:p w:rsidR="005811A9" w:rsidRPr="00C951EC" w:rsidRDefault="005811A9" w:rsidP="005811A9">
      <w:pPr>
        <w:rPr>
          <w:color w:val="000000"/>
          <w:lang w:eastAsia="en-GB"/>
        </w:rPr>
      </w:pPr>
      <w:r w:rsidRPr="00C951EC">
        <w:rPr>
          <w:color w:val="000000"/>
          <w:lang w:eastAsia="en-GB"/>
        </w:rPr>
        <w:t>Возможно, что на два вопроса, использованных для измерения показателя ЦУР 16.7.2, может повлиять эффект социальной желательности.Тем не менее, пилотное тестирование этих двух вопросов во всех регионах и различных национальных контекстах, а также статистический анализ результатов существующих опросов по этим двум вопросам (с использованием национальных наборов данных из ESS) не выявили</w:t>
      </w:r>
      <w:r>
        <w:rPr>
          <w:color w:val="000000"/>
          <w:lang w:eastAsia="en-GB"/>
        </w:rPr>
        <w:t xml:space="preserve"> систематического возникновения </w:t>
      </w:r>
      <w:r w:rsidRPr="00C951EC">
        <w:rPr>
          <w:color w:val="000000"/>
          <w:lang w:eastAsia="en-GB"/>
        </w:rPr>
        <w:t xml:space="preserve">эффекта социальной желательности.Полезный способ выявления более положительных результатов, раздутых эффектом социальной желательности, заключается в сравнении результатов, полученных НСО, с результатами, полученными различными организациями (например, независимыми исследователями из </w:t>
      </w:r>
      <w:r w:rsidRPr="00590629">
        <w:rPr>
          <w:lang w:eastAsia="en-GB"/>
        </w:rPr>
        <w:t>WVSA или ESS</w:t>
      </w:r>
      <w:r w:rsidRPr="00C951EC">
        <w:rPr>
          <w:color w:val="000000"/>
          <w:lang w:eastAsia="en-GB"/>
        </w:rPr>
        <w:t>), при условии, когда временная задержка между сбором двух данных  не слишком велика. </w:t>
      </w:r>
    </w:p>
    <w:p w:rsidR="005811A9" w:rsidRPr="005811A9" w:rsidRDefault="005811A9" w:rsidP="005811A9">
      <w:pPr>
        <w:rPr>
          <w:rFonts w:eastAsia="SimSun"/>
          <w:color w:val="000000"/>
          <w:lang w:eastAsia="en-GB"/>
        </w:rPr>
      </w:pPr>
      <w:r w:rsidRPr="00C951EC">
        <w:rPr>
          <w:rFonts w:eastAsia="SimSun"/>
          <w:color w:val="000000"/>
          <w:lang w:eastAsia="en-GB"/>
        </w:rPr>
        <w:t>Полезно также иметь в виду , что большое число ответов «не знаю» или «отказываются отвечать» в национальном наборе данных может быть возможным признаком того, что респонденты не чувствуют себя комфортно обнаруживая свое истинное мнение на поставленные вопросы.</w:t>
      </w:r>
    </w:p>
    <w:p w:rsidR="005811A9" w:rsidRPr="00E439B8" w:rsidRDefault="005811A9" w:rsidP="005811A9">
      <w:pPr>
        <w:rPr>
          <w:bCs/>
          <w:lang w:eastAsia="en-GB"/>
        </w:rPr>
      </w:pPr>
      <w:r w:rsidRPr="00E439B8">
        <w:rPr>
          <w:bCs/>
          <w:lang w:eastAsia="en-GB"/>
        </w:rPr>
        <w:t>Нормативная база для выбора параметров дезагрегации</w:t>
      </w:r>
    </w:p>
    <w:p w:rsidR="005811A9" w:rsidRPr="00E439B8" w:rsidRDefault="005811A9" w:rsidP="005811A9">
      <w:pPr>
        <w:rPr>
          <w:lang w:eastAsia="en-GB"/>
        </w:rPr>
      </w:pPr>
      <w:r w:rsidRPr="00E439B8">
        <w:rPr>
          <w:lang w:eastAsia="en-GB"/>
        </w:rPr>
        <w:t xml:space="preserve">На воспринимаемую способность людей принимать решения правительства влияют их личные качества и социально-экономические условия. Как таковой, показатель требует дезагрегации результатов опроса по возрасту, полу, национально значимым группам населения и статусу инвалидности. В следующих международных документах по правам человека содержатся положения об расширении возможностей для участия отдельных лиц и групп, обладающих такими характеристиками: </w:t>
      </w:r>
    </w:p>
    <w:p w:rsidR="005811A9" w:rsidRPr="00E439B8" w:rsidRDefault="005811A9" w:rsidP="005811A9">
      <w:pPr>
        <w:rPr>
          <w:i/>
          <w:iCs/>
          <w:lang w:eastAsia="en-GB"/>
        </w:rPr>
      </w:pPr>
      <w:r w:rsidRPr="00E439B8">
        <w:rPr>
          <w:i/>
          <w:iCs/>
          <w:lang w:eastAsia="en-GB"/>
        </w:rPr>
        <w:t xml:space="preserve">Всеобщее право и возможность участвовать в государственных делах </w:t>
      </w:r>
    </w:p>
    <w:p w:rsidR="005811A9" w:rsidRPr="005811A9" w:rsidRDefault="005811A9" w:rsidP="005811A9">
      <w:pPr>
        <w:rPr>
          <w:iCs/>
          <w:lang w:eastAsia="en-GB"/>
        </w:rPr>
      </w:pPr>
      <w:r w:rsidRPr="00E439B8">
        <w:rPr>
          <w:iCs/>
          <w:lang w:eastAsia="en-GB"/>
        </w:rPr>
        <w:t>Статья 25 Международного пакта о гражданских и политических правах (МПГПП) признает «право и возможность без каких-либо различий, таких как раса, цвет кожи, пол, язык, религия, политические или иное мнение, национальное или социальное происхождение, собственность, рождение или иной статус для участия в ведении государственных дел напрямую или посредством свободно избранных представителей».</w:t>
      </w:r>
    </w:p>
    <w:p w:rsidR="005811A9" w:rsidRPr="00E439B8" w:rsidRDefault="005811A9" w:rsidP="005811A9">
      <w:pPr>
        <w:rPr>
          <w:i/>
          <w:iCs/>
          <w:lang w:eastAsia="en-GB"/>
        </w:rPr>
      </w:pPr>
      <w:r w:rsidRPr="00E439B8">
        <w:rPr>
          <w:i/>
          <w:iCs/>
          <w:lang w:eastAsia="en-GB"/>
        </w:rPr>
        <w:t>Пол</w:t>
      </w:r>
    </w:p>
    <w:p w:rsidR="005811A9" w:rsidRPr="00E439B8" w:rsidRDefault="005811A9" w:rsidP="005811A9">
      <w:pPr>
        <w:rPr>
          <w:lang w:eastAsia="en-GB"/>
        </w:rPr>
      </w:pPr>
      <w:r w:rsidRPr="00E439B8">
        <w:rPr>
          <w:lang w:eastAsia="en-GB"/>
        </w:rPr>
        <w:t xml:space="preserve">Конвенция 1979 года о ликвидации всех форм дискриминации в отношении женщин (CEDAW) обеспечивает основу для достижения равенства между женщинами и мужчинами посредством обеспечения равного доступа и равных возможностей для женщин в политической и общественной жизни, включая право на участие в разработке государственной политики и ее реализации, а также занимать государственные должности </w:t>
      </w:r>
      <w:r w:rsidRPr="00E439B8">
        <w:rPr>
          <w:lang w:eastAsia="en-GB"/>
        </w:rPr>
        <w:lastRenderedPageBreak/>
        <w:t>и выполнять все государственные функции на всех уровнях государственного управления (статья 7). Государства-участники соглашаются принять все надлежащие меры для преодоления исторической дискриминации в отношении женщин и препятствий для участия женщин в процессах принятия решений (статья 8), включая законодательство и временные специальные меры (статья 4). В Пекинской декларации и Платформе действий также содержится призыв к равному доступу женщин к работе на государственной службе, устанавливая целевой показатель как минимум 30 процентов женщин на руководящих должностях.</w:t>
      </w:r>
    </w:p>
    <w:p w:rsidR="005811A9" w:rsidRPr="00E439B8" w:rsidRDefault="005811A9" w:rsidP="005811A9">
      <w:pPr>
        <w:rPr>
          <w:i/>
          <w:iCs/>
          <w:lang w:eastAsia="en-GB"/>
        </w:rPr>
      </w:pPr>
      <w:r w:rsidRPr="00E439B8">
        <w:rPr>
          <w:i/>
          <w:iCs/>
          <w:lang w:eastAsia="en-GB"/>
        </w:rPr>
        <w:t>Возраст</w:t>
      </w:r>
    </w:p>
    <w:p w:rsidR="005811A9" w:rsidRPr="00E439B8" w:rsidRDefault="005811A9" w:rsidP="005811A9">
      <w:pPr>
        <w:rPr>
          <w:lang w:eastAsia="en-GB"/>
        </w:rPr>
      </w:pPr>
      <w:r w:rsidRPr="00E439B8">
        <w:rPr>
          <w:lang w:eastAsia="en-GB"/>
        </w:rPr>
        <w:t xml:space="preserve">Резолюция 2250 Совета Безопасности 2015 года настоятельно призывает государства-члены рассмотреть пути увеличения инклюзивного представленности </w:t>
      </w:r>
      <w:r w:rsidRPr="00E439B8">
        <w:rPr>
          <w:i/>
          <w:lang w:eastAsia="en-GB"/>
        </w:rPr>
        <w:t>молодежи</w:t>
      </w:r>
      <w:r w:rsidRPr="00E439B8">
        <w:rPr>
          <w:lang w:eastAsia="en-GB"/>
        </w:rPr>
        <w:t xml:space="preserve"> в процессе принятия решений на всех уровнях в местных, национальных, региональных и международных институтах и механизмах по предотвращению и урегулированию конфликтов и противодействию насильственному экстремизму.</w:t>
      </w:r>
    </w:p>
    <w:p w:rsidR="005811A9" w:rsidRPr="00E439B8" w:rsidRDefault="005811A9" w:rsidP="005811A9">
      <w:r w:rsidRPr="00E439B8">
        <w:t>Кроме того, в Мадридском международном плане действий по проблемам старения и Политической декларации, принятой международным сообществом на второй Всемирной ассамблее по проблемам старения в апреле 2002 года, впервые в истории признается, что «старение имеет глубокие последствия для каждого аспекта личности, сообщества, национальной и международной жизни».</w:t>
      </w:r>
      <w:r w:rsidRPr="00E439B8">
        <w:rPr>
          <w:vertAlign w:val="superscript"/>
        </w:rPr>
        <w:footnoteReference w:id="9"/>
      </w:r>
      <w:r w:rsidRPr="00E439B8">
        <w:t xml:space="preserve"> В Мадридском плане действий, в частности, подчеркивается важность исследований, сбора и анализа данных в поддержку разработки политики и программ в качестве ключевого приоритета для национальных правительств и международной помощи. После принятия Плана действий Генеральная Ассамблея на своих очередных сессиях призвала международное сообщество и систему Организации Объединенных Наций «поддерживать национальные усилия по обеспечению финансирования инициатив в области исследований и сбора данных о старении» (см., Например, Резолюция 69/146 Ассамблеи, пункт 38).</w:t>
      </w:r>
    </w:p>
    <w:p w:rsidR="005811A9" w:rsidRPr="00E439B8" w:rsidRDefault="005811A9" w:rsidP="005811A9">
      <w:pPr>
        <w:rPr>
          <w:i/>
          <w:iCs/>
          <w:lang w:eastAsia="en-GB"/>
        </w:rPr>
      </w:pPr>
      <w:r w:rsidRPr="00E439B8">
        <w:rPr>
          <w:i/>
          <w:iCs/>
          <w:lang w:eastAsia="en-GB"/>
        </w:rPr>
        <w:t>Статус «группа населения»</w:t>
      </w:r>
    </w:p>
    <w:p w:rsidR="005811A9" w:rsidRPr="00E439B8" w:rsidRDefault="005811A9" w:rsidP="005811A9">
      <w:pPr>
        <w:rPr>
          <w:lang w:eastAsia="en-GB"/>
        </w:rPr>
      </w:pPr>
      <w:r w:rsidRPr="00E439B8">
        <w:rPr>
          <w:lang w:eastAsia="en-GB"/>
        </w:rPr>
        <w:t>Декларация о правах лиц, принадлежащих к национальным или этническим, религиозным и языковым меньшинствам (1992 год) и Декларация о правах коренных народов (2007 год) предусматривают, что лица, принадлежащие к меньшинствам и коренным народам, имеют право участвовать в политической, экономической, социальной и культурной жизни государства.</w:t>
      </w:r>
    </w:p>
    <w:p w:rsidR="005811A9" w:rsidRPr="00E439B8" w:rsidRDefault="005811A9" w:rsidP="005811A9">
      <w:pPr>
        <w:rPr>
          <w:i/>
          <w:iCs/>
          <w:lang w:eastAsia="en-GB"/>
        </w:rPr>
      </w:pPr>
      <w:r w:rsidRPr="00E439B8">
        <w:rPr>
          <w:i/>
          <w:iCs/>
          <w:lang w:eastAsia="en-GB"/>
        </w:rPr>
        <w:t>Статус инвалидности</w:t>
      </w:r>
    </w:p>
    <w:p w:rsidR="005811A9" w:rsidRPr="005811A9" w:rsidRDefault="005811A9" w:rsidP="005811A9">
      <w:pPr>
        <w:rPr>
          <w:lang w:eastAsia="en-GB"/>
        </w:rPr>
      </w:pPr>
      <w:r w:rsidRPr="00E439B8">
        <w:rPr>
          <w:lang w:eastAsia="en-GB"/>
        </w:rPr>
        <w:t xml:space="preserve">Конвенция Организации Объединенных Наций о правах инвалидов (2006 г.) призывает государства-участников обеспечить, чтобы инвалиды могли эффективно и в полной мере участвовать в политической и общественной жизни наравне с другими. В соответствии со статьей 31 Конвенции государства-участники обязуются собирать дезагрегированную </w:t>
      </w:r>
      <w:r w:rsidRPr="00E439B8">
        <w:rPr>
          <w:lang w:eastAsia="en-GB"/>
        </w:rPr>
        <w:lastRenderedPageBreak/>
        <w:t>информацию, включая статистические и исследовательские данные, для осуществления Конвенции, и берут на себя ответственность за распространение этих статистических данных.</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p>
    <w:p w:rsidR="005811A9" w:rsidRPr="001E1758" w:rsidRDefault="005811A9" w:rsidP="005811A9">
      <w:pPr>
        <w:pStyle w:val="ab"/>
        <w:numPr>
          <w:ilvl w:val="1"/>
          <w:numId w:val="5"/>
        </w:numPr>
        <w:shd w:val="clear" w:color="auto" w:fill="FFFFFF"/>
        <w:ind w:left="0" w:firstLine="0"/>
        <w:rPr>
          <w:color w:val="000000"/>
          <w:szCs w:val="24"/>
          <w:lang w:eastAsia="en-GB"/>
        </w:rPr>
      </w:pPr>
      <w:r w:rsidRPr="001E1758">
        <w:rPr>
          <w:color w:val="000000"/>
          <w:szCs w:val="24"/>
          <w:lang w:eastAsia="en-GB"/>
        </w:rPr>
        <w:t>НС</w:t>
      </w:r>
      <w:r>
        <w:rPr>
          <w:color w:val="000000"/>
          <w:szCs w:val="24"/>
          <w:lang w:eastAsia="en-GB"/>
        </w:rPr>
        <w:t>У</w:t>
      </w:r>
      <w:r w:rsidRPr="001E1758">
        <w:rPr>
          <w:color w:val="000000"/>
          <w:szCs w:val="24"/>
          <w:lang w:eastAsia="en-GB"/>
        </w:rPr>
        <w:t xml:space="preserve"> сначала нужно рассчитать долю респондентов, которые положительно ответили на каждый вопрос (т. е. совокупный процент респондентов, ответивших 3- "Немного", 4- "достаточно много" или 5- "очень много")</w:t>
      </w:r>
      <w:r w:rsidRPr="001E1758">
        <w:rPr>
          <w:rStyle w:val="a6"/>
          <w:color w:val="000000"/>
          <w:szCs w:val="24"/>
          <w:lang w:eastAsia="en-GB"/>
        </w:rPr>
        <w:footnoteReference w:id="10"/>
      </w:r>
      <w:r w:rsidRPr="001E1758">
        <w:rPr>
          <w:color w:val="000000"/>
          <w:szCs w:val="24"/>
          <w:lang w:eastAsia="en-GB"/>
        </w:rPr>
        <w:t>. </w:t>
      </w:r>
    </w:p>
    <w:p w:rsidR="005811A9" w:rsidRDefault="005811A9" w:rsidP="005811A9">
      <w:pPr>
        <w:shd w:val="clear" w:color="auto" w:fill="FFFFFF"/>
        <w:rPr>
          <w:color w:val="000000"/>
          <w:lang w:eastAsia="en-GB"/>
        </w:rPr>
      </w:pPr>
      <w:r w:rsidRPr="0091648C">
        <w:rPr>
          <w:color w:val="000000"/>
          <w:lang w:eastAsia="en-GB"/>
        </w:rPr>
        <w:t>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023"/>
        <w:gridCol w:w="2513"/>
        <w:gridCol w:w="1904"/>
      </w:tblGrid>
      <w:tr w:rsidR="005811A9" w:rsidRPr="001C1262" w:rsidTr="001C1262">
        <w:tc>
          <w:tcPr>
            <w:tcW w:w="4825" w:type="dxa"/>
            <w:gridSpan w:val="2"/>
          </w:tcPr>
          <w:p w:rsidR="005811A9" w:rsidRPr="001C1262" w:rsidRDefault="005811A9" w:rsidP="001C1262">
            <w:pPr>
              <w:spacing w:after="0" w:line="240" w:lineRule="auto"/>
              <w:rPr>
                <w:color w:val="000000"/>
                <w:sz w:val="22"/>
                <w:lang w:eastAsia="en-GB"/>
              </w:rPr>
            </w:pPr>
            <w:r w:rsidRPr="001C1262">
              <w:rPr>
                <w:rFonts w:eastAsia="SimSun"/>
                <w:bCs/>
                <w:i/>
                <w:iCs/>
                <w:color w:val="000000"/>
                <w:sz w:val="22"/>
                <w:lang w:eastAsia="zh-CN"/>
              </w:rPr>
              <w:t xml:space="preserve">Как вы думаете, насколько политическая система в [стране Х] позволяет таким людям, как вы, иметь право голоса </w:t>
            </w:r>
            <w:r w:rsidRPr="001C1262">
              <w:rPr>
                <w:rFonts w:eastAsia="SimSun"/>
                <w:bCs/>
                <w:i/>
                <w:color w:val="000000"/>
                <w:sz w:val="22"/>
                <w:lang w:eastAsia="zh-CN"/>
              </w:rPr>
              <w:t> </w:t>
            </w:r>
            <w:r w:rsidRPr="001C1262">
              <w:rPr>
                <w:rFonts w:eastAsia="SimSun"/>
                <w:bCs/>
                <w:i/>
                <w:iCs/>
                <w:color w:val="000000"/>
                <w:sz w:val="22"/>
                <w:lang w:eastAsia="zh-CN"/>
              </w:rPr>
              <w:t>в том, что делает правительство?</w:t>
            </w:r>
          </w:p>
        </w:tc>
        <w:tc>
          <w:tcPr>
            <w:tcW w:w="4417" w:type="dxa"/>
            <w:gridSpan w:val="2"/>
          </w:tcPr>
          <w:p w:rsidR="005811A9" w:rsidRPr="001C1262" w:rsidRDefault="005811A9" w:rsidP="001C1262">
            <w:pPr>
              <w:autoSpaceDE w:val="0"/>
              <w:autoSpaceDN w:val="0"/>
              <w:adjustRightInd w:val="0"/>
              <w:contextualSpacing/>
              <w:rPr>
                <w:color w:val="000000"/>
                <w:sz w:val="22"/>
                <w:lang w:eastAsia="en-GB"/>
              </w:rPr>
            </w:pPr>
            <w:r w:rsidRPr="001C1262">
              <w:rPr>
                <w:rFonts w:eastAsia="SimSun"/>
                <w:bCs/>
                <w:i/>
                <w:iCs/>
                <w:color w:val="000000"/>
                <w:sz w:val="22"/>
                <w:lang w:eastAsia="zh-CN"/>
              </w:rPr>
              <w:t>И как вы думаете, насколько политическая система в [стране] позволяет таким людям, как вы , влиять на политику?</w:t>
            </w:r>
          </w:p>
        </w:tc>
      </w:tr>
      <w:tr w:rsidR="005811A9" w:rsidRPr="001C1262" w:rsidTr="001C1262">
        <w:tc>
          <w:tcPr>
            <w:tcW w:w="2802" w:type="dxa"/>
          </w:tcPr>
          <w:p w:rsidR="005811A9" w:rsidRPr="001C1262" w:rsidRDefault="005811A9" w:rsidP="001C1262">
            <w:pPr>
              <w:numPr>
                <w:ilvl w:val="0"/>
                <w:numId w:val="7"/>
              </w:numPr>
              <w:ind w:left="567" w:hanging="283"/>
              <w:contextualSpacing/>
              <w:rPr>
                <w:rFonts w:eastAsia="SimSun"/>
                <w:bCs/>
                <w:iCs/>
                <w:sz w:val="22"/>
                <w:lang w:val="en-GB" w:eastAsia="zh-CN"/>
              </w:rPr>
            </w:pPr>
            <w:r w:rsidRPr="001C1262">
              <w:rPr>
                <w:rFonts w:eastAsia="SimSun"/>
                <w:bCs/>
                <w:iCs/>
                <w:sz w:val="22"/>
                <w:lang w:eastAsia="zh-CN"/>
              </w:rPr>
              <w:t xml:space="preserve"> Совсем нет</w:t>
            </w:r>
          </w:p>
        </w:tc>
        <w:tc>
          <w:tcPr>
            <w:tcW w:w="2023" w:type="dxa"/>
          </w:tcPr>
          <w:p w:rsidR="005811A9" w:rsidRPr="001C1262" w:rsidRDefault="005811A9" w:rsidP="001C1262">
            <w:pPr>
              <w:spacing w:after="0" w:line="240" w:lineRule="auto"/>
              <w:rPr>
                <w:color w:val="000000"/>
                <w:sz w:val="22"/>
                <w:lang w:eastAsia="en-GB"/>
              </w:rPr>
            </w:pPr>
            <w:r w:rsidRPr="001C1262">
              <w:rPr>
                <w:color w:val="000000"/>
                <w:sz w:val="22"/>
                <w:lang w:eastAsia="en-GB"/>
              </w:rPr>
              <w:t>8%</w:t>
            </w:r>
          </w:p>
        </w:tc>
        <w:tc>
          <w:tcPr>
            <w:tcW w:w="2513" w:type="dxa"/>
          </w:tcPr>
          <w:p w:rsidR="005811A9" w:rsidRPr="001C1262" w:rsidRDefault="005811A9" w:rsidP="001C1262">
            <w:pPr>
              <w:spacing w:after="0" w:line="240" w:lineRule="auto"/>
              <w:rPr>
                <w:color w:val="000000"/>
                <w:sz w:val="22"/>
                <w:lang w:eastAsia="en-GB"/>
              </w:rPr>
            </w:pPr>
            <w:r w:rsidRPr="001C1262">
              <w:rPr>
                <w:color w:val="000000"/>
                <w:sz w:val="22"/>
                <w:lang w:eastAsia="en-GB"/>
              </w:rPr>
              <w:t>(1) Совсем нет</w:t>
            </w:r>
          </w:p>
          <w:p w:rsidR="005811A9" w:rsidRPr="001C1262" w:rsidRDefault="005811A9" w:rsidP="001C1262">
            <w:pPr>
              <w:spacing w:after="0" w:line="240" w:lineRule="auto"/>
              <w:rPr>
                <w:color w:val="000000"/>
                <w:sz w:val="22"/>
                <w:lang w:eastAsia="en-GB"/>
              </w:rPr>
            </w:pPr>
          </w:p>
        </w:tc>
        <w:tc>
          <w:tcPr>
            <w:tcW w:w="1904" w:type="dxa"/>
          </w:tcPr>
          <w:p w:rsidR="005811A9" w:rsidRPr="001C1262" w:rsidRDefault="005811A9" w:rsidP="001C1262">
            <w:pPr>
              <w:spacing w:after="0" w:line="240" w:lineRule="auto"/>
              <w:rPr>
                <w:color w:val="000000"/>
                <w:sz w:val="22"/>
                <w:lang w:eastAsia="en-GB"/>
              </w:rPr>
            </w:pPr>
            <w:r w:rsidRPr="001C1262">
              <w:rPr>
                <w:color w:val="000000"/>
                <w:sz w:val="22"/>
                <w:lang w:eastAsia="en-GB"/>
              </w:rPr>
              <w:t>16%</w:t>
            </w:r>
          </w:p>
        </w:tc>
      </w:tr>
      <w:tr w:rsidR="005811A9" w:rsidRPr="001C1262" w:rsidTr="001C1262">
        <w:tc>
          <w:tcPr>
            <w:tcW w:w="2802" w:type="dxa"/>
          </w:tcPr>
          <w:p w:rsidR="005811A9" w:rsidRPr="001C1262" w:rsidRDefault="005811A9" w:rsidP="001C1262">
            <w:pPr>
              <w:numPr>
                <w:ilvl w:val="0"/>
                <w:numId w:val="7"/>
              </w:numPr>
              <w:ind w:left="709" w:hanging="425"/>
              <w:contextualSpacing/>
              <w:rPr>
                <w:color w:val="000000"/>
                <w:sz w:val="22"/>
                <w:lang w:eastAsia="en-GB"/>
              </w:rPr>
            </w:pPr>
            <w:r w:rsidRPr="001C1262">
              <w:rPr>
                <w:rFonts w:eastAsia="SimSun"/>
                <w:bCs/>
                <w:iCs/>
                <w:sz w:val="22"/>
                <w:lang w:eastAsia="zh-CN"/>
              </w:rPr>
              <w:t xml:space="preserve">Практически нет </w:t>
            </w:r>
          </w:p>
        </w:tc>
        <w:tc>
          <w:tcPr>
            <w:tcW w:w="2023" w:type="dxa"/>
          </w:tcPr>
          <w:p w:rsidR="005811A9" w:rsidRPr="001C1262" w:rsidRDefault="005811A9" w:rsidP="001C1262">
            <w:pPr>
              <w:spacing w:after="0" w:line="240" w:lineRule="auto"/>
              <w:rPr>
                <w:color w:val="000000"/>
                <w:sz w:val="22"/>
                <w:lang w:eastAsia="en-GB"/>
              </w:rPr>
            </w:pPr>
            <w:r w:rsidRPr="001C1262">
              <w:rPr>
                <w:color w:val="000000"/>
                <w:sz w:val="22"/>
                <w:lang w:eastAsia="en-GB"/>
              </w:rPr>
              <w:t>22%</w:t>
            </w:r>
          </w:p>
        </w:tc>
        <w:tc>
          <w:tcPr>
            <w:tcW w:w="2513" w:type="dxa"/>
          </w:tcPr>
          <w:p w:rsidR="005811A9" w:rsidRPr="001C1262" w:rsidRDefault="005811A9" w:rsidP="001C1262">
            <w:pPr>
              <w:spacing w:after="0" w:line="240" w:lineRule="auto"/>
              <w:rPr>
                <w:color w:val="000000"/>
                <w:sz w:val="22"/>
                <w:lang w:eastAsia="en-GB"/>
              </w:rPr>
            </w:pPr>
            <w:r w:rsidRPr="001C1262">
              <w:rPr>
                <w:color w:val="000000"/>
                <w:sz w:val="22"/>
                <w:lang w:eastAsia="en-GB"/>
              </w:rPr>
              <w:t xml:space="preserve">(2)  Практически нет </w:t>
            </w:r>
          </w:p>
          <w:p w:rsidR="005811A9" w:rsidRPr="001C1262" w:rsidRDefault="005811A9" w:rsidP="001C1262">
            <w:pPr>
              <w:spacing w:after="0" w:line="240" w:lineRule="auto"/>
              <w:rPr>
                <w:color w:val="000000"/>
                <w:sz w:val="22"/>
                <w:lang w:eastAsia="en-GB"/>
              </w:rPr>
            </w:pPr>
          </w:p>
        </w:tc>
        <w:tc>
          <w:tcPr>
            <w:tcW w:w="1904" w:type="dxa"/>
          </w:tcPr>
          <w:p w:rsidR="005811A9" w:rsidRPr="001C1262" w:rsidRDefault="005811A9" w:rsidP="001C1262">
            <w:pPr>
              <w:spacing w:after="0" w:line="240" w:lineRule="auto"/>
              <w:rPr>
                <w:color w:val="000000"/>
                <w:sz w:val="22"/>
                <w:lang w:eastAsia="en-GB"/>
              </w:rPr>
            </w:pPr>
            <w:r w:rsidRPr="001C1262">
              <w:rPr>
                <w:color w:val="000000"/>
                <w:sz w:val="22"/>
                <w:lang w:eastAsia="en-GB"/>
              </w:rPr>
              <w:t>30%</w:t>
            </w:r>
          </w:p>
        </w:tc>
      </w:tr>
      <w:tr w:rsidR="005811A9" w:rsidRPr="001C1262" w:rsidTr="001C1262">
        <w:tc>
          <w:tcPr>
            <w:tcW w:w="2802" w:type="dxa"/>
          </w:tcPr>
          <w:p w:rsidR="005811A9" w:rsidRPr="001C1262" w:rsidRDefault="005811A9" w:rsidP="001C1262">
            <w:pPr>
              <w:numPr>
                <w:ilvl w:val="0"/>
                <w:numId w:val="7"/>
              </w:numPr>
              <w:ind w:left="709" w:hanging="425"/>
              <w:contextualSpacing/>
              <w:rPr>
                <w:color w:val="000000"/>
                <w:sz w:val="22"/>
                <w:lang w:eastAsia="en-GB"/>
              </w:rPr>
            </w:pPr>
            <w:r w:rsidRPr="001C1262">
              <w:rPr>
                <w:rFonts w:eastAsia="SimSun"/>
                <w:bCs/>
                <w:iCs/>
                <w:sz w:val="22"/>
                <w:lang w:eastAsia="zh-CN"/>
              </w:rPr>
              <w:t>Немного</w:t>
            </w:r>
          </w:p>
        </w:tc>
        <w:tc>
          <w:tcPr>
            <w:tcW w:w="2023" w:type="dxa"/>
          </w:tcPr>
          <w:p w:rsidR="005811A9" w:rsidRPr="001C1262" w:rsidRDefault="005811A9" w:rsidP="001C1262">
            <w:pPr>
              <w:spacing w:after="0" w:line="240" w:lineRule="auto"/>
              <w:rPr>
                <w:color w:val="000000"/>
                <w:sz w:val="22"/>
                <w:lang w:eastAsia="en-GB"/>
              </w:rPr>
            </w:pPr>
            <w:r w:rsidRPr="001C1262">
              <w:rPr>
                <w:color w:val="000000"/>
                <w:sz w:val="22"/>
                <w:lang w:eastAsia="en-GB"/>
              </w:rPr>
              <w:t>26%</w:t>
            </w:r>
          </w:p>
        </w:tc>
        <w:tc>
          <w:tcPr>
            <w:tcW w:w="2513" w:type="dxa"/>
          </w:tcPr>
          <w:p w:rsidR="005811A9" w:rsidRPr="001C1262" w:rsidRDefault="005811A9" w:rsidP="001C1262">
            <w:pPr>
              <w:spacing w:after="0" w:line="240" w:lineRule="auto"/>
              <w:rPr>
                <w:color w:val="000000"/>
                <w:sz w:val="22"/>
                <w:lang w:eastAsia="en-GB"/>
              </w:rPr>
            </w:pPr>
            <w:r w:rsidRPr="001C1262">
              <w:rPr>
                <w:color w:val="000000"/>
                <w:sz w:val="22"/>
                <w:lang w:eastAsia="en-GB"/>
              </w:rPr>
              <w:t>(3) Немного</w:t>
            </w:r>
          </w:p>
          <w:p w:rsidR="005811A9" w:rsidRPr="001C1262" w:rsidRDefault="005811A9" w:rsidP="001C1262">
            <w:pPr>
              <w:spacing w:after="0" w:line="240" w:lineRule="auto"/>
              <w:rPr>
                <w:color w:val="000000"/>
                <w:sz w:val="22"/>
                <w:lang w:eastAsia="en-GB"/>
              </w:rPr>
            </w:pPr>
          </w:p>
        </w:tc>
        <w:tc>
          <w:tcPr>
            <w:tcW w:w="1904" w:type="dxa"/>
          </w:tcPr>
          <w:p w:rsidR="005811A9" w:rsidRPr="001C1262" w:rsidRDefault="005811A9" w:rsidP="001C1262">
            <w:pPr>
              <w:spacing w:after="0" w:line="240" w:lineRule="auto"/>
              <w:rPr>
                <w:color w:val="000000"/>
                <w:sz w:val="22"/>
                <w:lang w:eastAsia="en-GB"/>
              </w:rPr>
            </w:pPr>
            <w:r w:rsidRPr="001C1262">
              <w:rPr>
                <w:color w:val="000000"/>
                <w:sz w:val="22"/>
                <w:lang w:eastAsia="en-GB"/>
              </w:rPr>
              <w:t>26%</w:t>
            </w:r>
          </w:p>
        </w:tc>
      </w:tr>
      <w:tr w:rsidR="005811A9" w:rsidRPr="001C1262" w:rsidTr="001C1262">
        <w:tc>
          <w:tcPr>
            <w:tcW w:w="2802" w:type="dxa"/>
          </w:tcPr>
          <w:p w:rsidR="005811A9" w:rsidRPr="001C1262" w:rsidRDefault="005811A9" w:rsidP="001C1262">
            <w:pPr>
              <w:numPr>
                <w:ilvl w:val="0"/>
                <w:numId w:val="7"/>
              </w:numPr>
              <w:ind w:left="709" w:hanging="425"/>
              <w:contextualSpacing/>
              <w:rPr>
                <w:color w:val="000000"/>
                <w:sz w:val="22"/>
                <w:lang w:eastAsia="en-GB"/>
              </w:rPr>
            </w:pPr>
            <w:r w:rsidRPr="001C1262">
              <w:rPr>
                <w:rFonts w:eastAsia="SimSun"/>
                <w:bCs/>
                <w:iCs/>
                <w:sz w:val="22"/>
                <w:lang w:eastAsia="zh-CN"/>
              </w:rPr>
              <w:t>Достаточно много</w:t>
            </w:r>
          </w:p>
        </w:tc>
        <w:tc>
          <w:tcPr>
            <w:tcW w:w="2023" w:type="dxa"/>
          </w:tcPr>
          <w:p w:rsidR="005811A9" w:rsidRPr="001C1262" w:rsidRDefault="005811A9" w:rsidP="001C1262">
            <w:pPr>
              <w:spacing w:after="0" w:line="240" w:lineRule="auto"/>
              <w:rPr>
                <w:color w:val="000000"/>
                <w:sz w:val="22"/>
                <w:lang w:eastAsia="en-GB"/>
              </w:rPr>
            </w:pPr>
            <w:r w:rsidRPr="001C1262">
              <w:rPr>
                <w:color w:val="000000"/>
                <w:sz w:val="22"/>
                <w:lang w:eastAsia="en-GB"/>
              </w:rPr>
              <w:t>34%</w:t>
            </w:r>
          </w:p>
        </w:tc>
        <w:tc>
          <w:tcPr>
            <w:tcW w:w="2513" w:type="dxa"/>
          </w:tcPr>
          <w:p w:rsidR="005811A9" w:rsidRPr="001C1262" w:rsidRDefault="005811A9" w:rsidP="001C1262">
            <w:pPr>
              <w:spacing w:after="0" w:line="240" w:lineRule="auto"/>
              <w:rPr>
                <w:color w:val="000000"/>
                <w:sz w:val="22"/>
                <w:lang w:eastAsia="en-GB"/>
              </w:rPr>
            </w:pPr>
            <w:r w:rsidRPr="001C1262">
              <w:rPr>
                <w:color w:val="000000"/>
                <w:sz w:val="22"/>
                <w:lang w:eastAsia="en-GB"/>
              </w:rPr>
              <w:t>(4) Достаточно много</w:t>
            </w:r>
          </w:p>
          <w:p w:rsidR="005811A9" w:rsidRPr="001C1262" w:rsidRDefault="005811A9" w:rsidP="001C1262">
            <w:pPr>
              <w:spacing w:after="0" w:line="240" w:lineRule="auto"/>
              <w:rPr>
                <w:color w:val="000000"/>
                <w:sz w:val="22"/>
                <w:lang w:eastAsia="en-GB"/>
              </w:rPr>
            </w:pPr>
          </w:p>
        </w:tc>
        <w:tc>
          <w:tcPr>
            <w:tcW w:w="1904" w:type="dxa"/>
          </w:tcPr>
          <w:p w:rsidR="005811A9" w:rsidRPr="001C1262" w:rsidRDefault="005811A9" w:rsidP="001C1262">
            <w:pPr>
              <w:spacing w:after="0" w:line="240" w:lineRule="auto"/>
              <w:rPr>
                <w:color w:val="000000"/>
                <w:sz w:val="22"/>
                <w:lang w:eastAsia="en-GB"/>
              </w:rPr>
            </w:pPr>
            <w:r w:rsidRPr="001C1262">
              <w:rPr>
                <w:color w:val="000000"/>
                <w:sz w:val="22"/>
                <w:lang w:eastAsia="en-GB"/>
              </w:rPr>
              <w:t>14%</w:t>
            </w:r>
          </w:p>
        </w:tc>
      </w:tr>
      <w:tr w:rsidR="005811A9" w:rsidRPr="001C1262" w:rsidTr="001C1262">
        <w:tc>
          <w:tcPr>
            <w:tcW w:w="2802" w:type="dxa"/>
          </w:tcPr>
          <w:p w:rsidR="005811A9" w:rsidRPr="001C1262" w:rsidRDefault="005811A9" w:rsidP="001C1262">
            <w:pPr>
              <w:numPr>
                <w:ilvl w:val="0"/>
                <w:numId w:val="7"/>
              </w:numPr>
              <w:ind w:left="709" w:hanging="425"/>
              <w:contextualSpacing/>
              <w:rPr>
                <w:color w:val="000000"/>
                <w:sz w:val="22"/>
                <w:lang w:eastAsia="en-GB"/>
              </w:rPr>
            </w:pPr>
            <w:r w:rsidRPr="001C1262">
              <w:rPr>
                <w:rFonts w:eastAsia="SimSun"/>
                <w:bCs/>
                <w:iCs/>
                <w:sz w:val="22"/>
                <w:lang w:eastAsia="zh-CN"/>
              </w:rPr>
              <w:t>Очень много</w:t>
            </w:r>
          </w:p>
        </w:tc>
        <w:tc>
          <w:tcPr>
            <w:tcW w:w="2023" w:type="dxa"/>
          </w:tcPr>
          <w:p w:rsidR="005811A9" w:rsidRPr="001C1262" w:rsidRDefault="005811A9" w:rsidP="001C1262">
            <w:pPr>
              <w:spacing w:after="0" w:line="240" w:lineRule="auto"/>
              <w:rPr>
                <w:color w:val="000000"/>
                <w:sz w:val="22"/>
                <w:lang w:eastAsia="en-GB"/>
              </w:rPr>
            </w:pPr>
            <w:r w:rsidRPr="001C1262">
              <w:rPr>
                <w:color w:val="000000"/>
                <w:sz w:val="22"/>
                <w:lang w:eastAsia="en-GB"/>
              </w:rPr>
              <w:t>10%</w:t>
            </w:r>
          </w:p>
        </w:tc>
        <w:tc>
          <w:tcPr>
            <w:tcW w:w="2513" w:type="dxa"/>
          </w:tcPr>
          <w:p w:rsidR="005811A9" w:rsidRPr="001C1262" w:rsidRDefault="005811A9" w:rsidP="001C1262">
            <w:pPr>
              <w:spacing w:after="0" w:line="240" w:lineRule="auto"/>
              <w:rPr>
                <w:color w:val="000000"/>
                <w:sz w:val="22"/>
                <w:lang w:eastAsia="en-GB"/>
              </w:rPr>
            </w:pPr>
            <w:r w:rsidRPr="001C1262">
              <w:rPr>
                <w:color w:val="000000"/>
                <w:sz w:val="22"/>
                <w:lang w:eastAsia="en-GB"/>
              </w:rPr>
              <w:t>(5) Очень много</w:t>
            </w:r>
          </w:p>
        </w:tc>
        <w:tc>
          <w:tcPr>
            <w:tcW w:w="1904" w:type="dxa"/>
          </w:tcPr>
          <w:p w:rsidR="005811A9" w:rsidRPr="001C1262" w:rsidRDefault="005811A9" w:rsidP="001C1262">
            <w:pPr>
              <w:spacing w:after="0" w:line="240" w:lineRule="auto"/>
              <w:rPr>
                <w:color w:val="000000"/>
                <w:sz w:val="22"/>
                <w:lang w:eastAsia="en-GB"/>
              </w:rPr>
            </w:pPr>
            <w:r w:rsidRPr="001C1262">
              <w:rPr>
                <w:color w:val="000000"/>
                <w:sz w:val="22"/>
                <w:lang w:eastAsia="en-GB"/>
              </w:rPr>
              <w:t>14%</w:t>
            </w:r>
          </w:p>
        </w:tc>
      </w:tr>
      <w:tr w:rsidR="005811A9" w:rsidRPr="001C1262" w:rsidTr="001C1262">
        <w:trPr>
          <w:trHeight w:val="1069"/>
        </w:trPr>
        <w:tc>
          <w:tcPr>
            <w:tcW w:w="2802" w:type="dxa"/>
            <w:vAlign w:val="center"/>
          </w:tcPr>
          <w:p w:rsidR="005811A9" w:rsidRPr="001C1262" w:rsidRDefault="005811A9" w:rsidP="001C1262">
            <w:pPr>
              <w:spacing w:after="0" w:line="240" w:lineRule="auto"/>
              <w:jc w:val="center"/>
              <w:rPr>
                <w:color w:val="000000"/>
                <w:sz w:val="22"/>
                <w:lang w:eastAsia="en-GB"/>
              </w:rPr>
            </w:pPr>
            <w:r w:rsidRPr="001C1262">
              <w:rPr>
                <w:color w:val="000000"/>
                <w:sz w:val="22"/>
                <w:lang w:eastAsia="en-GB"/>
              </w:rPr>
              <w:t>% тех, кто</w:t>
            </w:r>
          </w:p>
          <w:p w:rsidR="005811A9" w:rsidRPr="001C1262" w:rsidRDefault="005811A9" w:rsidP="001C1262">
            <w:pPr>
              <w:spacing w:after="0" w:line="240" w:lineRule="auto"/>
              <w:jc w:val="center"/>
              <w:rPr>
                <w:color w:val="000000"/>
                <w:sz w:val="22"/>
                <w:lang w:eastAsia="en-GB"/>
              </w:rPr>
            </w:pPr>
            <w:r w:rsidRPr="001C1262">
              <w:rPr>
                <w:color w:val="000000"/>
                <w:sz w:val="22"/>
                <w:lang w:eastAsia="en-GB"/>
              </w:rPr>
              <w:t>ответил положительно</w:t>
            </w:r>
          </w:p>
          <w:p w:rsidR="005811A9" w:rsidRPr="001C1262" w:rsidRDefault="005811A9" w:rsidP="001C1262">
            <w:pPr>
              <w:spacing w:after="0" w:line="240" w:lineRule="auto"/>
              <w:jc w:val="center"/>
              <w:rPr>
                <w:color w:val="000000"/>
                <w:sz w:val="22"/>
                <w:lang w:eastAsia="en-GB"/>
              </w:rPr>
            </w:pPr>
            <w:r w:rsidRPr="001C1262">
              <w:rPr>
                <w:color w:val="000000"/>
                <w:sz w:val="22"/>
                <w:lang w:eastAsia="en-GB"/>
              </w:rPr>
              <w:t>(то есть варианты ответа</w:t>
            </w:r>
          </w:p>
          <w:p w:rsidR="005811A9" w:rsidRPr="001C1262" w:rsidRDefault="005811A9" w:rsidP="001C1262">
            <w:pPr>
              <w:spacing w:after="0" w:line="240" w:lineRule="auto"/>
              <w:jc w:val="center"/>
              <w:rPr>
                <w:color w:val="000000"/>
                <w:sz w:val="22"/>
                <w:lang w:eastAsia="en-GB"/>
              </w:rPr>
            </w:pPr>
            <w:r w:rsidRPr="001C1262">
              <w:rPr>
                <w:color w:val="000000"/>
                <w:sz w:val="22"/>
                <w:lang w:eastAsia="en-GB"/>
              </w:rPr>
              <w:t>3, 4 или 5)</w:t>
            </w:r>
          </w:p>
        </w:tc>
        <w:tc>
          <w:tcPr>
            <w:tcW w:w="2023" w:type="dxa"/>
          </w:tcPr>
          <w:p w:rsidR="005811A9" w:rsidRPr="001C1262" w:rsidRDefault="005811A9" w:rsidP="001C1262">
            <w:pPr>
              <w:spacing w:after="0" w:line="240" w:lineRule="auto"/>
              <w:rPr>
                <w:color w:val="000000"/>
                <w:sz w:val="22"/>
                <w:lang w:eastAsia="en-GB"/>
              </w:rPr>
            </w:pPr>
            <w:r w:rsidRPr="001C1262">
              <w:rPr>
                <w:color w:val="000000"/>
                <w:sz w:val="22"/>
                <w:lang w:eastAsia="en-GB"/>
              </w:rPr>
              <w:t>(26%+34%+10%) =70%</w:t>
            </w:r>
          </w:p>
        </w:tc>
        <w:tc>
          <w:tcPr>
            <w:tcW w:w="2513" w:type="dxa"/>
          </w:tcPr>
          <w:p w:rsidR="005811A9" w:rsidRPr="001C1262" w:rsidRDefault="005811A9" w:rsidP="001C1262">
            <w:pPr>
              <w:spacing w:after="0" w:line="240" w:lineRule="auto"/>
              <w:rPr>
                <w:color w:val="000000"/>
                <w:sz w:val="22"/>
                <w:lang w:eastAsia="en-GB"/>
              </w:rPr>
            </w:pPr>
            <w:r w:rsidRPr="001C1262">
              <w:rPr>
                <w:color w:val="000000"/>
                <w:sz w:val="22"/>
                <w:lang w:eastAsia="en-GB"/>
              </w:rPr>
              <w:t>% тех, кто ответил положительно (то есть варианты ответа</w:t>
            </w:r>
          </w:p>
          <w:p w:rsidR="005811A9" w:rsidRPr="001C1262" w:rsidRDefault="005811A9" w:rsidP="001C1262">
            <w:pPr>
              <w:spacing w:after="0" w:line="240" w:lineRule="auto"/>
              <w:rPr>
                <w:color w:val="000000"/>
                <w:sz w:val="22"/>
                <w:lang w:eastAsia="en-GB"/>
              </w:rPr>
            </w:pPr>
            <w:r w:rsidRPr="001C1262">
              <w:rPr>
                <w:color w:val="000000"/>
                <w:sz w:val="22"/>
                <w:lang w:eastAsia="en-GB"/>
              </w:rPr>
              <w:t>3, 4 или 5)</w:t>
            </w:r>
          </w:p>
        </w:tc>
        <w:tc>
          <w:tcPr>
            <w:tcW w:w="1904" w:type="dxa"/>
          </w:tcPr>
          <w:p w:rsidR="005811A9" w:rsidRPr="001C1262" w:rsidRDefault="005811A9" w:rsidP="001C1262">
            <w:pPr>
              <w:spacing w:after="0" w:line="240" w:lineRule="auto"/>
              <w:rPr>
                <w:color w:val="000000"/>
                <w:sz w:val="22"/>
                <w:lang w:eastAsia="en-GB"/>
              </w:rPr>
            </w:pPr>
            <w:r w:rsidRPr="001C1262">
              <w:rPr>
                <w:color w:val="000000"/>
                <w:sz w:val="22"/>
                <w:lang w:eastAsia="en-GB"/>
              </w:rPr>
              <w:t>(26%+14%+14%) =54%</w:t>
            </w:r>
          </w:p>
        </w:tc>
      </w:tr>
    </w:tbl>
    <w:p w:rsidR="005811A9" w:rsidRPr="001E1758" w:rsidRDefault="005811A9" w:rsidP="005811A9">
      <w:pPr>
        <w:shd w:val="clear" w:color="auto" w:fill="FFFFFF"/>
        <w:rPr>
          <w:rFonts w:eastAsia="Times New Roman"/>
          <w:color w:val="000000"/>
          <w:lang w:eastAsia="en-GB"/>
        </w:rPr>
      </w:pPr>
    </w:p>
    <w:p w:rsidR="005811A9" w:rsidRDefault="005811A9" w:rsidP="005811A9">
      <w:pPr>
        <w:pStyle w:val="ab"/>
        <w:numPr>
          <w:ilvl w:val="1"/>
          <w:numId w:val="5"/>
        </w:numPr>
        <w:shd w:val="clear" w:color="auto" w:fill="FFFFFF"/>
        <w:ind w:left="0" w:firstLine="0"/>
        <w:rPr>
          <w:color w:val="000000"/>
          <w:szCs w:val="24"/>
          <w:lang w:eastAsia="en-GB"/>
        </w:rPr>
      </w:pPr>
      <w:r w:rsidRPr="001E1758">
        <w:rPr>
          <w:color w:val="000000"/>
          <w:szCs w:val="24"/>
          <w:lang w:eastAsia="en-GB"/>
        </w:rPr>
        <w:t>Во-вторых, НСУ необходимо рассчитать простое среднее значение этих двух совокупных процентов. Продолжая приведенный выше пример:</w:t>
      </w:r>
    </w:p>
    <w:p w:rsidR="005811A9" w:rsidRPr="001E1758" w:rsidRDefault="005811A9" w:rsidP="005811A9">
      <w:pPr>
        <w:pStyle w:val="ab"/>
        <w:shd w:val="clear" w:color="auto" w:fill="FFFFFF"/>
        <w:ind w:left="1440"/>
        <w:rPr>
          <w:color w:val="000000"/>
          <w:szCs w:val="24"/>
          <w:lang w:eastAsia="en-GB"/>
        </w:rPr>
      </w:pPr>
      <w:r w:rsidRPr="001E1758">
        <w:rPr>
          <w:color w:val="000000"/>
          <w:szCs w:val="24"/>
          <w:lang w:eastAsia="en-GB"/>
        </w:rPr>
        <w:t>(70% + 54%) / 2 = 62%</w:t>
      </w:r>
    </w:p>
    <w:p w:rsidR="005811A9" w:rsidRDefault="005811A9" w:rsidP="005811A9">
      <w:pPr>
        <w:shd w:val="clear" w:color="auto" w:fill="FFFFFF"/>
        <w:rPr>
          <w:color w:val="000000"/>
          <w:lang w:eastAsia="en-GB"/>
        </w:rPr>
      </w:pPr>
      <w:r w:rsidRPr="00C951EC">
        <w:rPr>
          <w:color w:val="000000"/>
          <w:lang w:eastAsia="en-GB"/>
        </w:rPr>
        <w:t>* </w:t>
      </w:r>
      <w:r w:rsidRPr="00C951EC">
        <w:rPr>
          <w:color w:val="000000"/>
          <w:u w:val="single"/>
          <w:lang w:eastAsia="en-GB"/>
        </w:rPr>
        <w:t>Примечание:</w:t>
      </w:r>
      <w:r w:rsidRPr="00C951EC">
        <w:rPr>
          <w:color w:val="000000"/>
          <w:lang w:eastAsia="en-GB"/>
        </w:rPr>
        <w:t> </w:t>
      </w:r>
      <w:r w:rsidRPr="00C951EC">
        <w:rPr>
          <w:i/>
          <w:iCs/>
          <w:color w:val="000000"/>
          <w:lang w:eastAsia="en-GB"/>
        </w:rPr>
        <w:t>Важно, чтобы НС</w:t>
      </w:r>
      <w:r>
        <w:rPr>
          <w:i/>
          <w:iCs/>
          <w:color w:val="000000"/>
          <w:lang w:eastAsia="en-GB"/>
        </w:rPr>
        <w:t>О</w:t>
      </w:r>
      <w:r w:rsidRPr="00C951EC">
        <w:rPr>
          <w:i/>
          <w:iCs/>
          <w:color w:val="000000"/>
          <w:lang w:eastAsia="en-GB"/>
        </w:rPr>
        <w:t xml:space="preserve"> четко указывали для каждого вопроса количество респондентов, которые выбрали «не знаю» (НЗ), «нет ответа» (НО) или «отказались отвечать» (ОО) и исключили таки</w:t>
      </w:r>
      <w:r>
        <w:rPr>
          <w:i/>
          <w:iCs/>
          <w:color w:val="000000"/>
          <w:lang w:eastAsia="en-GB"/>
        </w:rPr>
        <w:t>х</w:t>
      </w:r>
      <w:r w:rsidRPr="00C951EC">
        <w:rPr>
          <w:i/>
          <w:iCs/>
          <w:color w:val="000000"/>
          <w:lang w:eastAsia="en-GB"/>
        </w:rPr>
        <w:t xml:space="preserve"> Респондент</w:t>
      </w:r>
      <w:r>
        <w:rPr>
          <w:i/>
          <w:iCs/>
          <w:color w:val="000000"/>
          <w:lang w:eastAsia="en-GB"/>
        </w:rPr>
        <w:t>ов</w:t>
      </w:r>
      <w:r w:rsidRPr="00C951EC">
        <w:rPr>
          <w:i/>
          <w:iCs/>
          <w:color w:val="000000"/>
          <w:lang w:eastAsia="en-GB"/>
        </w:rPr>
        <w:t xml:space="preserve"> из расчета среднего рейтинга.</w:t>
      </w:r>
      <w:r w:rsidRPr="00C951EC">
        <w:rPr>
          <w:color w:val="000000"/>
          <w:lang w:eastAsia="en-GB"/>
        </w:rPr>
        <w:t> Например, если 65 респондентов из 1000 респондентов ответили на один из этих трех вариантов ответа на первый вопрос, средняя оценка этого первого вопроса будет рассчитана из общего количества 935 респондентов, и в отчете будет указано, что для этого конкретного вопроса, x респондент</w:t>
      </w:r>
      <w:r>
        <w:rPr>
          <w:color w:val="000000"/>
          <w:lang w:eastAsia="en-GB"/>
        </w:rPr>
        <w:t>ов</w:t>
      </w:r>
      <w:r w:rsidRPr="00C951EC">
        <w:rPr>
          <w:color w:val="000000"/>
          <w:lang w:eastAsia="en-GB"/>
        </w:rPr>
        <w:t xml:space="preserve"> ответили НЗ, y ответили НО, а z ответили ОО.</w:t>
      </w:r>
    </w:p>
    <w:p w:rsidR="005811A9" w:rsidRPr="00C951EC" w:rsidRDefault="005811A9" w:rsidP="005811A9">
      <w:pPr>
        <w:shd w:val="clear" w:color="auto" w:fill="FFFFFF"/>
        <w:rPr>
          <w:color w:val="000000"/>
          <w:lang w:eastAsia="en-GB"/>
        </w:rPr>
      </w:pPr>
      <w:r w:rsidRPr="00C951EC">
        <w:rPr>
          <w:color w:val="000000"/>
          <w:lang w:eastAsia="en-GB"/>
        </w:rPr>
        <w:t>Глобальная отчетность по ЦУР 16.7.2 потребует:</w:t>
      </w:r>
    </w:p>
    <w:p w:rsidR="005811A9" w:rsidRPr="00C951EC" w:rsidRDefault="005811A9" w:rsidP="005811A9">
      <w:pPr>
        <w:numPr>
          <w:ilvl w:val="0"/>
          <w:numId w:val="6"/>
        </w:numPr>
        <w:shd w:val="clear" w:color="auto" w:fill="FFFFFF"/>
        <w:rPr>
          <w:color w:val="000000"/>
          <w:lang w:eastAsia="en-GB"/>
        </w:rPr>
      </w:pPr>
      <w:r w:rsidRPr="00C951EC">
        <w:rPr>
          <w:color w:val="000000"/>
          <w:lang w:eastAsia="en-GB"/>
        </w:rPr>
        <w:t>Распределение ответов по всем вариантам ответов, для каждого из двух вопросов;</w:t>
      </w:r>
    </w:p>
    <w:p w:rsidR="005811A9" w:rsidRPr="00C951EC" w:rsidRDefault="005811A9" w:rsidP="005811A9">
      <w:pPr>
        <w:numPr>
          <w:ilvl w:val="0"/>
          <w:numId w:val="6"/>
        </w:numPr>
        <w:shd w:val="clear" w:color="auto" w:fill="FFFFFF"/>
        <w:rPr>
          <w:color w:val="000000"/>
          <w:lang w:eastAsia="en-GB"/>
        </w:rPr>
      </w:pPr>
      <w:r w:rsidRPr="00C951EC">
        <w:rPr>
          <w:color w:val="000000"/>
          <w:lang w:eastAsia="en-GB"/>
        </w:rPr>
        <w:lastRenderedPageBreak/>
        <w:t>Кумулятивные рейтинги предоставляются по каждому из двух вопросов</w:t>
      </w:r>
      <w:r>
        <w:rPr>
          <w:color w:val="000000"/>
          <w:lang w:eastAsia="en-GB"/>
        </w:rPr>
        <w:t xml:space="preserve"> (</w:t>
      </w:r>
      <w:r w:rsidRPr="00E82A62">
        <w:rPr>
          <w:color w:val="000000"/>
          <w:lang w:eastAsia="en-GB"/>
        </w:rPr>
        <w:t>то есть совокупный процент респондентов, ответивших 3</w:t>
      </w:r>
      <w:r>
        <w:rPr>
          <w:color w:val="000000"/>
          <w:lang w:eastAsia="en-GB"/>
        </w:rPr>
        <w:t xml:space="preserve"> -</w:t>
      </w:r>
      <w:r w:rsidRPr="00E82A62">
        <w:rPr>
          <w:color w:val="000000"/>
          <w:lang w:eastAsia="en-GB"/>
        </w:rPr>
        <w:t xml:space="preserve"> "Немного", 4- "</w:t>
      </w:r>
      <w:r>
        <w:rPr>
          <w:color w:val="000000"/>
          <w:lang w:eastAsia="en-GB"/>
        </w:rPr>
        <w:t xml:space="preserve">Достаточно </w:t>
      </w:r>
      <w:r w:rsidRPr="00E82A62">
        <w:rPr>
          <w:color w:val="000000"/>
          <w:lang w:eastAsia="en-GB"/>
        </w:rPr>
        <w:t>много" или 5-"</w:t>
      </w:r>
      <w:r>
        <w:rPr>
          <w:color w:val="000000"/>
          <w:lang w:eastAsia="en-GB"/>
        </w:rPr>
        <w:t>О</w:t>
      </w:r>
      <w:r w:rsidRPr="00E82A62">
        <w:rPr>
          <w:color w:val="000000"/>
          <w:lang w:eastAsia="en-GB"/>
        </w:rPr>
        <w:t>чень много");</w:t>
      </w:r>
      <w:r w:rsidRPr="00C951EC">
        <w:rPr>
          <w:color w:val="000000"/>
          <w:lang w:eastAsia="en-GB"/>
        </w:rPr>
        <w:t> а также</w:t>
      </w:r>
    </w:p>
    <w:p w:rsidR="005811A9" w:rsidRPr="005811A9" w:rsidRDefault="005811A9" w:rsidP="005811A9">
      <w:pPr>
        <w:numPr>
          <w:ilvl w:val="0"/>
          <w:numId w:val="6"/>
        </w:numPr>
        <w:shd w:val="clear" w:color="auto" w:fill="FFFFFF"/>
        <w:rPr>
          <w:color w:val="000000"/>
          <w:lang w:eastAsia="en-GB"/>
        </w:rPr>
      </w:pPr>
      <w:r w:rsidRPr="00C951EC">
        <w:rPr>
          <w:color w:val="000000"/>
          <w:lang w:eastAsia="en-GB"/>
        </w:rPr>
        <w:t>Средняя оценка по двум вопросам</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r w:rsidR="00694160" w:rsidRPr="00A71EC6">
        <w:rPr>
          <w:b/>
          <w:color w:val="auto"/>
          <w:sz w:val="24"/>
          <w:szCs w:val="24"/>
          <w:lang w:val="ru-RU"/>
        </w:rPr>
        <w:t>Валидация</w:t>
      </w:r>
    </w:p>
    <w:p w:rsidR="002E3811" w:rsidRDefault="002E3811" w:rsidP="002E3811">
      <w:r w:rsidRPr="002E3811">
        <w:t>Странам предлагается ввести данные показателей и метаданные в платформу отчетности в соответствии с рекомендациями, изложенными в настоящем листе метаданных. Платформа поощряет предоставление отдельной информации о метаданных опроса, а именно об источнике информации для статистики, инструментах опроса, методологии и протоколах и возможностях. Странам также предлагается включить статистические данные по двум вопросам, дезагрегированные по предварительно указанным полям. Вся введенная информация перед отправкой проверяется на соответствие метаданным.</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F92D6F" w:rsidP="0075371E">
      <w:pPr>
        <w:pStyle w:val="MText"/>
        <w:rPr>
          <w:color w:val="auto"/>
          <w:sz w:val="24"/>
          <w:szCs w:val="24"/>
          <w:lang w:val="ru-RU"/>
        </w:rPr>
      </w:pPr>
      <w:r>
        <w:rPr>
          <w:color w:val="auto"/>
          <w:sz w:val="24"/>
          <w:szCs w:val="24"/>
          <w:lang w:val="ru-RU"/>
        </w:rPr>
        <w:t>Не применимо</w:t>
      </w:r>
      <w:r w:rsidR="00694160" w:rsidRPr="00BD29EC">
        <w:rPr>
          <w:color w:val="auto"/>
          <w:sz w:val="24"/>
          <w:szCs w:val="24"/>
          <w:lang w:val="ru-RU"/>
        </w:rPr>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r w:rsidR="00694160" w:rsidRPr="00A71EC6">
        <w:rPr>
          <w:b/>
          <w:color w:val="auto"/>
          <w:sz w:val="24"/>
          <w:szCs w:val="24"/>
        </w:rPr>
        <w:t>i</w:t>
      </w:r>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2E3811">
      <w:r w:rsidRPr="00BD29EC">
        <w:t>•</w:t>
      </w:r>
      <w:r w:rsidRPr="00BD29EC">
        <w:tab/>
      </w:r>
      <w:r w:rsidR="00694160" w:rsidRPr="00BD29EC">
        <w:t>На уровне страны</w:t>
      </w:r>
    </w:p>
    <w:p w:rsidR="002E15F9" w:rsidRPr="00BD29EC" w:rsidRDefault="002E3811" w:rsidP="002E3811">
      <w:r>
        <w:t>Вменение пропущенных значений не производится.</w:t>
      </w:r>
    </w:p>
    <w:p w:rsidR="002E15F9" w:rsidRPr="00BD29EC" w:rsidRDefault="002E15F9" w:rsidP="002E3811">
      <w:r w:rsidRPr="00BD29EC">
        <w:t>•</w:t>
      </w:r>
      <w:r w:rsidRPr="00BD29EC">
        <w:tab/>
      </w:r>
      <w:r w:rsidR="00694160" w:rsidRPr="00BD29EC">
        <w:t>На региональном и глобальном уровнях</w:t>
      </w:r>
    </w:p>
    <w:p w:rsidR="00694160" w:rsidRPr="00BD29EC" w:rsidRDefault="002E3811" w:rsidP="002E3811">
      <w:r>
        <w:t>Вменение пропущенных значений не производится.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p>
    <w:p w:rsidR="002E15F9" w:rsidRPr="00BD29EC" w:rsidRDefault="00B619DB" w:rsidP="00B619DB">
      <w:r w:rsidRPr="00B619DB">
        <w:t>Средняя доля респондентов, положительно ответивших на два вопроса, выбранных для измерения ЦУР 16.7.2, будет предоставлена для каждого региона и в глобальном масштабе.</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A703D7" w:rsidRPr="00A703D7" w:rsidRDefault="00A703D7" w:rsidP="00A703D7">
      <w:r w:rsidRPr="00A703D7">
        <w:t>Методы и рекомендации, доступные странам для сбора данных на национальном уровне:</w:t>
      </w:r>
    </w:p>
    <w:p w:rsidR="00A703D7" w:rsidRPr="00A703D7" w:rsidRDefault="00A703D7" w:rsidP="00A703D7">
      <w:r w:rsidRPr="00A703D7">
        <w:t xml:space="preserve">Для разбивки результатов опроса по статусу инвалидности странам рекомендуется использовать </w:t>
      </w:r>
      <w:hyperlink r:id="rId10" w:history="1">
        <w:r w:rsidRPr="00A703D7">
          <w:rPr>
            <w:rStyle w:val="ad"/>
          </w:rPr>
          <w:t>Краткий набор вопросов об инвалидности, разработанный Вашингтонской группой</w:t>
        </w:r>
      </w:hyperlink>
      <w:r w:rsidRPr="00A703D7">
        <w:t>.</w:t>
      </w:r>
    </w:p>
    <w:p w:rsidR="00A703D7" w:rsidRPr="00A703D7" w:rsidRDefault="00A703D7" w:rsidP="00A703D7">
      <w:r w:rsidRPr="00A703D7">
        <w:t>Методы и рекомендации, доступные странам для сбора данных на международном уровне:</w:t>
      </w:r>
    </w:p>
    <w:p w:rsidR="00A703D7" w:rsidRPr="00A703D7" w:rsidRDefault="00A703D7" w:rsidP="00A703D7">
      <w:r w:rsidRPr="00A703D7">
        <w:t>Европейское социальное исследование: Исходный вопросник и сопроводительное руководство на разных языках:</w:t>
      </w:r>
    </w:p>
    <w:p w:rsidR="00A703D7" w:rsidRPr="00A703D7" w:rsidRDefault="00A703D7" w:rsidP="00A703D7">
      <w:r w:rsidRPr="00A703D7">
        <w:t>https://www.europeansocialsurvey.org/methodology/ess_methodology/source_questionnaire/</w:t>
      </w:r>
    </w:p>
    <w:p w:rsidR="00A703D7" w:rsidRPr="00BD29EC" w:rsidRDefault="00A703D7" w:rsidP="00A703D7">
      <w:r w:rsidRPr="00A703D7">
        <w:lastRenderedPageBreak/>
        <w:t>Исследование ОЭСР по навыкам взрослых (PIAAC): Анкета и сопровождающее руководство на разных языках: http://www.oecd.org/skills/piaac/samplequestionsandquestionnaire.htm</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i</w:t>
      </w:r>
      <w:r w:rsidRPr="00BD29EC">
        <w:rPr>
          <w:color w:val="auto"/>
          <w:sz w:val="24"/>
          <w:szCs w:val="24"/>
          <w:lang w:val="ru-RU"/>
        </w:rPr>
        <w:t xml:space="preserve">. </w:t>
      </w:r>
      <w:r w:rsidR="00E27922" w:rsidRPr="00A71EC6">
        <w:rPr>
          <w:b/>
          <w:color w:val="auto"/>
          <w:sz w:val="24"/>
          <w:szCs w:val="24"/>
          <w:lang w:val="ru-RU"/>
        </w:rPr>
        <w:t>Управление качеством</w:t>
      </w:r>
    </w:p>
    <w:p w:rsidR="002145FA" w:rsidRPr="00BD29EC" w:rsidRDefault="002145FA" w:rsidP="002145FA">
      <w:r w:rsidRPr="002145FA">
        <w:t>Статистика по этому показателю вводится в платформу отчетности (https://sdg16reporting.undp.org/login). ПРООН выделила сотрудников для проверки собранных данных и поддержания связи с сотрудниками по данным в агентстве в странах.</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003859BD">
        <w:rPr>
          <w:b/>
          <w:color w:val="auto"/>
          <w:sz w:val="24"/>
          <w:szCs w:val="24"/>
          <w:lang w:val="ru-RU"/>
        </w:rPr>
        <w:t>Гарантия</w:t>
      </w:r>
      <w:r w:rsidR="00E27922" w:rsidRPr="00A71EC6">
        <w:rPr>
          <w:b/>
          <w:color w:val="auto"/>
          <w:sz w:val="24"/>
          <w:szCs w:val="24"/>
          <w:lang w:val="ru-RU"/>
        </w:rPr>
        <w:t xml:space="preserve"> качества</w:t>
      </w:r>
    </w:p>
    <w:p w:rsidR="002145FA" w:rsidRPr="00040034" w:rsidRDefault="002145FA" w:rsidP="002145FA">
      <w:r w:rsidRPr="002145FA">
        <w:t>НСУ несут основную ответственность за обеспечение статистического качества данных, собранных для этого показателя. Одним из возможных механизмов обеспечения качества могло бы быть сравнение результатов, полученных НСУ, с легкодоступными результатами опроса о внешнеполитической эффективности, проведенными соответствующими национальными, региональными или глобальными неофициальными производителями данных (см. потенциальные глобальные и региональные неофициальные источники ниже).</w:t>
      </w:r>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p>
    <w:p w:rsidR="002145FA" w:rsidRDefault="002145FA" w:rsidP="002145FA">
      <w:r w:rsidRPr="002145FA">
        <w:t>ПРООН предоставит национальному статистическому управлению протокол оценки качества, который будет использоваться на национальном уровне и предназначен для оценки соответствия подготовленных данных потребностям пользователей, соблюдения руководящих принципов в отношении вычислений, своевременности подготовки данных, доступности подготовленных статистических данных, последовательного использования методологии как с точки зрения географического представительства и во времени, согласованности с точки зрения производства данных и архитектуры производства данных.</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Доступность и дезагрегирование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2145FA" w:rsidRPr="002145FA" w:rsidRDefault="002145FA" w:rsidP="002145FA">
      <w:pPr>
        <w:shd w:val="clear" w:color="auto" w:fill="FFFFFF"/>
        <w:rPr>
          <w:lang w:eastAsia="en-GB"/>
        </w:rPr>
      </w:pPr>
      <w:r w:rsidRPr="00C951EC">
        <w:rPr>
          <w:bCs/>
          <w:lang w:eastAsia="en-GB"/>
        </w:rPr>
        <w:t>Описание и временные ряды:</w:t>
      </w:r>
    </w:p>
    <w:p w:rsidR="002145FA" w:rsidRPr="00C951EC" w:rsidRDefault="002145FA" w:rsidP="002145FA">
      <w:pPr>
        <w:numPr>
          <w:ilvl w:val="0"/>
          <w:numId w:val="8"/>
        </w:numPr>
        <w:contextualSpacing/>
        <w:rPr>
          <w:rFonts w:eastAsia="SimSun"/>
          <w:lang w:eastAsia="zh-CN"/>
        </w:rPr>
      </w:pPr>
      <w:r w:rsidRPr="00C951EC">
        <w:rPr>
          <w:rFonts w:eastAsia="SimSun"/>
          <w:lang w:eastAsia="zh-CN"/>
        </w:rPr>
        <w:t>Не существует какого-либо глобального сопоставимого официального набора данных о доле населения, считающего процесс принятия решений  всеохватывающим и оперативным, в разбивке по полу, возрасту, признаку инвалидности и группе населения.Хотя большое количество стран имеют опыт измерения внешней политической эффективности, существует большое разнообразие в способах НС</w:t>
      </w:r>
      <w:r>
        <w:rPr>
          <w:rFonts w:eastAsia="SimSun"/>
          <w:lang w:eastAsia="zh-CN"/>
        </w:rPr>
        <w:t>О</w:t>
      </w:r>
      <w:r w:rsidRPr="00C951EC">
        <w:rPr>
          <w:rFonts w:eastAsia="SimSun"/>
          <w:lang w:eastAsia="zh-CN"/>
        </w:rPr>
        <w:t xml:space="preserve"> и правительственных учреждений сбор</w:t>
      </w:r>
      <w:r>
        <w:rPr>
          <w:rFonts w:eastAsia="SimSun"/>
          <w:lang w:eastAsia="zh-CN"/>
        </w:rPr>
        <w:t>а</w:t>
      </w:r>
      <w:r w:rsidRPr="00C951EC">
        <w:rPr>
          <w:rFonts w:eastAsia="SimSun"/>
          <w:lang w:eastAsia="zh-CN"/>
        </w:rPr>
        <w:t xml:space="preserve"> данных в отдельных странах по этой концепции, с точки зрения формулировки вопросов и ответов форматов и т.д. Это разнообразие оценок создает серьезную проблему для сопоставимости таких данных между странами.</w:t>
      </w:r>
    </w:p>
    <w:p w:rsidR="002145FA" w:rsidRPr="00C951EC" w:rsidRDefault="002145FA" w:rsidP="002145FA">
      <w:pPr>
        <w:ind w:left="360"/>
        <w:contextualSpacing/>
        <w:rPr>
          <w:rFonts w:eastAsia="SimSun"/>
          <w:lang w:eastAsia="zh-CN"/>
        </w:rPr>
      </w:pPr>
    </w:p>
    <w:p w:rsidR="002145FA" w:rsidRPr="002145FA" w:rsidRDefault="002145FA" w:rsidP="002145FA">
      <w:pPr>
        <w:numPr>
          <w:ilvl w:val="0"/>
          <w:numId w:val="9"/>
        </w:numPr>
        <w:ind w:left="518" w:firstLine="0"/>
        <w:rPr>
          <w:color w:val="000000"/>
        </w:rPr>
      </w:pPr>
      <w:r w:rsidRPr="00C951EC">
        <w:rPr>
          <w:color w:val="000000"/>
        </w:rPr>
        <w:t xml:space="preserve">Тем не менее, ряд неофициальных производителей данных глобального и регионального обследования уже включили эти два вопроса в отчет 16.7.2 в свои </w:t>
      </w:r>
      <w:r w:rsidRPr="00C951EC">
        <w:rPr>
          <w:color w:val="000000"/>
        </w:rPr>
        <w:lastRenderedPageBreak/>
        <w:t>вопросники и уже предоставляют необходимые данные. В соответствии с </w:t>
      </w:r>
      <w:hyperlink r:id="rId11" w:history="1">
        <w:r w:rsidRPr="00C951EC">
          <w:rPr>
            <w:color w:val="0000FF"/>
            <w:u w:val="single"/>
          </w:rPr>
          <w:t>Руководящими принципами представления данных и обмена данными для глобального мониторинга Повестки дня в области устойчивого развития на период до 2030 года</w:t>
        </w:r>
      </w:hyperlink>
      <w:r w:rsidRPr="00C951EC">
        <w:rPr>
          <w:color w:val="000000"/>
        </w:rPr>
        <w:t> </w:t>
      </w:r>
      <w:r>
        <w:rPr>
          <w:color w:val="000000"/>
        </w:rPr>
        <w:t xml:space="preserve">2017г. </w:t>
      </w:r>
      <w:r w:rsidRPr="00C951EC">
        <w:rPr>
          <w:color w:val="000000"/>
        </w:rPr>
        <w:t>(в</w:t>
      </w:r>
      <w:r>
        <w:rPr>
          <w:color w:val="000000"/>
        </w:rPr>
        <w:t>ерсия</w:t>
      </w:r>
      <w:r w:rsidRPr="00C951EC">
        <w:rPr>
          <w:color w:val="000000"/>
        </w:rPr>
        <w:t xml:space="preserve"> 1), разработанными </w:t>
      </w:r>
      <w:r w:rsidRPr="00C951EC">
        <w:rPr>
          <w:color w:val="222222"/>
          <w:shd w:val="clear" w:color="auto" w:fill="FFFFFF"/>
        </w:rPr>
        <w:t>Комитетом по координации</w:t>
      </w:r>
      <w:r w:rsidRPr="00C951EC">
        <w:rPr>
          <w:color w:val="000000"/>
        </w:rPr>
        <w:t> </w:t>
      </w:r>
      <w:r w:rsidRPr="00C951EC">
        <w:rPr>
          <w:color w:val="222222"/>
          <w:shd w:val="clear" w:color="auto" w:fill="FFFFFF"/>
        </w:rPr>
        <w:t> </w:t>
      </w:r>
      <w:r w:rsidRPr="00C951EC">
        <w:rPr>
          <w:color w:val="000000"/>
        </w:rPr>
        <w:t> </w:t>
      </w:r>
      <w:r>
        <w:rPr>
          <w:color w:val="222222"/>
        </w:rPr>
        <w:t>статистической</w:t>
      </w:r>
      <w:r w:rsidRPr="00C951EC">
        <w:rPr>
          <w:color w:val="000000"/>
        </w:rPr>
        <w:t> </w:t>
      </w:r>
      <w:r w:rsidRPr="00C951EC">
        <w:rPr>
          <w:color w:val="222222"/>
          <w:shd w:val="clear" w:color="auto" w:fill="FFFFFF"/>
        </w:rPr>
        <w:t> </w:t>
      </w:r>
      <w:r w:rsidRPr="00C951EC">
        <w:rPr>
          <w:color w:val="000000"/>
        </w:rPr>
        <w:t> </w:t>
      </w:r>
      <w:r>
        <w:rPr>
          <w:color w:val="222222"/>
          <w:shd w:val="clear" w:color="auto" w:fill="FFFFFF"/>
        </w:rPr>
        <w:t>Деятельности</w:t>
      </w:r>
      <w:r w:rsidRPr="00C951EC">
        <w:rPr>
          <w:color w:val="222222"/>
          <w:shd w:val="clear" w:color="auto" w:fill="FFFFFF"/>
        </w:rPr>
        <w:t>(</w:t>
      </w:r>
      <w:r w:rsidRPr="00C951EC">
        <w:rPr>
          <w:color w:val="000000"/>
        </w:rPr>
        <w:t> CCSA), в которой говорится, что «неофициальные источники могут использоваться международными организациями при составлении официальной статистики для достижения следующих целей:… d) для построения международных рядов данных в областях, которые не охватываются существующими официальными источниками; и ... е)   для вменения национальных данных, если национальные официальные данные не существуют или и</w:t>
      </w:r>
      <w:r>
        <w:rPr>
          <w:color w:val="000000"/>
        </w:rPr>
        <w:t>меют доказанное низкое качество</w:t>
      </w:r>
      <w:r w:rsidRPr="00C951EC">
        <w:rPr>
          <w:color w:val="000000"/>
        </w:rPr>
        <w:t>», предлагается рассмотреть возможность использования этих неофициальных источников для стран, где НС</w:t>
      </w:r>
      <w:r>
        <w:rPr>
          <w:color w:val="000000"/>
        </w:rPr>
        <w:t>О</w:t>
      </w:r>
      <w:r w:rsidRPr="00C951EC">
        <w:rPr>
          <w:color w:val="000000"/>
        </w:rPr>
        <w:t xml:space="preserve"> еще не включил</w:t>
      </w:r>
      <w:r>
        <w:rPr>
          <w:color w:val="000000"/>
        </w:rPr>
        <w:t>а</w:t>
      </w:r>
      <w:r w:rsidRPr="00C951EC">
        <w:rPr>
          <w:color w:val="000000"/>
        </w:rPr>
        <w:t xml:space="preserve"> два вопроса, выбранные для 16.7.2. </w:t>
      </w:r>
      <w:r w:rsidRPr="00C951EC">
        <w:rPr>
          <w:b/>
          <w:bCs/>
          <w:color w:val="000000"/>
        </w:rPr>
        <w:t>Как указано в вышеупомянутых Руководящих принципах, НС</w:t>
      </w:r>
      <w:r>
        <w:rPr>
          <w:b/>
          <w:bCs/>
          <w:color w:val="000000"/>
        </w:rPr>
        <w:t>О</w:t>
      </w:r>
      <w:r w:rsidRPr="00C951EC">
        <w:rPr>
          <w:b/>
          <w:bCs/>
          <w:color w:val="000000"/>
        </w:rPr>
        <w:t xml:space="preserve"> необходимо будет проверить эти неофициальные данные, прежде чем они будут представлены на международный уровень для отчетности по ЦУР.</w:t>
      </w:r>
      <w:r w:rsidRPr="00C951EC">
        <w:rPr>
          <w:color w:val="000000"/>
        </w:rPr>
        <w:t> </w:t>
      </w:r>
      <w:r w:rsidRPr="00C951EC">
        <w:rPr>
          <w:b/>
          <w:bCs/>
          <w:color w:val="000000"/>
        </w:rPr>
        <w:t> </w:t>
      </w:r>
    </w:p>
    <w:p w:rsidR="002145FA" w:rsidRPr="00C951EC" w:rsidRDefault="002145FA" w:rsidP="002145FA">
      <w:pPr>
        <w:numPr>
          <w:ilvl w:val="0"/>
          <w:numId w:val="10"/>
        </w:numPr>
        <w:rPr>
          <w:color w:val="000000"/>
          <w:u w:val="single"/>
        </w:rPr>
      </w:pPr>
      <w:r w:rsidRPr="00C951EC">
        <w:rPr>
          <w:color w:val="000000"/>
          <w:u w:val="single"/>
        </w:rPr>
        <w:t>Для стран ОЭСР / ЕС :</w:t>
      </w:r>
    </w:p>
    <w:p w:rsidR="002145FA" w:rsidRPr="00C951EC" w:rsidRDefault="00117EC5" w:rsidP="002145FA">
      <w:pPr>
        <w:numPr>
          <w:ilvl w:val="0"/>
          <w:numId w:val="10"/>
        </w:numPr>
        <w:ind w:left="1286" w:firstLine="0"/>
        <w:rPr>
          <w:color w:val="000000"/>
          <w:lang w:eastAsia="ru-RU"/>
        </w:rPr>
      </w:pPr>
      <w:hyperlink r:id="rId12" w:history="1">
        <w:r w:rsidR="002145FA" w:rsidRPr="003A0D28">
          <w:rPr>
            <w:rStyle w:val="ad"/>
            <w:rFonts w:eastAsia="SimSun"/>
            <w:lang w:eastAsia="zh-CN"/>
          </w:rPr>
          <w:t>Европейское социальное обследование (ESS)</w:t>
        </w:r>
      </w:hyperlink>
      <w:r w:rsidR="002145FA" w:rsidRPr="00C951EC">
        <w:rPr>
          <w:color w:val="000000"/>
          <w:lang w:eastAsia="ru-RU"/>
        </w:rPr>
        <w:t>интегрировал</w:t>
      </w:r>
      <w:r w:rsidR="002145FA">
        <w:rPr>
          <w:color w:val="000000"/>
          <w:lang w:eastAsia="ru-RU"/>
        </w:rPr>
        <w:t>о</w:t>
      </w:r>
      <w:r w:rsidR="002145FA" w:rsidRPr="00C951EC">
        <w:rPr>
          <w:color w:val="000000"/>
          <w:lang w:eastAsia="ru-RU"/>
        </w:rPr>
        <w:t xml:space="preserve"> в свой основной модуль - основной набор ключевых вопросов, используемых для генерации временных рядов для от</w:t>
      </w:r>
      <w:r w:rsidR="002145FA">
        <w:rPr>
          <w:color w:val="000000"/>
          <w:lang w:eastAsia="ru-RU"/>
        </w:rPr>
        <w:t>слеживания тенденций во времени</w:t>
      </w:r>
      <w:r w:rsidR="002145FA">
        <w:rPr>
          <w:rStyle w:val="a6"/>
          <w:color w:val="000000"/>
          <w:lang w:eastAsia="ru-RU"/>
        </w:rPr>
        <w:footnoteReference w:id="11"/>
      </w:r>
      <w:r w:rsidR="002145FA" w:rsidRPr="00C951EC">
        <w:rPr>
          <w:color w:val="000000"/>
          <w:lang w:eastAsia="ru-RU"/>
        </w:rPr>
        <w:t> - два вопроса, выбранные для показателя 16.7.2 ЦУР с 2016 года. ESS проводился в 29 европейских странах</w:t>
      </w:r>
      <w:bookmarkStart w:id="6" w:name="_ftnref2"/>
      <w:bookmarkEnd w:id="6"/>
      <w:r w:rsidR="002145FA">
        <w:rPr>
          <w:rStyle w:val="a6"/>
          <w:color w:val="000000"/>
          <w:lang w:eastAsia="ru-RU"/>
        </w:rPr>
        <w:footnoteReference w:id="12"/>
      </w:r>
      <w:r w:rsidR="002145FA" w:rsidRPr="00C951EC">
        <w:rPr>
          <w:color w:val="000000"/>
          <w:lang w:eastAsia="ru-RU"/>
        </w:rPr>
        <w:t> в своем последнем 9 раунде в 2018 году. ESS проводится каждые два года, что идеально для отчетности по ЦУР.</w:t>
      </w:r>
    </w:p>
    <w:p w:rsidR="002145FA" w:rsidRPr="006339DA" w:rsidRDefault="002145FA" w:rsidP="002145FA">
      <w:pPr>
        <w:numPr>
          <w:ilvl w:val="0"/>
          <w:numId w:val="10"/>
        </w:numPr>
        <w:ind w:left="1286" w:firstLine="0"/>
        <w:rPr>
          <w:lang w:eastAsia="ru-RU"/>
        </w:rPr>
      </w:pPr>
      <w:r w:rsidRPr="00C951EC">
        <w:rPr>
          <w:color w:val="000000"/>
          <w:lang w:eastAsia="ru-RU"/>
        </w:rPr>
        <w:t>Обследование навыков взрослых ОЭСР   ( </w:t>
      </w:r>
      <w:hyperlink r:id="rId13" w:history="1">
        <w:r w:rsidRPr="006339DA">
          <w:rPr>
            <w:rStyle w:val="ad"/>
            <w:lang w:eastAsia="ru-RU"/>
          </w:rPr>
          <w:t>PIAAC</w:t>
        </w:r>
      </w:hyperlink>
      <w:r w:rsidRPr="006339DA">
        <w:rPr>
          <w:color w:val="954F72"/>
          <w:u w:val="single"/>
          <w:lang w:eastAsia="ru-RU"/>
        </w:rPr>
        <w:t> </w:t>
      </w:r>
      <w:r w:rsidRPr="00C951EC">
        <w:rPr>
          <w:color w:val="000000"/>
          <w:lang w:eastAsia="ru-RU"/>
        </w:rPr>
        <w:t>)   уже готовит данные по первому вопросу («иметь право голоса в том, что делает правительство») и обязуется согласовать формулировку этого конкретного вопроса с формулировкой, которая будет использоваться для представления отчетности по ЦУР 16.7.2. PIAAC проводился в 39 странах (включая государства-члены ОЭСР и «партнеров» ОЭСР в других регионах) в своем последнем раунде, который охватывает</w:t>
      </w:r>
      <w:r>
        <w:rPr>
          <w:color w:val="000000"/>
          <w:lang w:eastAsia="ru-RU"/>
        </w:rPr>
        <w:t xml:space="preserve"> три волны с 2008 по 2019 годы</w:t>
      </w:r>
      <w:r>
        <w:rPr>
          <w:rStyle w:val="a6"/>
          <w:color w:val="000000"/>
          <w:lang w:eastAsia="ru-RU"/>
        </w:rPr>
        <w:footnoteReference w:id="13"/>
      </w:r>
      <w:r>
        <w:rPr>
          <w:color w:val="000000"/>
          <w:lang w:eastAsia="ru-RU"/>
        </w:rPr>
        <w:t>.</w:t>
      </w:r>
      <w:r w:rsidRPr="00C951EC">
        <w:rPr>
          <w:color w:val="000000"/>
          <w:lang w:eastAsia="ru-RU"/>
        </w:rPr>
        <w:t>Однако PIAAC в любой отдельно взятой стране проводится только один раз каждые 10 лет (при этом в течение этого 10-</w:t>
      </w:r>
      <w:r w:rsidRPr="006339DA">
        <w:rPr>
          <w:lang w:eastAsia="ru-RU"/>
        </w:rPr>
        <w:t xml:space="preserve">летнего периода проводились три «волны» </w:t>
      </w:r>
      <w:r w:rsidRPr="006339DA">
        <w:rPr>
          <w:lang w:eastAsia="ru-RU"/>
        </w:rPr>
        <w:lastRenderedPageBreak/>
        <w:t>обследования PIAAC , каждое из которых охватывало различные подгруппы стран).</w:t>
      </w:r>
    </w:p>
    <w:p w:rsidR="002145FA" w:rsidRPr="006339DA" w:rsidRDefault="002145FA" w:rsidP="002145FA">
      <w:pPr>
        <w:numPr>
          <w:ilvl w:val="0"/>
          <w:numId w:val="10"/>
        </w:numPr>
        <w:ind w:left="1286" w:firstLine="0"/>
        <w:rPr>
          <w:lang w:eastAsia="ru-RU"/>
        </w:rPr>
      </w:pPr>
      <w:r w:rsidRPr="006339DA">
        <w:rPr>
          <w:lang w:eastAsia="ru-RU"/>
        </w:rPr>
        <w:t xml:space="preserve">Оба источника высоко ценятся ОЭСР и ЕС за их стандарты высокого качества, и оба источника уже используются ОЭСР в своей ведущей публикации «How’sLife? MeasuringWell-Being». </w:t>
      </w:r>
    </w:p>
    <w:p w:rsidR="002145FA" w:rsidRPr="00C951EC" w:rsidRDefault="002145FA" w:rsidP="002145FA">
      <w:pPr>
        <w:ind w:left="720"/>
        <w:rPr>
          <w:color w:val="000000"/>
        </w:rPr>
      </w:pPr>
    </w:p>
    <w:p w:rsidR="002145FA" w:rsidRPr="002145FA" w:rsidRDefault="002145FA" w:rsidP="0075371E">
      <w:pPr>
        <w:numPr>
          <w:ilvl w:val="0"/>
          <w:numId w:val="11"/>
        </w:numPr>
        <w:ind w:left="518" w:firstLine="0"/>
        <w:rPr>
          <w:color w:val="000000"/>
          <w:lang w:eastAsia="ru-RU"/>
        </w:rPr>
      </w:pPr>
      <w:r w:rsidRPr="00C951EC">
        <w:rPr>
          <w:color w:val="000000"/>
          <w:u w:val="single"/>
        </w:rPr>
        <w:t xml:space="preserve">В глобальном масштабе, </w:t>
      </w:r>
      <w:r w:rsidRPr="006339DA">
        <w:rPr>
          <w:color w:val="000000"/>
        </w:rPr>
        <w:t xml:space="preserve">Всемирный обзор ценностей </w:t>
      </w:r>
      <w:r>
        <w:rPr>
          <w:color w:val="000000"/>
        </w:rPr>
        <w:t>тестируется</w:t>
      </w:r>
      <w:r w:rsidRPr="006339DA">
        <w:rPr>
          <w:color w:val="000000"/>
        </w:rPr>
        <w:t xml:space="preserve"> в 2018-19 гг. </w:t>
      </w:r>
      <w:r>
        <w:rPr>
          <w:color w:val="000000"/>
          <w:lang w:eastAsia="ru-RU"/>
        </w:rPr>
        <w:t xml:space="preserve">и </w:t>
      </w:r>
      <w:r w:rsidRPr="00C951EC">
        <w:rPr>
          <w:color w:val="000000"/>
          <w:lang w:eastAsia="ru-RU"/>
        </w:rPr>
        <w:t>включает первый</w:t>
      </w:r>
      <w:r>
        <w:rPr>
          <w:color w:val="000000"/>
          <w:lang w:eastAsia="ru-RU"/>
        </w:rPr>
        <w:t xml:space="preserve"> вопрос </w:t>
      </w:r>
      <w:r w:rsidRPr="00C951EC">
        <w:rPr>
          <w:color w:val="000000"/>
          <w:lang w:eastAsia="ru-RU"/>
        </w:rPr>
        <w:t>(«иметь право голоса в том, что делает правительство») в свою стандартную анкету, и планирует также включить второй вопрос, начиная со следующего года.   </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2145FA" w:rsidRPr="00C951EC" w:rsidRDefault="002145FA" w:rsidP="002145FA">
      <w:pPr>
        <w:shd w:val="clear" w:color="auto" w:fill="FFFFFF"/>
        <w:rPr>
          <w:color w:val="000000"/>
          <w:lang w:eastAsia="en-GB"/>
        </w:rPr>
      </w:pPr>
      <w:r>
        <w:rPr>
          <w:color w:val="000000"/>
          <w:lang w:eastAsia="en-GB"/>
        </w:rPr>
        <w:t>Показатель</w:t>
      </w:r>
      <w:r w:rsidRPr="00C951EC">
        <w:rPr>
          <w:color w:val="000000"/>
          <w:lang w:eastAsia="en-GB"/>
        </w:rPr>
        <w:t xml:space="preserve"> 16.7.2 направлен на измерение того, насколько индивидуальные убеждения в инклюзивности и восприимчивости политической системы различаются между различными демографическими группами, в том числе по полу, возрасту, статусу инвалидности и национальным группам населения. Хотя эмпирический анализ подтвердил влияние этих демографических переменных на самооценочные уровни внешней эффективности, были выявлены другие влиятельные переменные, в том числе уровень дохода и уровень образования. Более того, поскольку цель 16.7 сфокусирована на «принятии решений </w:t>
      </w:r>
      <w:r w:rsidRPr="00C951EC">
        <w:rPr>
          <w:i/>
          <w:iCs/>
          <w:color w:val="000000"/>
          <w:lang w:eastAsia="en-GB"/>
        </w:rPr>
        <w:t>на всех уровнях</w:t>
      </w:r>
      <w:r w:rsidRPr="00C951EC">
        <w:rPr>
          <w:color w:val="000000"/>
          <w:lang w:eastAsia="en-GB"/>
        </w:rPr>
        <w:t> », дезагрегирование по месту жительства (по административным районам,например, по провинциям, штатам , районам ; городским/сельским районам ) также важно для определения областей в данной стране, где люди чувствуют себя наиболее исключенным из процесса принятия решений .</w:t>
      </w:r>
    </w:p>
    <w:p w:rsidR="002145FA" w:rsidRPr="00C951EC" w:rsidRDefault="002145FA" w:rsidP="002145FA">
      <w:pPr>
        <w:shd w:val="clear" w:color="auto" w:fill="FFFFFF"/>
        <w:ind w:left="360" w:hanging="360"/>
        <w:rPr>
          <w:color w:val="000000"/>
          <w:lang w:eastAsia="ru-RU"/>
        </w:rPr>
      </w:pPr>
      <w:r w:rsidRPr="00C951EC">
        <w:rPr>
          <w:color w:val="000000"/>
          <w:lang w:eastAsia="ru-RU"/>
        </w:rPr>
        <w:t>●        </w:t>
      </w:r>
      <w:r w:rsidRPr="00C951EC">
        <w:rPr>
          <w:b/>
          <w:bCs/>
          <w:color w:val="000000"/>
          <w:lang w:eastAsia="ru-RU"/>
        </w:rPr>
        <w:t>Пол:</w:t>
      </w:r>
      <w:r w:rsidRPr="00C951EC">
        <w:rPr>
          <w:color w:val="000000"/>
          <w:lang w:eastAsia="ru-RU"/>
        </w:rPr>
        <w:t> мужской / женский</w:t>
      </w:r>
    </w:p>
    <w:p w:rsidR="002145FA" w:rsidRPr="00C951EC" w:rsidRDefault="002145FA" w:rsidP="002145FA">
      <w:pPr>
        <w:shd w:val="clear" w:color="auto" w:fill="FFFFFF"/>
        <w:ind w:left="360" w:hanging="360"/>
        <w:rPr>
          <w:color w:val="000000"/>
          <w:lang w:eastAsia="ru-RU"/>
        </w:rPr>
      </w:pPr>
      <w:r w:rsidRPr="00C951EC">
        <w:rPr>
          <w:color w:val="000000"/>
          <w:lang w:eastAsia="ru-RU"/>
        </w:rPr>
        <w:t>●        </w:t>
      </w:r>
      <w:r w:rsidRPr="00C951EC">
        <w:rPr>
          <w:b/>
          <w:bCs/>
          <w:color w:val="000000"/>
          <w:lang w:eastAsia="ru-RU"/>
        </w:rPr>
        <w:t>Возрастные группы.</w:t>
      </w:r>
      <w:r w:rsidRPr="00C951EC">
        <w:rPr>
          <w:color w:val="000000"/>
          <w:lang w:eastAsia="ru-RU"/>
        </w:rPr>
        <w:t> Рекомендуется следовать стандартам ООН для составления национальной демографической статистики с разбивкой по возрасту, используя следующие возрастные группы: (1) младше 25 лет, (2) 25-34, (3) 35-44, (4) 45-54, (5) 55-64 и (6) 65 лет и старше. Поскольку возраст демонстрирует отрицательную связь с внешней эффективностью (свидетельства показывают, что пожилые респонденты сообщают о более низких уровнях политической эффективности, чем более молодые респонденты), особое внимание следует уделить возрастным группам.</w:t>
      </w:r>
    </w:p>
    <w:p w:rsidR="002145FA" w:rsidRPr="00C951EC" w:rsidRDefault="002145FA" w:rsidP="002145FA">
      <w:pPr>
        <w:shd w:val="clear" w:color="auto" w:fill="FFFFFF"/>
        <w:ind w:left="360" w:hanging="360"/>
        <w:rPr>
          <w:color w:val="000000"/>
          <w:lang w:eastAsia="ru-RU"/>
        </w:rPr>
      </w:pPr>
      <w:r w:rsidRPr="00C951EC">
        <w:rPr>
          <w:color w:val="000000"/>
          <w:lang w:eastAsia="ru-RU"/>
        </w:rPr>
        <w:t>●        </w:t>
      </w:r>
      <w:r w:rsidRPr="00C951EC">
        <w:rPr>
          <w:b/>
          <w:bCs/>
          <w:color w:val="000000"/>
          <w:lang w:eastAsia="ru-RU"/>
        </w:rPr>
        <w:t>Статус инвалидности:</w:t>
      </w:r>
      <w:r w:rsidRPr="00C951EC">
        <w:rPr>
          <w:color w:val="000000"/>
          <w:lang w:eastAsia="ru-RU"/>
        </w:rPr>
        <w:t> «Инвалидность» - это общий термин, охватывающий долгосрочные физические, умственные, интеллектуальные или сенсорные нарушения, которые при взаимодействии с различными барьерами могут препятствовать полному и эффективному участию инвалидов в обществе наравне с другими</w:t>
      </w:r>
      <w:r>
        <w:rPr>
          <w:rStyle w:val="a6"/>
          <w:color w:val="000000"/>
          <w:lang w:eastAsia="ru-RU"/>
        </w:rPr>
        <w:footnoteReference w:id="14"/>
      </w:r>
      <w:r w:rsidRPr="00C951EC">
        <w:rPr>
          <w:color w:val="000000"/>
          <w:lang w:eastAsia="ru-RU"/>
        </w:rPr>
        <w:t>.</w:t>
      </w:r>
      <w:bookmarkStart w:id="7" w:name="_ftnref3"/>
      <w:bookmarkEnd w:id="7"/>
      <w:r w:rsidRPr="00C951EC">
        <w:rPr>
          <w:color w:val="000000"/>
          <w:lang w:eastAsia="ru-RU"/>
        </w:rPr>
        <w:t> Если возможно, НСО рекомендуется добавить </w:t>
      </w:r>
      <w:hyperlink r:id="rId14" w:history="1">
        <w:r w:rsidRPr="00C951EC">
          <w:rPr>
            <w:color w:val="0000FF"/>
            <w:u w:val="single"/>
            <w:lang w:eastAsia="ru-RU"/>
          </w:rPr>
          <w:t>Краткий набор вопросов по инвалидности, разработанный Вашингтонской группой,</w:t>
        </w:r>
      </w:hyperlink>
      <w:r w:rsidRPr="00C951EC">
        <w:rPr>
          <w:color w:val="000000"/>
          <w:lang w:eastAsia="ru-RU"/>
        </w:rPr>
        <w:t xml:space="preserve"> в метод обследования, используемое для </w:t>
      </w:r>
      <w:r w:rsidRPr="00C951EC">
        <w:rPr>
          <w:color w:val="000000"/>
          <w:lang w:eastAsia="ru-RU"/>
        </w:rPr>
        <w:lastRenderedPageBreak/>
        <w:t>управления двумя вопросами, выбранными для 16.7.2, для дезагрегации результатов по статусу инвалидности.</w:t>
      </w:r>
    </w:p>
    <w:p w:rsidR="002145FA" w:rsidRPr="00C951EC" w:rsidRDefault="002145FA" w:rsidP="002145FA">
      <w:pPr>
        <w:shd w:val="clear" w:color="auto" w:fill="FFFFFF"/>
        <w:rPr>
          <w:i/>
          <w:iCs/>
          <w:color w:val="000000"/>
          <w:lang w:eastAsia="en-GB"/>
        </w:rPr>
      </w:pPr>
      <w:r w:rsidRPr="00C951EC">
        <w:rPr>
          <w:color w:val="000000"/>
          <w:lang w:eastAsia="ru-RU"/>
        </w:rPr>
        <w:t>●        </w:t>
      </w:r>
      <w:r w:rsidRPr="00C951EC">
        <w:rPr>
          <w:b/>
          <w:i/>
          <w:iCs/>
          <w:color w:val="000000"/>
          <w:lang w:eastAsia="en-GB"/>
        </w:rPr>
        <w:t>Статус «группа населения»</w:t>
      </w:r>
      <w:r w:rsidRPr="00C951EC">
        <w:rPr>
          <w:color w:val="000000"/>
          <w:lang w:eastAsia="ru-RU"/>
        </w:rPr>
        <w:t>( группы с определенной этнической принадлежностью, языком, религией, статусом коренного населения, национальностью или другими характеристиками ). Население страны представляет собой различные группы населения, которые можно идентифицировать по расов</w:t>
      </w:r>
      <w:r>
        <w:rPr>
          <w:color w:val="000000"/>
          <w:lang w:eastAsia="ru-RU"/>
        </w:rPr>
        <w:t>ому происхождению</w:t>
      </w:r>
      <w:r w:rsidRPr="00C951EC">
        <w:rPr>
          <w:color w:val="000000"/>
          <w:lang w:eastAsia="ru-RU"/>
        </w:rPr>
        <w:t>, этническим</w:t>
      </w:r>
      <w:r>
        <w:rPr>
          <w:color w:val="000000"/>
          <w:lang w:eastAsia="ru-RU"/>
        </w:rPr>
        <w:t xml:space="preserve"> или</w:t>
      </w:r>
      <w:r w:rsidRPr="00C951EC">
        <w:rPr>
          <w:color w:val="000000"/>
          <w:lang w:eastAsia="ru-RU"/>
        </w:rPr>
        <w:t xml:space="preserve"> языковым</w:t>
      </w:r>
      <w:r>
        <w:rPr>
          <w:color w:val="000000"/>
          <w:lang w:eastAsia="ru-RU"/>
        </w:rPr>
        <w:t xml:space="preserve"> особенностям</w:t>
      </w:r>
      <w:r w:rsidRPr="00C951EC">
        <w:rPr>
          <w:color w:val="000000"/>
          <w:lang w:eastAsia="ru-RU"/>
        </w:rPr>
        <w:t xml:space="preserve">, </w:t>
      </w:r>
      <w:r>
        <w:rPr>
          <w:color w:val="000000"/>
          <w:lang w:eastAsia="ru-RU"/>
        </w:rPr>
        <w:t xml:space="preserve">отношению к </w:t>
      </w:r>
      <w:r w:rsidRPr="00C951EC">
        <w:rPr>
          <w:color w:val="000000"/>
          <w:lang w:eastAsia="ru-RU"/>
        </w:rPr>
        <w:t>коренным</w:t>
      </w:r>
      <w:r>
        <w:rPr>
          <w:color w:val="000000"/>
          <w:lang w:eastAsia="ru-RU"/>
        </w:rPr>
        <w:t xml:space="preserve"> народам</w:t>
      </w:r>
      <w:r w:rsidRPr="00C951EC">
        <w:rPr>
          <w:color w:val="000000"/>
          <w:lang w:eastAsia="ru-RU"/>
        </w:rPr>
        <w:t xml:space="preserve"> или миграционн</w:t>
      </w:r>
      <w:r>
        <w:rPr>
          <w:color w:val="000000"/>
          <w:lang w:eastAsia="ru-RU"/>
        </w:rPr>
        <w:t>ому</w:t>
      </w:r>
      <w:r w:rsidRPr="00C951EC">
        <w:rPr>
          <w:color w:val="000000"/>
          <w:lang w:eastAsia="ru-RU"/>
        </w:rPr>
        <w:t xml:space="preserve"> статус</w:t>
      </w:r>
      <w:r>
        <w:rPr>
          <w:color w:val="000000"/>
          <w:lang w:eastAsia="ru-RU"/>
        </w:rPr>
        <w:t>у</w:t>
      </w:r>
      <w:r w:rsidRPr="00C951EC">
        <w:rPr>
          <w:color w:val="000000"/>
          <w:lang w:eastAsia="ru-RU"/>
        </w:rPr>
        <w:t>, религиозн</w:t>
      </w:r>
      <w:r>
        <w:rPr>
          <w:color w:val="000000"/>
          <w:lang w:eastAsia="ru-RU"/>
        </w:rPr>
        <w:t>ой</w:t>
      </w:r>
      <w:r w:rsidRPr="00C951EC">
        <w:rPr>
          <w:color w:val="000000"/>
          <w:lang w:eastAsia="ru-RU"/>
        </w:rPr>
        <w:t xml:space="preserve"> принадлежност</w:t>
      </w:r>
      <w:r>
        <w:rPr>
          <w:color w:val="000000"/>
          <w:lang w:eastAsia="ru-RU"/>
        </w:rPr>
        <w:t>и</w:t>
      </w:r>
      <w:r w:rsidRPr="00C951EC">
        <w:rPr>
          <w:color w:val="000000"/>
          <w:lang w:eastAsia="ru-RU"/>
        </w:rPr>
        <w:t xml:space="preserve"> или сексуальн</w:t>
      </w:r>
      <w:r>
        <w:rPr>
          <w:color w:val="000000"/>
          <w:lang w:eastAsia="ru-RU"/>
        </w:rPr>
        <w:t>ой</w:t>
      </w:r>
      <w:r w:rsidRPr="00C951EC">
        <w:rPr>
          <w:color w:val="000000"/>
          <w:lang w:eastAsia="ru-RU"/>
        </w:rPr>
        <w:t xml:space="preserve"> ориентаци</w:t>
      </w:r>
      <w:r>
        <w:rPr>
          <w:color w:val="000000"/>
          <w:lang w:eastAsia="ru-RU"/>
        </w:rPr>
        <w:t>и</w:t>
      </w:r>
      <w:r w:rsidRPr="00C951EC">
        <w:rPr>
          <w:color w:val="000000"/>
          <w:lang w:eastAsia="ru-RU"/>
        </w:rPr>
        <w:t>. Для целей этого показателя особое внимание уделяется меньшинствам. </w:t>
      </w:r>
      <w:r w:rsidRPr="00C951EC">
        <w:rPr>
          <w:i/>
          <w:iCs/>
          <w:color w:val="000000"/>
          <w:lang w:eastAsia="ru-RU"/>
        </w:rPr>
        <w:t>Группы меньшинств - это</w:t>
      </w:r>
      <w:r w:rsidRPr="00C951EC">
        <w:rPr>
          <w:color w:val="000000"/>
          <w:lang w:eastAsia="ru-RU"/>
        </w:rPr>
        <w:t> группы, которые в численном отношении уступают остальной части населения государства и не занимают доминирующее положение, и их члены, являющиеся гражданами государства, обладают этническими, религиозными или языковыми характеристиками, отличающимися от характеристик остальной части населения, и показывают, хотя бы неявно, чувство солидарности, направленное на сохранение своей культуры, традиций, религии или языка</w:t>
      </w:r>
      <w:r>
        <w:rPr>
          <w:rStyle w:val="a6"/>
          <w:color w:val="000000"/>
          <w:lang w:eastAsia="ru-RU"/>
        </w:rPr>
        <w:footnoteReference w:id="15"/>
      </w:r>
      <w:r w:rsidRPr="00C951EC">
        <w:rPr>
          <w:color w:val="000000"/>
          <w:lang w:eastAsia="ru-RU"/>
        </w:rPr>
        <w:t>.</w:t>
      </w:r>
      <w:bookmarkStart w:id="8" w:name="_ftnref4"/>
      <w:bookmarkEnd w:id="8"/>
      <w:r w:rsidRPr="00782220">
        <w:rPr>
          <w:color w:val="000000"/>
          <w:lang w:eastAsia="ru-RU"/>
        </w:rPr>
        <w:t> Хотя критерий гражданства, включенный в приведенное выше определение, часто оспаривается, требование оставаться в не доминирующей позиции остается важным (UnitedNations, 2010)</w:t>
      </w:r>
      <w:r>
        <w:rPr>
          <w:rStyle w:val="a6"/>
          <w:color w:val="000000"/>
          <w:lang w:eastAsia="ru-RU"/>
        </w:rPr>
        <w:footnoteReference w:id="16"/>
      </w:r>
      <w:r w:rsidRPr="00782220">
        <w:rPr>
          <w:color w:val="000000"/>
          <w:lang w:eastAsia="ru-RU"/>
        </w:rPr>
        <w:t>.</w:t>
      </w:r>
      <w:bookmarkStart w:id="9" w:name="_ftnref5"/>
      <w:bookmarkEnd w:id="9"/>
      <w:r w:rsidRPr="00C951EC">
        <w:rPr>
          <w:color w:val="000000"/>
          <w:lang w:eastAsia="ru-RU"/>
        </w:rPr>
        <w:t> Сбор данных обследования с разбивкой по группам населения должен осуществляться с учетом законности составления таких данных в конкретном национальном контексте и тщательной оценки потенциальных рисков сбора таких данных для безопасности респондентов.</w:t>
      </w:r>
    </w:p>
    <w:p w:rsidR="002145FA" w:rsidRPr="00C951EC" w:rsidRDefault="002145FA" w:rsidP="002145FA">
      <w:pPr>
        <w:shd w:val="clear" w:color="auto" w:fill="FFFFFF"/>
        <w:ind w:left="360" w:hanging="360"/>
        <w:rPr>
          <w:color w:val="000000"/>
          <w:lang w:eastAsia="ru-RU"/>
        </w:rPr>
      </w:pPr>
      <w:r w:rsidRPr="00C951EC">
        <w:rPr>
          <w:color w:val="000000"/>
          <w:lang w:eastAsia="ru-RU"/>
        </w:rPr>
        <w:t>●        </w:t>
      </w:r>
      <w:r w:rsidRPr="00C951EC">
        <w:rPr>
          <w:b/>
          <w:bCs/>
          <w:color w:val="000000"/>
          <w:lang w:eastAsia="ru-RU"/>
        </w:rPr>
        <w:t>Уровень дохода:</w:t>
      </w:r>
      <w:r w:rsidRPr="00C951EC">
        <w:rPr>
          <w:color w:val="000000"/>
          <w:lang w:eastAsia="ru-RU"/>
        </w:rPr>
        <w:t> по квинтилю дохода</w:t>
      </w:r>
    </w:p>
    <w:p w:rsidR="002145FA" w:rsidRPr="00C951EC" w:rsidRDefault="002145FA" w:rsidP="002145FA">
      <w:pPr>
        <w:shd w:val="clear" w:color="auto" w:fill="FFFFFF"/>
        <w:ind w:left="360" w:hanging="360"/>
        <w:rPr>
          <w:color w:val="000000"/>
          <w:lang w:eastAsia="ru-RU"/>
        </w:rPr>
      </w:pPr>
      <w:r w:rsidRPr="00C951EC">
        <w:rPr>
          <w:color w:val="000000"/>
          <w:lang w:eastAsia="ru-RU"/>
        </w:rPr>
        <w:t>●        </w:t>
      </w:r>
      <w:r w:rsidRPr="00C951EC">
        <w:rPr>
          <w:b/>
          <w:bCs/>
          <w:color w:val="000000"/>
          <w:lang w:eastAsia="ru-RU"/>
        </w:rPr>
        <w:t>Уровень образования:</w:t>
      </w:r>
      <w:r w:rsidRPr="00C951EC">
        <w:rPr>
          <w:color w:val="000000"/>
          <w:lang w:eastAsia="ru-RU"/>
        </w:rPr>
        <w:t> начальное образование, среднее образование, высшее образование</w:t>
      </w:r>
    </w:p>
    <w:p w:rsidR="002145FA" w:rsidRPr="002145FA" w:rsidRDefault="002145FA" w:rsidP="002145FA">
      <w:pPr>
        <w:shd w:val="clear" w:color="auto" w:fill="FFFFFF"/>
        <w:ind w:left="360" w:hanging="360"/>
        <w:rPr>
          <w:color w:val="000000"/>
          <w:lang w:eastAsia="ru-RU"/>
        </w:rPr>
      </w:pPr>
      <w:r w:rsidRPr="00C951EC">
        <w:rPr>
          <w:color w:val="000000"/>
          <w:lang w:eastAsia="ru-RU"/>
        </w:rPr>
        <w:t>●        </w:t>
      </w:r>
      <w:r w:rsidRPr="00C951EC">
        <w:rPr>
          <w:b/>
          <w:bCs/>
          <w:color w:val="000000"/>
          <w:lang w:eastAsia="ru-RU"/>
        </w:rPr>
        <w:t>Место жительства:</w:t>
      </w:r>
      <w:r w:rsidRPr="00C951EC">
        <w:rPr>
          <w:color w:val="000000"/>
          <w:lang w:eastAsia="ru-RU"/>
        </w:rPr>
        <w:t> по административным районам, например, по прови</w:t>
      </w:r>
      <w:r>
        <w:rPr>
          <w:color w:val="000000"/>
          <w:lang w:eastAsia="ru-RU"/>
        </w:rPr>
        <w:t>нции, штату, району; городской/</w:t>
      </w:r>
      <w:r w:rsidRPr="00C951EC">
        <w:rPr>
          <w:color w:val="000000"/>
          <w:lang w:eastAsia="ru-RU"/>
        </w:rPr>
        <w:t>сельской местности</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2145FA" w:rsidRPr="002145FA" w:rsidRDefault="002145FA" w:rsidP="002145FA">
      <w:pPr>
        <w:rPr>
          <w:lang w:eastAsia="en-GB"/>
        </w:rPr>
      </w:pPr>
      <w:r w:rsidRPr="002145FA">
        <w:rPr>
          <w:lang w:eastAsia="en-GB"/>
        </w:rPr>
        <w:t>Источники расхождений:</w:t>
      </w:r>
    </w:p>
    <w:p w:rsidR="002145FA" w:rsidRDefault="002145FA" w:rsidP="002145FA">
      <w:pPr>
        <w:rPr>
          <w:lang w:eastAsia="en-GB"/>
        </w:rPr>
      </w:pPr>
      <w:r w:rsidRPr="002145FA">
        <w:rPr>
          <w:lang w:eastAsia="en-GB"/>
        </w:rPr>
        <w:t>Для этого показателя отсутствуют международные оценочные данные.</w:t>
      </w:r>
    </w:p>
    <w:p w:rsidR="00040034" w:rsidRDefault="00040034" w:rsidP="002145FA">
      <w:pPr>
        <w:pBdr>
          <w:bottom w:val="single" w:sz="12" w:space="4" w:color="DDDDDD"/>
        </w:pBdr>
        <w:shd w:val="clear" w:color="auto" w:fill="FFFFFF"/>
        <w:spacing w:after="100"/>
        <w:outlineLvl w:val="2"/>
        <w:rPr>
          <w:rFonts w:eastAsia="Times New Roman"/>
          <w:b/>
          <w:szCs w:val="24"/>
          <w:lang w:eastAsia="en-GB"/>
        </w:rPr>
      </w:pPr>
      <w:r w:rsidRPr="002145FA">
        <w:rPr>
          <w:rFonts w:eastAsia="Times New Roman"/>
          <w:b/>
          <w:szCs w:val="24"/>
          <w:lang w:eastAsia="en-GB"/>
        </w:rPr>
        <w:t xml:space="preserve">7. </w:t>
      </w:r>
      <w:r>
        <w:rPr>
          <w:rFonts w:eastAsia="Times New Roman"/>
          <w:b/>
          <w:szCs w:val="24"/>
          <w:lang w:eastAsia="en-GB"/>
        </w:rPr>
        <w:t>Ссылкиидокументы</w:t>
      </w:r>
    </w:p>
    <w:p w:rsidR="003D4E7D" w:rsidRPr="00F87F23" w:rsidRDefault="003D4E7D" w:rsidP="003D4E7D">
      <w:r w:rsidRPr="003D4E7D">
        <w:rPr>
          <w:lang w:val="en-US"/>
        </w:rPr>
        <w:t xml:space="preserve">Abramson, P. R., &amp; Aldrich, J. H. (1982). The decline of electoral participation in America. </w:t>
      </w:r>
      <w:r w:rsidRPr="00F87F23">
        <w:rPr>
          <w:i/>
          <w:iCs/>
        </w:rPr>
        <w:t>AmericanPoliticalScienceReview</w:t>
      </w:r>
      <w:r w:rsidRPr="00F87F23">
        <w:t xml:space="preserve">, 76, (3), 502-521 </w:t>
      </w:r>
    </w:p>
    <w:p w:rsidR="003D4E7D" w:rsidRPr="00F87F23" w:rsidRDefault="003D4E7D" w:rsidP="003D4E7D">
      <w:r w:rsidRPr="003D4E7D">
        <w:rPr>
          <w:lang w:val="en-US"/>
        </w:rPr>
        <w:t xml:space="preserve">Abramson, P. R., &amp;Finifter, A. W. (1981). On the Meaning of Political Trust: New Evidence from Items Introduced in 1978. </w:t>
      </w:r>
      <w:r w:rsidRPr="00F87F23">
        <w:rPr>
          <w:i/>
          <w:iCs/>
        </w:rPr>
        <w:t>AmericanJournalofPoliticalScience</w:t>
      </w:r>
      <w:r w:rsidRPr="00F87F23">
        <w:t xml:space="preserve">. 25, (2), 297-307. </w:t>
      </w:r>
    </w:p>
    <w:p w:rsidR="003D4E7D" w:rsidRPr="00F87F23" w:rsidRDefault="003D4E7D" w:rsidP="003D4E7D">
      <w:r w:rsidRPr="003D4E7D">
        <w:rPr>
          <w:lang w:val="en-US"/>
        </w:rPr>
        <w:lastRenderedPageBreak/>
        <w:t xml:space="preserve">Balch, G. I. (1974). Multiple Indicators in Survey Research: The Concept of “Sense of Political Efficacy”. </w:t>
      </w:r>
      <w:r w:rsidRPr="00F87F23">
        <w:rPr>
          <w:i/>
          <w:iCs/>
        </w:rPr>
        <w:t>PoliticalMethodology</w:t>
      </w:r>
      <w:r w:rsidRPr="00F87F23">
        <w:t xml:space="preserve">, 1, (2), 1-43 </w:t>
      </w:r>
    </w:p>
    <w:p w:rsidR="003D4E7D" w:rsidRPr="003D4E7D" w:rsidRDefault="003D4E7D" w:rsidP="003D4E7D">
      <w:pPr>
        <w:rPr>
          <w:lang w:val="en-US"/>
        </w:rPr>
      </w:pPr>
      <w:r w:rsidRPr="003D4E7D">
        <w:rPr>
          <w:lang w:val="en-US"/>
        </w:rPr>
        <w:t>Campbell, A., Gurin, G., &amp; Miller, W. E. (1954). The Voter Decides. Evanston, IL, Row, Peterson.</w:t>
      </w:r>
    </w:p>
    <w:p w:rsidR="003D4E7D" w:rsidRPr="00F87F23" w:rsidRDefault="003D4E7D" w:rsidP="003D4E7D">
      <w:r w:rsidRPr="003D4E7D">
        <w:rPr>
          <w:lang w:val="en-US"/>
        </w:rPr>
        <w:t>Campbell, A., Converse, P. E., Miller, W. E., &amp; Stokes, D. E. (1960).</w:t>
      </w:r>
      <w:r w:rsidRPr="00F87F23">
        <w:t xml:space="preserve">TheAmericanVoter. NewYork: JohnWiley&amp;Sons. </w:t>
      </w:r>
    </w:p>
    <w:p w:rsidR="003D4E7D" w:rsidRPr="00F87F23" w:rsidRDefault="003D4E7D" w:rsidP="003D4E7D">
      <w:r w:rsidRPr="003D4E7D">
        <w:rPr>
          <w:lang w:val="en-US"/>
        </w:rPr>
        <w:t xml:space="preserve">Condon, M. and Holleque, M. (2013), Entering Politics: General Self-Efficacy and Voting Behavior Among Young People. </w:t>
      </w:r>
      <w:r w:rsidRPr="00F87F23">
        <w:rPr>
          <w:i/>
          <w:iCs/>
        </w:rPr>
        <w:t>PoliticalPsychology</w:t>
      </w:r>
      <w:r w:rsidRPr="00F87F23">
        <w:t xml:space="preserve">, 34: 167–181. doi:10.1111/pops.12019 </w:t>
      </w:r>
    </w:p>
    <w:p w:rsidR="003D4E7D" w:rsidRPr="00F87F23" w:rsidRDefault="003D4E7D" w:rsidP="003D4E7D">
      <w:r w:rsidRPr="003D4E7D">
        <w:rPr>
          <w:lang w:val="en-US"/>
        </w:rPr>
        <w:t xml:space="preserve">Converse, P. E. (1972). Change in the American Electorate. In: A. Campbell &amp; P. E. Converse (Eds.), The Human Meaning of Social Change. </w:t>
      </w:r>
      <w:r w:rsidRPr="00F87F23">
        <w:t xml:space="preserve">NewYork: RussellSage. </w:t>
      </w:r>
    </w:p>
    <w:p w:rsidR="003D4E7D" w:rsidRPr="00F87F23" w:rsidRDefault="003D4E7D" w:rsidP="003D4E7D">
      <w:r w:rsidRPr="003D4E7D">
        <w:rPr>
          <w:lang w:val="en-US"/>
        </w:rPr>
        <w:t>Easton, D. (1965). A Systems Analysis of Political Life.</w:t>
      </w:r>
      <w:r w:rsidRPr="00F87F23">
        <w:t xml:space="preserve">NewYork: JohnWiley. </w:t>
      </w:r>
    </w:p>
    <w:p w:rsidR="003D4E7D" w:rsidRPr="00F87F23" w:rsidRDefault="003D4E7D" w:rsidP="003D4E7D">
      <w:r w:rsidRPr="003D4E7D">
        <w:rPr>
          <w:lang w:val="en-US"/>
        </w:rPr>
        <w:t xml:space="preserve">Finkel, Steven E. 1985. “Reciprocal Effects of Participation and Political Efficacy: A Panel Analysis.” </w:t>
      </w:r>
      <w:r w:rsidRPr="00F87F23">
        <w:rPr>
          <w:i/>
          <w:iCs/>
        </w:rPr>
        <w:t>AmericanJournalofPoliticalScience</w:t>
      </w:r>
      <w:r w:rsidRPr="00F87F23">
        <w:t xml:space="preserve">29(4): 891-913. </w:t>
      </w:r>
    </w:p>
    <w:p w:rsidR="003D4E7D" w:rsidRPr="00F87F23" w:rsidRDefault="003D4E7D" w:rsidP="003D4E7D">
      <w:r w:rsidRPr="003D4E7D">
        <w:rPr>
          <w:lang w:val="en-US"/>
        </w:rPr>
        <w:t xml:space="preserve">Lane, R. E. (1959). Political life: why and how people get involved in politics. </w:t>
      </w:r>
      <w:r w:rsidRPr="00F87F23">
        <w:t xml:space="preserve">Chicago, Markham. </w:t>
      </w:r>
    </w:p>
    <w:p w:rsidR="003D4E7D" w:rsidRPr="00F87F23" w:rsidRDefault="003D4E7D" w:rsidP="003D4E7D">
      <w:r w:rsidRPr="00DC2A6E">
        <w:rPr>
          <w:lang w:val="fr-FR"/>
        </w:rPr>
        <w:t xml:space="preserve">Niemi, R. G., Craig, S. C., &amp; Mattei, F. (1991). </w:t>
      </w:r>
      <w:r w:rsidRPr="003D4E7D">
        <w:rPr>
          <w:lang w:val="en-US"/>
        </w:rPr>
        <w:t>Measuring Internal Political Efficacy in the 1988 National Election Study.</w:t>
      </w:r>
      <w:r w:rsidRPr="00F87F23">
        <w:rPr>
          <w:i/>
          <w:iCs/>
        </w:rPr>
        <w:t>TheAmericanPoliticalScienceReview</w:t>
      </w:r>
      <w:r w:rsidRPr="00F87F23">
        <w:t xml:space="preserve">, 85,(4), 1407-1413. </w:t>
      </w:r>
    </w:p>
    <w:p w:rsidR="003D4E7D" w:rsidRPr="00F87F23" w:rsidRDefault="003D4E7D" w:rsidP="003D4E7D">
      <w:r w:rsidRPr="003D4E7D">
        <w:rPr>
          <w:lang w:val="en-US"/>
        </w:rPr>
        <w:t xml:space="preserve">Quintelier, E.And Hooghe, M. (2012). Political attitudes and political participation: A panel study on socialization and self-selection effects among late adolescents. </w:t>
      </w:r>
      <w:r w:rsidRPr="00F87F23">
        <w:t xml:space="preserve">InternationalPoliticalScienceReview, 33 (1), 63-81. DOI: 10.1177/0192512111412632 </w:t>
      </w:r>
    </w:p>
    <w:p w:rsidR="003D4E7D" w:rsidRPr="003D4E7D" w:rsidRDefault="003D4E7D" w:rsidP="003D4E7D">
      <w:pPr>
        <w:rPr>
          <w:lang w:val="en-US"/>
        </w:rPr>
      </w:pPr>
      <w:r w:rsidRPr="003D4E7D">
        <w:rPr>
          <w:lang w:val="en-US"/>
        </w:rPr>
        <w:t xml:space="preserve">Saris, W.E. and Revilla, M. (2012). ESS-DACE Deliverable 4.6: Evaluation of the experiments in the supplementary questionnaire of Round 5 of the ESS </w:t>
      </w:r>
    </w:p>
    <w:p w:rsidR="003D4E7D" w:rsidRPr="003D4E7D" w:rsidRDefault="003D4E7D" w:rsidP="003D4E7D">
      <w:pPr>
        <w:rPr>
          <w:color w:val="0000FF"/>
          <w:lang w:val="en-US"/>
        </w:rPr>
      </w:pPr>
      <w:r w:rsidRPr="003D4E7D">
        <w:rPr>
          <w:lang w:val="en-US"/>
        </w:rPr>
        <w:t>Saris, W. E. and Torcal, M (2009).Alternative measurement procedures and models for Political Efficacy.</w:t>
      </w:r>
      <w:r w:rsidRPr="003D4E7D">
        <w:rPr>
          <w:color w:val="0000FF"/>
          <w:lang w:val="en-US"/>
        </w:rPr>
        <w:t xml:space="preserve">http://hdl.handle.net/10230/28300 </w:t>
      </w:r>
    </w:p>
    <w:p w:rsidR="003D4E7D" w:rsidRDefault="003D4E7D" w:rsidP="003D4E7D">
      <w:r w:rsidRPr="00DC2A6E">
        <w:rPr>
          <w:lang w:val="pt-PT"/>
        </w:rPr>
        <w:t xml:space="preserve">Vecchione, M., &amp; Caprara, G. V. (2009). </w:t>
      </w:r>
      <w:r w:rsidRPr="003D4E7D">
        <w:rPr>
          <w:lang w:val="en-US"/>
        </w:rPr>
        <w:t xml:space="preserve">Personality determinants of political participation: The contribution of traits and self-efficacy beliefs. </w:t>
      </w:r>
      <w:r w:rsidRPr="00F87F23">
        <w:rPr>
          <w:i/>
          <w:iCs/>
        </w:rPr>
        <w:t>PersonalityandIndividualDifferences</w:t>
      </w:r>
      <w:r w:rsidRPr="00F87F23">
        <w:t xml:space="preserve">, </w:t>
      </w:r>
      <w:r w:rsidRPr="00F87F23">
        <w:rPr>
          <w:i/>
          <w:iCs/>
        </w:rPr>
        <w:t>46</w:t>
      </w:r>
      <w:r w:rsidRPr="00F87F23">
        <w:t>(4), 487-492. DOI: 10.1016/j.paid.2008.11.021</w:t>
      </w:r>
    </w:p>
    <w:p w:rsidR="003D4E7D" w:rsidRDefault="003D4E7D" w:rsidP="003D4E7D">
      <w:pPr>
        <w:sectPr w:rsidR="003D4E7D">
          <w:headerReference w:type="default" r:id="rId15"/>
          <w:pgSz w:w="11906" w:h="16838"/>
          <w:pgMar w:top="1134" w:right="850" w:bottom="1134" w:left="1701" w:header="708" w:footer="708" w:gutter="0"/>
          <w:cols w:space="708"/>
          <w:docGrid w:linePitch="360"/>
        </w:sectPr>
      </w:pPr>
    </w:p>
    <w:p w:rsidR="003D4E7D" w:rsidRPr="00C951EC" w:rsidRDefault="003D4E7D" w:rsidP="003D4E7D">
      <w:pPr>
        <w:shd w:val="clear" w:color="auto" w:fill="FFFFFF"/>
        <w:rPr>
          <w:color w:val="000000"/>
          <w:lang w:eastAsia="ru-RU"/>
        </w:rPr>
      </w:pPr>
      <w:r w:rsidRPr="00C951EC">
        <w:rPr>
          <w:b/>
          <w:bCs/>
          <w:color w:val="000000"/>
          <w:u w:val="single"/>
          <w:lang w:eastAsia="ru-RU"/>
        </w:rPr>
        <w:lastRenderedPageBreak/>
        <w:t>Руководство по методологии обследования</w:t>
      </w:r>
    </w:p>
    <w:p w:rsidR="003D4E7D" w:rsidRPr="00C951EC" w:rsidRDefault="003D4E7D" w:rsidP="003D4E7D">
      <w:pPr>
        <w:shd w:val="clear" w:color="auto" w:fill="FFFFFF"/>
        <w:rPr>
          <w:color w:val="000000"/>
          <w:lang w:eastAsia="ru-RU"/>
        </w:rPr>
      </w:pPr>
      <w:r w:rsidRPr="00C951EC">
        <w:rPr>
          <w:color w:val="000000"/>
          <w:lang w:eastAsia="ru-RU"/>
        </w:rPr>
        <w:t> </w:t>
      </w:r>
    </w:p>
    <w:p w:rsidR="003D4E7D" w:rsidRPr="00C951EC" w:rsidRDefault="003D4E7D" w:rsidP="003D4E7D">
      <w:pPr>
        <w:numPr>
          <w:ilvl w:val="0"/>
          <w:numId w:val="15"/>
        </w:numPr>
        <w:ind w:left="158" w:firstLine="0"/>
        <w:rPr>
          <w:color w:val="000000"/>
          <w:lang w:eastAsia="ru-RU"/>
        </w:rPr>
      </w:pPr>
      <w:r w:rsidRPr="00C951EC">
        <w:rPr>
          <w:b/>
          <w:bCs/>
          <w:color w:val="000000"/>
          <w:lang w:eastAsia="ru-RU"/>
        </w:rPr>
        <w:t>Два вопроса:</w:t>
      </w:r>
      <w:r w:rsidRPr="00C951EC">
        <w:rPr>
          <w:color w:val="000000"/>
          <w:lang w:eastAsia="ru-RU"/>
        </w:rPr>
        <w:t xml:space="preserve"> показатель 16.7.2 ЦУР направлен </w:t>
      </w:r>
      <w:r>
        <w:rPr>
          <w:color w:val="000000"/>
          <w:lang w:eastAsia="ru-RU"/>
        </w:rPr>
        <w:t xml:space="preserve">на измерение как инклюзивности, </w:t>
      </w:r>
      <w:r w:rsidRPr="00C951EC">
        <w:rPr>
          <w:color w:val="000000"/>
          <w:lang w:eastAsia="ru-RU"/>
        </w:rPr>
        <w:t>так </w:t>
      </w:r>
      <w:r w:rsidRPr="00C951EC">
        <w:rPr>
          <w:i/>
          <w:iCs/>
          <w:color w:val="000000"/>
          <w:lang w:eastAsia="ru-RU"/>
        </w:rPr>
        <w:t>и</w:t>
      </w:r>
      <w:r w:rsidRPr="00C951EC">
        <w:rPr>
          <w:color w:val="000000"/>
          <w:lang w:eastAsia="ru-RU"/>
        </w:rPr>
        <w:t xml:space="preserve"> оперативности принятия решений. Таким образом, методология для 16.7.2 состоит из двух отдельных вопросов </w:t>
      </w:r>
      <w:r>
        <w:rPr>
          <w:color w:val="000000"/>
          <w:lang w:eastAsia="ru-RU"/>
        </w:rPr>
        <w:t>обследования</w:t>
      </w:r>
      <w:r w:rsidRPr="00C951EC">
        <w:rPr>
          <w:color w:val="000000"/>
          <w:lang w:eastAsia="ru-RU"/>
        </w:rPr>
        <w:t>, касающихся этих двух различных аспектов, а именно:</w:t>
      </w:r>
    </w:p>
    <w:p w:rsidR="003D4E7D" w:rsidRPr="00C951EC" w:rsidRDefault="003D4E7D" w:rsidP="003D4E7D">
      <w:pPr>
        <w:ind w:left="1080" w:hanging="360"/>
        <w:rPr>
          <w:color w:val="000000"/>
          <w:lang w:eastAsia="ru-RU"/>
        </w:rPr>
      </w:pPr>
      <w:r w:rsidRPr="00C951EC">
        <w:rPr>
          <w:b/>
          <w:bCs/>
          <w:color w:val="000000"/>
          <w:lang w:eastAsia="ru-RU"/>
        </w:rPr>
        <w:t>1.</w:t>
      </w:r>
      <w:r w:rsidRPr="00C951EC">
        <w:rPr>
          <w:color w:val="000000"/>
          <w:lang w:eastAsia="ru-RU"/>
        </w:rPr>
        <w:t>        </w:t>
      </w:r>
      <w:r w:rsidRPr="00C951EC">
        <w:rPr>
          <w:b/>
          <w:bCs/>
          <w:color w:val="000000"/>
          <w:lang w:eastAsia="ru-RU"/>
        </w:rPr>
        <w:t>Для измерения</w:t>
      </w:r>
      <w:r w:rsidRPr="00C951EC">
        <w:rPr>
          <w:color w:val="000000"/>
          <w:lang w:eastAsia="ru-RU"/>
        </w:rPr>
        <w:t> </w:t>
      </w:r>
      <w:r>
        <w:rPr>
          <w:b/>
          <w:bCs/>
          <w:color w:val="000000"/>
          <w:u w:val="single"/>
          <w:lang w:eastAsia="ru-RU"/>
        </w:rPr>
        <w:t>включения</w:t>
      </w:r>
      <w:r w:rsidRPr="00590629">
        <w:rPr>
          <w:b/>
          <w:bCs/>
          <w:color w:val="000000"/>
          <w:lang w:eastAsia="ru-RU"/>
        </w:rPr>
        <w:t>в</w:t>
      </w:r>
      <w:r w:rsidRPr="00C951EC">
        <w:rPr>
          <w:color w:val="000000"/>
          <w:lang w:eastAsia="ru-RU"/>
        </w:rPr>
        <w:t> </w:t>
      </w:r>
      <w:r w:rsidRPr="00C951EC">
        <w:rPr>
          <w:b/>
          <w:bCs/>
          <w:color w:val="000000"/>
          <w:lang w:eastAsia="ru-RU"/>
        </w:rPr>
        <w:t>участие</w:t>
      </w:r>
      <w:r w:rsidRPr="00C951EC">
        <w:rPr>
          <w:color w:val="000000"/>
          <w:lang w:eastAsia="ru-RU"/>
        </w:rPr>
        <w:t> </w:t>
      </w:r>
      <w:r w:rsidRPr="00C951EC">
        <w:rPr>
          <w:b/>
          <w:bCs/>
          <w:color w:val="000000"/>
          <w:lang w:eastAsia="ru-RU"/>
        </w:rPr>
        <w:t>в процессе принятия решений:</w:t>
      </w:r>
      <w:r w:rsidRPr="00C951EC">
        <w:rPr>
          <w:color w:val="000000"/>
          <w:lang w:eastAsia="ru-RU"/>
        </w:rPr>
        <w:t> </w:t>
      </w:r>
      <w:r w:rsidRPr="00C951EC">
        <w:rPr>
          <w:i/>
          <w:iCs/>
          <w:color w:val="000000"/>
          <w:lang w:eastAsia="ru-RU"/>
        </w:rPr>
        <w:t xml:space="preserve">Как вы думаете, насколько политическая система в [стране Х] позволяет таким людям, как вы, иметь право голоса </w:t>
      </w:r>
      <w:r w:rsidRPr="00C951EC">
        <w:rPr>
          <w:color w:val="000000"/>
          <w:lang w:eastAsia="ru-RU"/>
        </w:rPr>
        <w:t> </w:t>
      </w:r>
      <w:r w:rsidRPr="00C951EC">
        <w:rPr>
          <w:i/>
          <w:iCs/>
          <w:color w:val="000000"/>
          <w:lang w:eastAsia="ru-RU"/>
        </w:rPr>
        <w:t>в том, что делает правительство?</w:t>
      </w:r>
    </w:p>
    <w:p w:rsidR="003D4E7D" w:rsidRPr="00C951EC" w:rsidRDefault="003D4E7D" w:rsidP="003D4E7D">
      <w:pPr>
        <w:ind w:left="1080" w:hanging="360"/>
        <w:rPr>
          <w:color w:val="000000"/>
          <w:lang w:eastAsia="ru-RU"/>
        </w:rPr>
      </w:pPr>
      <w:r w:rsidRPr="00C951EC">
        <w:rPr>
          <w:b/>
          <w:bCs/>
          <w:color w:val="000000"/>
          <w:lang w:eastAsia="ru-RU"/>
        </w:rPr>
        <w:t>2.</w:t>
      </w:r>
      <w:r w:rsidRPr="00C951EC">
        <w:rPr>
          <w:color w:val="000000"/>
          <w:lang w:eastAsia="ru-RU"/>
        </w:rPr>
        <w:t>        </w:t>
      </w:r>
      <w:r w:rsidRPr="00C951EC">
        <w:rPr>
          <w:b/>
          <w:bCs/>
          <w:color w:val="000000"/>
          <w:lang w:eastAsia="ru-RU"/>
        </w:rPr>
        <w:t>Чтобы измерить</w:t>
      </w:r>
      <w:r w:rsidRPr="00C951EC">
        <w:rPr>
          <w:color w:val="000000"/>
          <w:lang w:eastAsia="ru-RU"/>
        </w:rPr>
        <w:t> </w:t>
      </w:r>
      <w:r>
        <w:rPr>
          <w:b/>
          <w:bCs/>
          <w:color w:val="000000"/>
          <w:u w:val="single"/>
          <w:lang w:eastAsia="ru-RU"/>
        </w:rPr>
        <w:t>эффективность</w:t>
      </w:r>
      <w:r w:rsidRPr="00C951EC">
        <w:rPr>
          <w:color w:val="000000"/>
          <w:lang w:eastAsia="ru-RU"/>
        </w:rPr>
        <w:t> </w:t>
      </w:r>
      <w:r w:rsidRPr="00C951EC">
        <w:rPr>
          <w:b/>
          <w:bCs/>
          <w:color w:val="000000"/>
          <w:lang w:eastAsia="ru-RU"/>
        </w:rPr>
        <w:t>приняти</w:t>
      </w:r>
      <w:r>
        <w:rPr>
          <w:b/>
          <w:bCs/>
          <w:color w:val="000000"/>
          <w:lang w:eastAsia="ru-RU"/>
        </w:rPr>
        <w:t>я</w:t>
      </w:r>
      <w:r w:rsidRPr="00C951EC">
        <w:rPr>
          <w:b/>
          <w:bCs/>
          <w:color w:val="000000"/>
          <w:lang w:eastAsia="ru-RU"/>
        </w:rPr>
        <w:t xml:space="preserve"> решений:</w:t>
      </w:r>
      <w:r w:rsidRPr="00C951EC">
        <w:rPr>
          <w:color w:val="000000"/>
          <w:lang w:eastAsia="ru-RU"/>
        </w:rPr>
        <w:t> </w:t>
      </w:r>
      <w:r w:rsidRPr="00C951EC">
        <w:rPr>
          <w:i/>
          <w:iCs/>
          <w:color w:val="000000"/>
          <w:lang w:eastAsia="ru-RU"/>
        </w:rPr>
        <w:t>Как вы думаете, насколько политическая система в [стране] позволяет таким людям, как вы</w:t>
      </w:r>
      <w:r w:rsidRPr="00262D82">
        <w:rPr>
          <w:i/>
          <w:iCs/>
          <w:color w:val="000000"/>
          <w:lang w:eastAsia="ru-RU"/>
        </w:rPr>
        <w:t xml:space="preserve">, </w:t>
      </w:r>
      <w:r w:rsidRPr="00C951EC">
        <w:rPr>
          <w:i/>
          <w:iCs/>
          <w:color w:val="000000"/>
          <w:u w:val="single"/>
          <w:lang w:eastAsia="ru-RU"/>
        </w:rPr>
        <w:t>влиять</w:t>
      </w:r>
      <w:r w:rsidRPr="00C951EC">
        <w:rPr>
          <w:color w:val="000000"/>
          <w:lang w:eastAsia="ru-RU"/>
        </w:rPr>
        <w:t> </w:t>
      </w:r>
      <w:r w:rsidRPr="00C951EC">
        <w:rPr>
          <w:i/>
          <w:iCs/>
          <w:color w:val="000000"/>
          <w:lang w:eastAsia="ru-RU"/>
        </w:rPr>
        <w:t>на политику?</w:t>
      </w:r>
    </w:p>
    <w:p w:rsidR="003D4E7D" w:rsidRPr="00C951EC" w:rsidRDefault="003D4E7D" w:rsidP="003D4E7D">
      <w:pPr>
        <w:rPr>
          <w:color w:val="000000"/>
          <w:lang w:eastAsia="ru-RU"/>
        </w:rPr>
      </w:pPr>
      <w:r w:rsidRPr="00C951EC">
        <w:rPr>
          <w:color w:val="000000"/>
          <w:lang w:eastAsia="ru-RU"/>
        </w:rPr>
        <w:t> </w:t>
      </w:r>
    </w:p>
    <w:p w:rsidR="003D4E7D" w:rsidRPr="00C951EC" w:rsidRDefault="003D4E7D" w:rsidP="003D4E7D">
      <w:pPr>
        <w:numPr>
          <w:ilvl w:val="0"/>
          <w:numId w:val="16"/>
        </w:numPr>
        <w:ind w:left="158" w:firstLine="0"/>
        <w:rPr>
          <w:color w:val="000000"/>
          <w:lang w:eastAsia="ru-RU"/>
        </w:rPr>
      </w:pPr>
      <w:r w:rsidRPr="00C951EC">
        <w:rPr>
          <w:b/>
          <w:bCs/>
          <w:color w:val="000000"/>
          <w:lang w:eastAsia="ru-RU"/>
        </w:rPr>
        <w:t>Вопросы для включения в вспомогательное обследование.</w:t>
      </w:r>
      <w:r w:rsidRPr="00C951EC">
        <w:rPr>
          <w:color w:val="000000"/>
          <w:lang w:eastAsia="ru-RU"/>
        </w:rPr>
        <w:t xml:space="preserve"> Эти два вопроса для измерения ЦУР 16.7.2 могут быть включены в существующие национальные обследования, проводимые </w:t>
      </w:r>
      <w:r w:rsidRPr="00C951EC">
        <w:rPr>
          <w:lang w:eastAsia="ru-RU"/>
        </w:rPr>
        <w:t>НСО</w:t>
      </w:r>
      <w:r w:rsidRPr="00C951EC">
        <w:rPr>
          <w:color w:val="000000"/>
          <w:lang w:eastAsia="ru-RU"/>
        </w:rPr>
        <w:t>, с использованием дополнительных элементов этих обследований по демографии для последующей дезагрегации результатов.</w:t>
      </w:r>
    </w:p>
    <w:p w:rsidR="003D4E7D" w:rsidRPr="00C951EC" w:rsidRDefault="003D4E7D" w:rsidP="003D4E7D">
      <w:pPr>
        <w:ind w:left="360"/>
        <w:rPr>
          <w:color w:val="000000"/>
          <w:lang w:eastAsia="ru-RU"/>
        </w:rPr>
      </w:pPr>
      <w:r w:rsidRPr="00C951EC">
        <w:rPr>
          <w:color w:val="000000"/>
          <w:lang w:eastAsia="ru-RU"/>
        </w:rPr>
        <w:t> </w:t>
      </w:r>
    </w:p>
    <w:p w:rsidR="003D4E7D" w:rsidRPr="00262D82" w:rsidRDefault="003D4E7D" w:rsidP="003D4E7D">
      <w:pPr>
        <w:pStyle w:val="ab"/>
        <w:numPr>
          <w:ilvl w:val="0"/>
          <w:numId w:val="19"/>
        </w:numPr>
        <w:rPr>
          <w:rFonts w:eastAsia="Times New Roman"/>
          <w:color w:val="000000"/>
          <w:szCs w:val="24"/>
          <w:lang w:eastAsia="ru-RU"/>
        </w:rPr>
      </w:pPr>
      <w:r w:rsidRPr="00262D82">
        <w:rPr>
          <w:rFonts w:eastAsia="Times New Roman"/>
          <w:b/>
          <w:color w:val="000000"/>
          <w:szCs w:val="24"/>
          <w:lang w:eastAsia="ru-RU"/>
        </w:rPr>
        <w:t>Целевая группа:</w:t>
      </w:r>
      <w:r w:rsidRPr="00262D82">
        <w:rPr>
          <w:rFonts w:eastAsia="Times New Roman"/>
          <w:color w:val="000000"/>
          <w:szCs w:val="24"/>
          <w:lang w:eastAsia="ru-RU"/>
        </w:rPr>
        <w:t> население страны в возрасте 18 лет и старше.</w:t>
      </w:r>
    </w:p>
    <w:p w:rsidR="003D4E7D" w:rsidRDefault="003D4E7D" w:rsidP="003D4E7D">
      <w:pPr>
        <w:pStyle w:val="ab"/>
        <w:numPr>
          <w:ilvl w:val="0"/>
          <w:numId w:val="19"/>
        </w:numPr>
        <w:shd w:val="clear" w:color="auto" w:fill="FFFFFF"/>
        <w:rPr>
          <w:rFonts w:eastAsia="Times New Roman"/>
          <w:color w:val="000000"/>
          <w:szCs w:val="24"/>
          <w:lang w:eastAsia="ru-RU"/>
        </w:rPr>
      </w:pPr>
      <w:r w:rsidRPr="00262D82">
        <w:rPr>
          <w:rFonts w:eastAsia="Times New Roman"/>
          <w:b/>
          <w:color w:val="000000"/>
          <w:szCs w:val="24"/>
          <w:lang w:eastAsia="ru-RU"/>
        </w:rPr>
        <w:t>Структура выборки:</w:t>
      </w:r>
      <w:r w:rsidRPr="00262D82">
        <w:rPr>
          <w:rFonts w:eastAsia="Times New Roman"/>
          <w:color w:val="000000"/>
          <w:szCs w:val="24"/>
          <w:lang w:eastAsia="ru-RU"/>
        </w:rPr>
        <w:t xml:space="preserve"> Данные должны собираться на основе национально репрезентативной вероятностной выборки населения, проживающего в частных домохозяйствах внутри страны, независимо от языка, национальности или статуса законного проживания. Все частные домохозяйства и все лица в возрасте 18 лет и старше в домохозяйстве имеют право на набор вопросов. Структура выборки, а также методы </w:t>
      </w:r>
      <w:r>
        <w:rPr>
          <w:rFonts w:eastAsia="Times New Roman"/>
          <w:color w:val="000000"/>
          <w:szCs w:val="24"/>
          <w:lang w:eastAsia="ru-RU"/>
        </w:rPr>
        <w:t>от</w:t>
      </w:r>
      <w:r w:rsidRPr="00262D82">
        <w:rPr>
          <w:rFonts w:eastAsia="Times New Roman"/>
          <w:color w:val="000000"/>
          <w:szCs w:val="24"/>
          <w:lang w:eastAsia="ru-RU"/>
        </w:rPr>
        <w:t>бора выборки должны гарантировать, что каждому человеку и домашнему хозяйству в целевой группе населения назначается известная вероятность выбора, которая не равна нулю.</w:t>
      </w:r>
      <w:r w:rsidRPr="0022521B">
        <w:rPr>
          <w:rFonts w:eastAsia="Times New Roman"/>
          <w:color w:val="000000"/>
          <w:szCs w:val="24"/>
          <w:lang w:eastAsia="ru-RU"/>
        </w:rPr>
        <w:t xml:space="preserve">(следует избегать включения вопросов для ЦУР 16.7.2 в обследование домашних хозяйств, которое ориентировано только на глав домашних хозяйств или </w:t>
      </w:r>
      <w:r>
        <w:rPr>
          <w:rFonts w:eastAsia="Times New Roman"/>
          <w:color w:val="000000"/>
          <w:szCs w:val="24"/>
          <w:lang w:eastAsia="ru-RU"/>
        </w:rPr>
        <w:t>«</w:t>
      </w:r>
      <w:r w:rsidRPr="0022521B">
        <w:rPr>
          <w:rFonts w:eastAsia="Times New Roman"/>
          <w:color w:val="000000"/>
          <w:szCs w:val="24"/>
          <w:lang w:eastAsia="ru-RU"/>
        </w:rPr>
        <w:t>наиболее информированных членов домашних хозяйств</w:t>
      </w:r>
      <w:r>
        <w:rPr>
          <w:rFonts w:eastAsia="Times New Roman"/>
          <w:color w:val="000000"/>
          <w:szCs w:val="24"/>
          <w:lang w:eastAsia="ru-RU"/>
        </w:rPr>
        <w:t>»</w:t>
      </w:r>
      <w:r w:rsidRPr="0022521B">
        <w:rPr>
          <w:rFonts w:eastAsia="Times New Roman"/>
          <w:color w:val="000000"/>
          <w:szCs w:val="24"/>
          <w:lang w:eastAsia="ru-RU"/>
        </w:rPr>
        <w:t>).</w:t>
      </w:r>
    </w:p>
    <w:p w:rsidR="003D4E7D" w:rsidRPr="00C951EC" w:rsidRDefault="003D4E7D" w:rsidP="003D4E7D">
      <w:pPr>
        <w:numPr>
          <w:ilvl w:val="0"/>
          <w:numId w:val="17"/>
        </w:numPr>
        <w:ind w:left="158" w:firstLine="0"/>
        <w:rPr>
          <w:color w:val="000000"/>
          <w:lang w:eastAsia="ru-RU"/>
        </w:rPr>
      </w:pPr>
      <w:r w:rsidRPr="00C951EC">
        <w:rPr>
          <w:b/>
          <w:bCs/>
          <w:color w:val="000000"/>
          <w:lang w:eastAsia="ru-RU"/>
        </w:rPr>
        <w:t>Обратитесь к инструкциям интервьюера для получения дополнительных указаний по терминологии:</w:t>
      </w:r>
      <w:r w:rsidRPr="00C951EC">
        <w:rPr>
          <w:color w:val="000000"/>
          <w:lang w:eastAsia="ru-RU"/>
        </w:rPr>
        <w:t> интервьюеры должны ссылаться на конкретную формулировку, представленную ниже, если респонденты не понимают определенные термины. Для обеспечения последовательности в применении этой методологии в разных странах интервьюеры </w:t>
      </w:r>
      <w:r w:rsidRPr="00C951EC">
        <w:rPr>
          <w:i/>
          <w:iCs/>
          <w:color w:val="000000"/>
          <w:lang w:eastAsia="ru-RU"/>
        </w:rPr>
        <w:t>не</w:t>
      </w:r>
      <w:r w:rsidRPr="00C951EC">
        <w:rPr>
          <w:color w:val="000000"/>
          <w:lang w:eastAsia="ru-RU"/>
        </w:rPr>
        <w:t> должны пытаться объяснить значение определенных слов в их собственных терминах.</w:t>
      </w:r>
    </w:p>
    <w:p w:rsidR="003D4E7D" w:rsidRPr="00C951EC" w:rsidRDefault="003D4E7D" w:rsidP="003D4E7D">
      <w:pPr>
        <w:ind w:left="360"/>
        <w:rPr>
          <w:color w:val="000000"/>
          <w:lang w:eastAsia="ru-RU"/>
        </w:rPr>
      </w:pPr>
      <w:r w:rsidRPr="00C951EC">
        <w:rPr>
          <w:color w:val="000000"/>
          <w:lang w:eastAsia="ru-RU"/>
        </w:rPr>
        <w:t> </w:t>
      </w:r>
    </w:p>
    <w:p w:rsidR="003D4E7D" w:rsidRPr="00C951EC" w:rsidRDefault="003D4E7D" w:rsidP="003D4E7D">
      <w:pPr>
        <w:numPr>
          <w:ilvl w:val="0"/>
          <w:numId w:val="5"/>
        </w:numPr>
        <w:rPr>
          <w:color w:val="000000"/>
          <w:lang w:eastAsia="ru-RU"/>
        </w:rPr>
      </w:pPr>
      <w:r w:rsidRPr="00C951EC">
        <w:rPr>
          <w:b/>
          <w:bCs/>
          <w:color w:val="000000"/>
          <w:lang w:eastAsia="ru-RU"/>
        </w:rPr>
        <w:lastRenderedPageBreak/>
        <w:t>«Не знаю», «отказ отвечать» или «не применимо» не следует зачитывать респондентам вслух:</w:t>
      </w:r>
      <w:r w:rsidRPr="00C951EC">
        <w:rPr>
          <w:color w:val="000000"/>
          <w:lang w:eastAsia="ru-RU"/>
        </w:rPr>
        <w:t xml:space="preserve"> предоставление опции «не знаю» или «отказ отвечать» дает респондентам </w:t>
      </w:r>
      <w:r w:rsidRPr="00262D82">
        <w:rPr>
          <w:color w:val="000000"/>
          <w:lang w:eastAsia="ru-RU"/>
        </w:rPr>
        <w:t>простой способ избежать взаимодействия с предметом вопроса</w:t>
      </w:r>
      <w:r w:rsidRPr="00C951EC">
        <w:rPr>
          <w:color w:val="000000"/>
          <w:lang w:eastAsia="ru-RU"/>
        </w:rPr>
        <w:t>. </w:t>
      </w:r>
      <w:r w:rsidRPr="00262D82">
        <w:rPr>
          <w:color w:val="000000"/>
          <w:lang w:eastAsia="ru-RU"/>
        </w:rPr>
        <w:t>Таким образом, когда респонденты говорят, что они «не знают», интервьюеры должны повторить вопрос и просто попросить их высказать свое предположение.</w:t>
      </w:r>
      <w:r w:rsidRPr="00C951EC">
        <w:rPr>
          <w:color w:val="000000"/>
          <w:lang w:eastAsia="ru-RU"/>
        </w:rPr>
        <w:t> Варианты «не знаю» и «отказ отвечать» следует использовать только в качестве крайней меры.Интервьюеры должны использоватьраздельное кодирование для «не применимо» (</w:t>
      </w:r>
      <w:r w:rsidRPr="00262D82">
        <w:rPr>
          <w:lang w:eastAsia="ru-RU"/>
        </w:rPr>
        <w:t>NA-97</w:t>
      </w:r>
      <w:r w:rsidRPr="00C951EC">
        <w:rPr>
          <w:color w:val="000000"/>
          <w:lang w:eastAsia="ru-RU"/>
        </w:rPr>
        <w:t>), «не знаю» (</w:t>
      </w:r>
      <w:r w:rsidRPr="00262D82">
        <w:rPr>
          <w:lang w:eastAsia="ru-RU"/>
        </w:rPr>
        <w:t>DK-98</w:t>
      </w:r>
      <w:r w:rsidRPr="00C951EC">
        <w:rPr>
          <w:color w:val="000000"/>
          <w:lang w:eastAsia="ru-RU"/>
        </w:rPr>
        <w:t>) и «не применимо» (</w:t>
      </w:r>
      <w:r w:rsidRPr="00262D82">
        <w:rPr>
          <w:lang w:eastAsia="ru-RU"/>
        </w:rPr>
        <w:t>NA-99</w:t>
      </w:r>
      <w:r w:rsidRPr="00C951EC">
        <w:rPr>
          <w:color w:val="000000"/>
          <w:lang w:eastAsia="ru-RU"/>
        </w:rPr>
        <w:t>), как указано в вопроснике.</w:t>
      </w:r>
    </w:p>
    <w:p w:rsidR="003D4E7D" w:rsidRPr="00C951EC" w:rsidRDefault="003D4E7D" w:rsidP="003D4E7D"/>
    <w:p w:rsidR="003D4E7D" w:rsidRPr="00C951EC" w:rsidRDefault="003D4E7D" w:rsidP="003D4E7D">
      <w:pPr>
        <w:shd w:val="clear" w:color="auto" w:fill="FFFFFF"/>
        <w:rPr>
          <w:b/>
          <w:bCs/>
          <w:color w:val="000000"/>
          <w:u w:val="single"/>
          <w:lang w:eastAsia="en-GB"/>
        </w:rPr>
      </w:pPr>
      <w:r w:rsidRPr="00C951EC">
        <w:rPr>
          <w:b/>
          <w:bCs/>
          <w:color w:val="000000"/>
          <w:u w:val="single"/>
          <w:lang w:eastAsia="en-GB"/>
        </w:rPr>
        <w:t>Вопросы:</w:t>
      </w:r>
    </w:p>
    <w:p w:rsidR="003D4E7D" w:rsidRPr="00C951EC" w:rsidRDefault="003D4E7D" w:rsidP="003D4E7D">
      <w:pPr>
        <w:shd w:val="clear" w:color="auto" w:fill="FFFFFF"/>
        <w:rPr>
          <w:b/>
          <w:bCs/>
          <w:color w:val="000000"/>
          <w:lang w:eastAsia="en-GB"/>
        </w:rPr>
      </w:pPr>
    </w:p>
    <w:p w:rsidR="003D4E7D" w:rsidRPr="00C951EC" w:rsidRDefault="003D4E7D" w:rsidP="003D4E7D">
      <w:pPr>
        <w:numPr>
          <w:ilvl w:val="0"/>
          <w:numId w:val="13"/>
        </w:numPr>
        <w:contextualSpacing/>
        <w:rPr>
          <w:rFonts w:eastAsia="SimSun"/>
          <w:b/>
          <w:bCs/>
          <w:i/>
          <w:color w:val="000000"/>
          <w:lang w:eastAsia="zh-CN"/>
        </w:rPr>
      </w:pPr>
      <w:r w:rsidRPr="00C951EC">
        <w:rPr>
          <w:rFonts w:eastAsia="SimSun"/>
          <w:b/>
          <w:bCs/>
          <w:i/>
          <w:iCs/>
          <w:color w:val="000000"/>
          <w:lang w:eastAsia="zh-CN"/>
        </w:rPr>
        <w:t xml:space="preserve">Как вы думаете, насколько политическая система в [стране Х] позволяет таким людям, как вы, иметь право голоса </w:t>
      </w:r>
      <w:r w:rsidRPr="00C951EC">
        <w:rPr>
          <w:rFonts w:eastAsia="SimSun"/>
          <w:b/>
          <w:bCs/>
          <w:i/>
          <w:color w:val="000000"/>
          <w:lang w:eastAsia="zh-CN"/>
        </w:rPr>
        <w:t> </w:t>
      </w:r>
      <w:r w:rsidRPr="00C951EC">
        <w:rPr>
          <w:rFonts w:eastAsia="SimSun"/>
          <w:b/>
          <w:bCs/>
          <w:i/>
          <w:iCs/>
          <w:color w:val="000000"/>
          <w:lang w:eastAsia="zh-CN"/>
        </w:rPr>
        <w:t>в том, что делает правительство?</w:t>
      </w:r>
    </w:p>
    <w:p w:rsidR="003D4E7D" w:rsidRPr="00C951EC" w:rsidRDefault="003D4E7D" w:rsidP="003D4E7D">
      <w:pPr>
        <w:ind w:left="720"/>
        <w:contextualSpacing/>
        <w:rPr>
          <w:rFonts w:eastAsia="SimSun"/>
          <w:b/>
          <w:bCs/>
          <w:i/>
          <w:iCs/>
          <w:lang w:eastAsia="zh-CN"/>
        </w:rPr>
      </w:pPr>
    </w:p>
    <w:p w:rsidR="003D4E7D" w:rsidRPr="00262D82" w:rsidRDefault="003D4E7D" w:rsidP="003D4E7D">
      <w:pPr>
        <w:numPr>
          <w:ilvl w:val="0"/>
          <w:numId w:val="14"/>
        </w:numPr>
        <w:contextualSpacing/>
        <w:rPr>
          <w:rFonts w:eastAsia="SimSun"/>
          <w:b/>
          <w:bCs/>
          <w:i/>
          <w:iCs/>
          <w:lang w:val="en-GB" w:eastAsia="zh-CN"/>
        </w:rPr>
      </w:pPr>
      <w:r w:rsidRPr="00262D82">
        <w:rPr>
          <w:rFonts w:eastAsia="SimSun"/>
          <w:b/>
          <w:bCs/>
          <w:i/>
          <w:iCs/>
          <w:lang w:eastAsia="zh-CN"/>
        </w:rPr>
        <w:t>Совсем нет</w:t>
      </w:r>
    </w:p>
    <w:p w:rsidR="003D4E7D" w:rsidRPr="00262D82" w:rsidRDefault="003D4E7D" w:rsidP="003D4E7D">
      <w:pPr>
        <w:numPr>
          <w:ilvl w:val="0"/>
          <w:numId w:val="14"/>
        </w:numPr>
        <w:contextualSpacing/>
        <w:rPr>
          <w:rFonts w:eastAsia="SimSun"/>
          <w:b/>
          <w:bCs/>
          <w:i/>
          <w:iCs/>
          <w:lang w:val="en-GB" w:eastAsia="zh-CN"/>
        </w:rPr>
      </w:pPr>
      <w:r w:rsidRPr="00262D82">
        <w:rPr>
          <w:rFonts w:eastAsia="SimSun"/>
          <w:b/>
          <w:bCs/>
          <w:i/>
          <w:iCs/>
          <w:lang w:eastAsia="zh-CN"/>
        </w:rPr>
        <w:t xml:space="preserve">Практически нет </w:t>
      </w:r>
    </w:p>
    <w:p w:rsidR="003D4E7D" w:rsidRPr="00262D82" w:rsidRDefault="003D4E7D" w:rsidP="003D4E7D">
      <w:pPr>
        <w:numPr>
          <w:ilvl w:val="0"/>
          <w:numId w:val="14"/>
        </w:numPr>
        <w:contextualSpacing/>
        <w:rPr>
          <w:rFonts w:eastAsia="SimSun"/>
          <w:b/>
          <w:bCs/>
          <w:i/>
          <w:iCs/>
          <w:lang w:val="en-GB" w:eastAsia="zh-CN"/>
        </w:rPr>
      </w:pPr>
      <w:r w:rsidRPr="00262D82">
        <w:rPr>
          <w:rFonts w:eastAsia="SimSun"/>
          <w:b/>
          <w:bCs/>
          <w:i/>
          <w:iCs/>
          <w:lang w:eastAsia="zh-CN"/>
        </w:rPr>
        <w:t>Немного</w:t>
      </w:r>
    </w:p>
    <w:p w:rsidR="003D4E7D" w:rsidRPr="00262D82" w:rsidRDefault="003D4E7D" w:rsidP="003D4E7D">
      <w:pPr>
        <w:numPr>
          <w:ilvl w:val="0"/>
          <w:numId w:val="14"/>
        </w:numPr>
        <w:contextualSpacing/>
        <w:rPr>
          <w:rFonts w:eastAsia="SimSun"/>
          <w:b/>
          <w:bCs/>
          <w:i/>
          <w:iCs/>
          <w:lang w:val="en-GB" w:eastAsia="zh-CN"/>
        </w:rPr>
      </w:pPr>
      <w:r w:rsidRPr="00262D82">
        <w:rPr>
          <w:rFonts w:eastAsia="SimSun"/>
          <w:b/>
          <w:bCs/>
          <w:i/>
          <w:iCs/>
          <w:lang w:eastAsia="zh-CN"/>
        </w:rPr>
        <w:t>Достаточно много</w:t>
      </w:r>
    </w:p>
    <w:p w:rsidR="003D4E7D" w:rsidRPr="00262D82" w:rsidRDefault="003D4E7D" w:rsidP="003D4E7D">
      <w:pPr>
        <w:numPr>
          <w:ilvl w:val="0"/>
          <w:numId w:val="14"/>
        </w:numPr>
        <w:contextualSpacing/>
        <w:rPr>
          <w:rFonts w:eastAsia="SimSun"/>
          <w:b/>
          <w:bCs/>
          <w:i/>
          <w:iCs/>
          <w:lang w:val="en-GB" w:eastAsia="zh-CN"/>
        </w:rPr>
      </w:pPr>
      <w:r>
        <w:rPr>
          <w:rFonts w:eastAsia="SimSun"/>
          <w:b/>
          <w:bCs/>
          <w:i/>
          <w:iCs/>
          <w:lang w:eastAsia="zh-CN"/>
        </w:rPr>
        <w:t>Очень м</w:t>
      </w:r>
      <w:r w:rsidRPr="00262D82">
        <w:rPr>
          <w:rFonts w:eastAsia="SimSun"/>
          <w:b/>
          <w:bCs/>
          <w:i/>
          <w:iCs/>
          <w:lang w:eastAsia="zh-CN"/>
        </w:rPr>
        <w:t>ного</w:t>
      </w:r>
    </w:p>
    <w:p w:rsidR="003D4E7D" w:rsidRPr="00262D82" w:rsidRDefault="003D4E7D" w:rsidP="003D4E7D">
      <w:pPr>
        <w:numPr>
          <w:ilvl w:val="0"/>
          <w:numId w:val="14"/>
        </w:numPr>
        <w:contextualSpacing/>
        <w:rPr>
          <w:rFonts w:eastAsia="SimSun"/>
          <w:b/>
          <w:i/>
          <w:lang w:val="en-GB" w:eastAsia="zh-CN"/>
        </w:rPr>
      </w:pPr>
      <w:r w:rsidRPr="00262D82">
        <w:rPr>
          <w:rFonts w:eastAsia="SimSun"/>
          <w:b/>
          <w:i/>
          <w:lang w:eastAsia="zh-CN"/>
        </w:rPr>
        <w:t>Отказываюсь отвечать</w:t>
      </w:r>
    </w:p>
    <w:p w:rsidR="003D4E7D" w:rsidRPr="00C951EC" w:rsidRDefault="003D4E7D" w:rsidP="003D4E7D">
      <w:pPr>
        <w:numPr>
          <w:ilvl w:val="0"/>
          <w:numId w:val="14"/>
        </w:numPr>
        <w:contextualSpacing/>
        <w:rPr>
          <w:rFonts w:eastAsia="SimSun"/>
          <w:b/>
          <w:i/>
          <w:lang w:val="en-GB" w:eastAsia="zh-CN"/>
        </w:rPr>
      </w:pPr>
      <w:r w:rsidRPr="00C951EC">
        <w:rPr>
          <w:rFonts w:eastAsia="SimSun"/>
          <w:b/>
          <w:i/>
          <w:lang w:eastAsia="zh-CN"/>
        </w:rPr>
        <w:t>Не знаю</w:t>
      </w:r>
    </w:p>
    <w:p w:rsidR="003D4E7D" w:rsidRPr="003D4E7D" w:rsidRDefault="003D4E7D" w:rsidP="003D4E7D">
      <w:pPr>
        <w:numPr>
          <w:ilvl w:val="0"/>
          <w:numId w:val="14"/>
        </w:numPr>
        <w:contextualSpacing/>
        <w:rPr>
          <w:rFonts w:eastAsia="SimSun"/>
          <w:b/>
          <w:bCs/>
          <w:i/>
          <w:iCs/>
          <w:lang w:val="en-GB" w:eastAsia="zh-CN"/>
        </w:rPr>
      </w:pPr>
      <w:r w:rsidRPr="00C951EC">
        <w:rPr>
          <w:rFonts w:eastAsia="SimSun"/>
          <w:b/>
          <w:bCs/>
          <w:i/>
          <w:iCs/>
          <w:lang w:eastAsia="zh-CN"/>
        </w:rPr>
        <w:t>Нет ответа</w:t>
      </w:r>
    </w:p>
    <w:p w:rsidR="003D4E7D" w:rsidRPr="00C951EC" w:rsidRDefault="003D4E7D" w:rsidP="003D4E7D">
      <w:pPr>
        <w:numPr>
          <w:ilvl w:val="0"/>
          <w:numId w:val="13"/>
        </w:numPr>
        <w:autoSpaceDE w:val="0"/>
        <w:autoSpaceDN w:val="0"/>
        <w:adjustRightInd w:val="0"/>
        <w:contextualSpacing/>
        <w:rPr>
          <w:rFonts w:eastAsia="SimSun"/>
          <w:b/>
          <w:bCs/>
          <w:i/>
          <w:color w:val="000000"/>
          <w:lang w:eastAsia="zh-CN"/>
        </w:rPr>
      </w:pPr>
      <w:r w:rsidRPr="00C951EC">
        <w:rPr>
          <w:rFonts w:eastAsia="SimSun"/>
          <w:b/>
          <w:bCs/>
          <w:i/>
          <w:iCs/>
          <w:color w:val="000000"/>
          <w:lang w:eastAsia="zh-CN"/>
        </w:rPr>
        <w:t>И как вы думаете, насколько политическая система в [стран</w:t>
      </w:r>
      <w:r>
        <w:rPr>
          <w:rFonts w:eastAsia="SimSun"/>
          <w:b/>
          <w:bCs/>
          <w:i/>
          <w:iCs/>
          <w:color w:val="000000"/>
          <w:lang w:eastAsia="zh-CN"/>
        </w:rPr>
        <w:t>е] позволяет таким людям, как вы</w:t>
      </w:r>
      <w:r w:rsidRPr="00C951EC">
        <w:rPr>
          <w:rFonts w:eastAsia="SimSun"/>
          <w:b/>
          <w:bCs/>
          <w:i/>
          <w:color w:val="000000"/>
          <w:lang w:eastAsia="zh-CN"/>
        </w:rPr>
        <w:t> </w:t>
      </w:r>
      <w:r w:rsidRPr="00262D82">
        <w:rPr>
          <w:rFonts w:eastAsia="SimSun"/>
          <w:b/>
          <w:bCs/>
          <w:i/>
          <w:iCs/>
          <w:color w:val="000000"/>
          <w:lang w:eastAsia="zh-CN"/>
        </w:rPr>
        <w:t>,</w:t>
      </w:r>
      <w:r w:rsidRPr="00C951EC">
        <w:rPr>
          <w:rFonts w:eastAsia="SimSun"/>
          <w:b/>
          <w:bCs/>
          <w:i/>
          <w:iCs/>
          <w:color w:val="000000"/>
          <w:u w:val="single"/>
          <w:lang w:eastAsia="zh-CN"/>
        </w:rPr>
        <w:t>влиять</w:t>
      </w:r>
      <w:r w:rsidRPr="00C951EC">
        <w:rPr>
          <w:rFonts w:eastAsia="SimSun"/>
          <w:b/>
          <w:bCs/>
          <w:i/>
          <w:color w:val="000000"/>
          <w:lang w:eastAsia="zh-CN"/>
        </w:rPr>
        <w:t> </w:t>
      </w:r>
      <w:r w:rsidRPr="00C951EC">
        <w:rPr>
          <w:rFonts w:eastAsia="SimSun"/>
          <w:b/>
          <w:bCs/>
          <w:i/>
          <w:iCs/>
          <w:color w:val="000000"/>
          <w:lang w:eastAsia="zh-CN"/>
        </w:rPr>
        <w:t>на политику?</w:t>
      </w:r>
    </w:p>
    <w:p w:rsidR="003D4E7D" w:rsidRPr="00262D82" w:rsidRDefault="003D4E7D" w:rsidP="003D4E7D">
      <w:pPr>
        <w:numPr>
          <w:ilvl w:val="0"/>
          <w:numId w:val="18"/>
        </w:numPr>
        <w:contextualSpacing/>
        <w:rPr>
          <w:rFonts w:eastAsia="SimSun"/>
          <w:b/>
          <w:bCs/>
          <w:i/>
          <w:iCs/>
          <w:lang w:val="en-GB" w:eastAsia="zh-CN"/>
        </w:rPr>
      </w:pPr>
      <w:r w:rsidRPr="00262D82">
        <w:rPr>
          <w:rFonts w:eastAsia="SimSun"/>
          <w:b/>
          <w:bCs/>
          <w:i/>
          <w:iCs/>
          <w:lang w:eastAsia="zh-CN"/>
        </w:rPr>
        <w:t>Совсем нет</w:t>
      </w:r>
    </w:p>
    <w:p w:rsidR="003D4E7D" w:rsidRPr="00262D82" w:rsidRDefault="003D4E7D" w:rsidP="003D4E7D">
      <w:pPr>
        <w:numPr>
          <w:ilvl w:val="0"/>
          <w:numId w:val="18"/>
        </w:numPr>
        <w:contextualSpacing/>
        <w:rPr>
          <w:rFonts w:eastAsia="SimSun"/>
          <w:b/>
          <w:bCs/>
          <w:i/>
          <w:iCs/>
          <w:lang w:val="en-GB" w:eastAsia="zh-CN"/>
        </w:rPr>
      </w:pPr>
      <w:r w:rsidRPr="00262D82">
        <w:rPr>
          <w:rFonts w:eastAsia="SimSun"/>
          <w:b/>
          <w:bCs/>
          <w:i/>
          <w:iCs/>
          <w:lang w:eastAsia="zh-CN"/>
        </w:rPr>
        <w:t xml:space="preserve">Практически нет </w:t>
      </w:r>
    </w:p>
    <w:p w:rsidR="003D4E7D" w:rsidRPr="00262D82" w:rsidRDefault="003D4E7D" w:rsidP="003D4E7D">
      <w:pPr>
        <w:numPr>
          <w:ilvl w:val="0"/>
          <w:numId w:val="18"/>
        </w:numPr>
        <w:contextualSpacing/>
        <w:rPr>
          <w:rFonts w:eastAsia="SimSun"/>
          <w:b/>
          <w:bCs/>
          <w:i/>
          <w:iCs/>
          <w:lang w:val="en-GB" w:eastAsia="zh-CN"/>
        </w:rPr>
      </w:pPr>
      <w:r w:rsidRPr="00262D82">
        <w:rPr>
          <w:rFonts w:eastAsia="SimSun"/>
          <w:b/>
          <w:bCs/>
          <w:i/>
          <w:iCs/>
          <w:lang w:eastAsia="zh-CN"/>
        </w:rPr>
        <w:t>Немного</w:t>
      </w:r>
    </w:p>
    <w:p w:rsidR="003D4E7D" w:rsidRPr="00262D82" w:rsidRDefault="003D4E7D" w:rsidP="003D4E7D">
      <w:pPr>
        <w:numPr>
          <w:ilvl w:val="0"/>
          <w:numId w:val="18"/>
        </w:numPr>
        <w:contextualSpacing/>
        <w:rPr>
          <w:rFonts w:eastAsia="SimSun"/>
          <w:b/>
          <w:bCs/>
          <w:i/>
          <w:iCs/>
          <w:lang w:val="en-GB" w:eastAsia="zh-CN"/>
        </w:rPr>
      </w:pPr>
      <w:r w:rsidRPr="00262D82">
        <w:rPr>
          <w:rFonts w:eastAsia="SimSun"/>
          <w:b/>
          <w:bCs/>
          <w:i/>
          <w:iCs/>
          <w:lang w:eastAsia="zh-CN"/>
        </w:rPr>
        <w:t>Достаточно много</w:t>
      </w:r>
    </w:p>
    <w:p w:rsidR="003D4E7D" w:rsidRPr="00262D82" w:rsidRDefault="003D4E7D" w:rsidP="003D4E7D">
      <w:pPr>
        <w:numPr>
          <w:ilvl w:val="0"/>
          <w:numId w:val="18"/>
        </w:numPr>
        <w:contextualSpacing/>
        <w:rPr>
          <w:rFonts w:eastAsia="SimSun"/>
          <w:b/>
          <w:bCs/>
          <w:i/>
          <w:iCs/>
          <w:lang w:val="en-GB" w:eastAsia="zh-CN"/>
        </w:rPr>
      </w:pPr>
      <w:r>
        <w:rPr>
          <w:rFonts w:eastAsia="SimSun"/>
          <w:b/>
          <w:bCs/>
          <w:i/>
          <w:iCs/>
          <w:lang w:eastAsia="zh-CN"/>
        </w:rPr>
        <w:t>Очень м</w:t>
      </w:r>
      <w:r w:rsidRPr="00262D82">
        <w:rPr>
          <w:rFonts w:eastAsia="SimSun"/>
          <w:b/>
          <w:bCs/>
          <w:i/>
          <w:iCs/>
          <w:lang w:eastAsia="zh-CN"/>
        </w:rPr>
        <w:t>ного</w:t>
      </w:r>
    </w:p>
    <w:p w:rsidR="003D4E7D" w:rsidRPr="00262D82" w:rsidRDefault="003D4E7D" w:rsidP="003D4E7D">
      <w:pPr>
        <w:numPr>
          <w:ilvl w:val="0"/>
          <w:numId w:val="18"/>
        </w:numPr>
        <w:contextualSpacing/>
        <w:rPr>
          <w:rFonts w:eastAsia="SimSun"/>
          <w:b/>
          <w:i/>
          <w:lang w:val="en-GB" w:eastAsia="zh-CN"/>
        </w:rPr>
      </w:pPr>
      <w:r w:rsidRPr="00262D82">
        <w:rPr>
          <w:rFonts w:eastAsia="SimSun"/>
          <w:b/>
          <w:i/>
          <w:lang w:eastAsia="zh-CN"/>
        </w:rPr>
        <w:t>Отказываюсь отвечать</w:t>
      </w:r>
    </w:p>
    <w:p w:rsidR="003D4E7D" w:rsidRPr="00C951EC" w:rsidRDefault="003D4E7D" w:rsidP="003D4E7D">
      <w:pPr>
        <w:numPr>
          <w:ilvl w:val="0"/>
          <w:numId w:val="18"/>
        </w:numPr>
        <w:contextualSpacing/>
        <w:rPr>
          <w:rFonts w:eastAsia="SimSun"/>
          <w:b/>
          <w:i/>
          <w:lang w:val="en-GB" w:eastAsia="zh-CN"/>
        </w:rPr>
      </w:pPr>
      <w:r w:rsidRPr="00C951EC">
        <w:rPr>
          <w:rFonts w:eastAsia="SimSun"/>
          <w:b/>
          <w:i/>
          <w:lang w:eastAsia="zh-CN"/>
        </w:rPr>
        <w:t>Не знаю</w:t>
      </w:r>
    </w:p>
    <w:p w:rsidR="003D4E7D" w:rsidRPr="003D4E7D" w:rsidRDefault="003D4E7D" w:rsidP="003D4E7D">
      <w:pPr>
        <w:numPr>
          <w:ilvl w:val="0"/>
          <w:numId w:val="18"/>
        </w:numPr>
        <w:contextualSpacing/>
        <w:rPr>
          <w:rFonts w:eastAsia="SimSun"/>
          <w:b/>
          <w:bCs/>
          <w:i/>
          <w:iCs/>
          <w:lang w:val="en-GB" w:eastAsia="zh-CN"/>
        </w:rPr>
      </w:pPr>
      <w:r w:rsidRPr="00C951EC">
        <w:rPr>
          <w:rFonts w:eastAsia="SimSun"/>
          <w:b/>
          <w:bCs/>
          <w:i/>
          <w:iCs/>
          <w:lang w:eastAsia="zh-CN"/>
        </w:rPr>
        <w:t>Нет ответа</w:t>
      </w:r>
    </w:p>
    <w:p w:rsidR="003D4E7D" w:rsidRPr="003D4E7D" w:rsidRDefault="003D4E7D" w:rsidP="003D4E7D">
      <w:pPr>
        <w:ind w:left="1080"/>
        <w:contextualSpacing/>
        <w:rPr>
          <w:rFonts w:eastAsia="SimSun"/>
          <w:b/>
          <w:bCs/>
          <w:i/>
          <w:iCs/>
          <w:lang w:val="en-GB" w:eastAsia="zh-CN"/>
        </w:rPr>
      </w:pPr>
      <w:bookmarkStart w:id="10" w:name="_GoBack"/>
      <w:bookmarkEnd w:id="10"/>
    </w:p>
    <w:p w:rsidR="003D4E7D" w:rsidRPr="00A0289D" w:rsidRDefault="003D4E7D" w:rsidP="003D4E7D">
      <w:pPr>
        <w:pBdr>
          <w:top w:val="single" w:sz="4" w:space="1" w:color="auto"/>
          <w:left w:val="single" w:sz="4" w:space="4" w:color="auto"/>
          <w:bottom w:val="single" w:sz="4" w:space="0" w:color="auto"/>
          <w:right w:val="single" w:sz="4" w:space="4" w:color="auto"/>
        </w:pBdr>
        <w:jc w:val="center"/>
        <w:rPr>
          <w:color w:val="000000"/>
          <w:u w:val="single"/>
        </w:rPr>
      </w:pPr>
      <w:r w:rsidRPr="00C951EC">
        <w:rPr>
          <w:color w:val="000000"/>
          <w:u w:val="single"/>
        </w:rPr>
        <w:t>Разъяснения по формулировке вопроса</w:t>
      </w:r>
    </w:p>
    <w:p w:rsidR="003D4E7D" w:rsidRPr="00C951EC" w:rsidRDefault="003D4E7D" w:rsidP="003D4E7D">
      <w:pPr>
        <w:pBdr>
          <w:top w:val="single" w:sz="4" w:space="1" w:color="auto"/>
          <w:left w:val="single" w:sz="4" w:space="4" w:color="auto"/>
          <w:bottom w:val="single" w:sz="4" w:space="0" w:color="auto"/>
          <w:right w:val="single" w:sz="4" w:space="4" w:color="auto"/>
        </w:pBdr>
        <w:rPr>
          <w:color w:val="000000"/>
        </w:rPr>
      </w:pPr>
      <w:r w:rsidRPr="00C951EC">
        <w:rPr>
          <w:b/>
          <w:bCs/>
          <w:i/>
          <w:iCs/>
          <w:color w:val="000000"/>
        </w:rPr>
        <w:t>«</w:t>
      </w:r>
      <w:r w:rsidRPr="00C951EC">
        <w:rPr>
          <w:b/>
          <w:i/>
          <w:color w:val="000000"/>
        </w:rPr>
        <w:t> </w:t>
      </w:r>
      <w:r w:rsidRPr="00C951EC">
        <w:rPr>
          <w:b/>
          <w:bCs/>
          <w:i/>
          <w:iCs/>
          <w:color w:val="000000"/>
          <w:u w:val="single"/>
        </w:rPr>
        <w:t>Политическая система</w:t>
      </w:r>
      <w:r w:rsidRPr="00C951EC">
        <w:rPr>
          <w:b/>
          <w:i/>
          <w:color w:val="000000"/>
        </w:rPr>
        <w:t> </w:t>
      </w:r>
      <w:r>
        <w:rPr>
          <w:b/>
          <w:bCs/>
          <w:i/>
          <w:iCs/>
          <w:color w:val="000000"/>
        </w:rPr>
        <w:t xml:space="preserve">в </w:t>
      </w:r>
      <w:r w:rsidRPr="00C951EC">
        <w:rPr>
          <w:b/>
          <w:bCs/>
          <w:i/>
          <w:iCs/>
          <w:color w:val="000000"/>
        </w:rPr>
        <w:t>[стране]»:</w:t>
      </w:r>
      <w:r w:rsidRPr="00C951EC">
        <w:rPr>
          <w:b/>
          <w:i/>
          <w:color w:val="000000"/>
        </w:rPr>
        <w:t> особая форма правления. </w:t>
      </w:r>
      <w:r w:rsidRPr="00C951EC">
        <w:rPr>
          <w:color w:val="000000"/>
        </w:rPr>
        <w:t>Например, демократия - это политическая система, в которой граждане управляют своей жизнью. Другие политические системы включают республики, монархии, коммунистические системы и диктатуры.</w:t>
      </w:r>
    </w:p>
    <w:p w:rsidR="003D4E7D" w:rsidRPr="00C951EC" w:rsidRDefault="003D4E7D" w:rsidP="003D4E7D">
      <w:pPr>
        <w:pBdr>
          <w:top w:val="single" w:sz="4" w:space="1" w:color="auto"/>
          <w:left w:val="single" w:sz="4" w:space="4" w:color="auto"/>
          <w:bottom w:val="single" w:sz="4" w:space="0" w:color="auto"/>
          <w:right w:val="single" w:sz="4" w:space="4" w:color="auto"/>
        </w:pBdr>
        <w:rPr>
          <w:color w:val="000000"/>
        </w:rPr>
      </w:pPr>
      <w:r w:rsidRPr="00C951EC">
        <w:rPr>
          <w:color w:val="000000"/>
        </w:rPr>
        <w:lastRenderedPageBreak/>
        <w:t> </w:t>
      </w:r>
      <w:r w:rsidRPr="00C951EC">
        <w:rPr>
          <w:b/>
          <w:i/>
          <w:color w:val="000000"/>
        </w:rPr>
        <w:t>“</w:t>
      </w:r>
      <w:r w:rsidRPr="00C951EC">
        <w:rPr>
          <w:b/>
          <w:i/>
          <w:color w:val="000000"/>
          <w:u w:val="single"/>
        </w:rPr>
        <w:t xml:space="preserve">«иметь право голоса» </w:t>
      </w:r>
      <w:r w:rsidRPr="00C951EC">
        <w:rPr>
          <w:b/>
          <w:i/>
          <w:color w:val="000000"/>
        </w:rPr>
        <w:t xml:space="preserve">в том, что делает правительство” </w:t>
      </w:r>
      <w:r w:rsidRPr="00C951EC">
        <w:rPr>
          <w:color w:val="000000"/>
        </w:rPr>
        <w:t>означает иметь канал для выражения своих требований, мнений или предпочтений о том, что делает правительство, и чувствовать, что тебя слушают.</w:t>
      </w:r>
    </w:p>
    <w:p w:rsidR="003D4E7D" w:rsidRPr="00C951EC" w:rsidRDefault="003D4E7D" w:rsidP="003D4E7D">
      <w:pPr>
        <w:pBdr>
          <w:top w:val="single" w:sz="4" w:space="1" w:color="auto"/>
          <w:left w:val="single" w:sz="4" w:space="4" w:color="auto"/>
          <w:bottom w:val="single" w:sz="4" w:space="0" w:color="auto"/>
          <w:right w:val="single" w:sz="4" w:space="4" w:color="auto"/>
        </w:pBdr>
        <w:rPr>
          <w:color w:val="000000"/>
        </w:rPr>
      </w:pPr>
      <w:r w:rsidRPr="00C951EC">
        <w:rPr>
          <w:b/>
          <w:bCs/>
          <w:i/>
          <w:iCs/>
          <w:color w:val="000000"/>
        </w:rPr>
        <w:t>«</w:t>
      </w:r>
      <w:r w:rsidRPr="00C951EC">
        <w:rPr>
          <w:color w:val="000000"/>
        </w:rPr>
        <w:t> </w:t>
      </w:r>
      <w:r w:rsidRPr="00C951EC">
        <w:rPr>
          <w:b/>
          <w:bCs/>
          <w:i/>
          <w:iCs/>
          <w:color w:val="000000"/>
          <w:u w:val="single"/>
        </w:rPr>
        <w:t>Влияние</w:t>
      </w:r>
      <w:r w:rsidRPr="00C951EC">
        <w:rPr>
          <w:color w:val="000000"/>
        </w:rPr>
        <w:t> </w:t>
      </w:r>
      <w:r w:rsidRPr="00C951EC">
        <w:rPr>
          <w:b/>
          <w:bCs/>
          <w:i/>
          <w:iCs/>
          <w:color w:val="000000"/>
        </w:rPr>
        <w:t>на политику»</w:t>
      </w:r>
      <w:r w:rsidRPr="00C951EC">
        <w:rPr>
          <w:color w:val="000000"/>
        </w:rPr>
        <w:t xml:space="preserve"> означает чувство, что лица, принимающие решения, слушают и действуют в соответствии с чьими-то </w:t>
      </w:r>
      <w:r>
        <w:rPr>
          <w:color w:val="000000"/>
        </w:rPr>
        <w:t>нуждами</w:t>
      </w:r>
      <w:r w:rsidRPr="00C951EC">
        <w:rPr>
          <w:color w:val="000000"/>
        </w:rPr>
        <w:t>, мнениями или предпочтениями.</w:t>
      </w:r>
    </w:p>
    <w:p w:rsidR="003D4E7D" w:rsidRPr="00C951EC" w:rsidRDefault="003D4E7D" w:rsidP="003D4E7D"/>
    <w:sectPr w:rsidR="003D4E7D" w:rsidRPr="00C951EC" w:rsidSect="00117E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1E2" w:rsidRDefault="003641E2" w:rsidP="00F73DBC">
      <w:pPr>
        <w:spacing w:after="0" w:line="240" w:lineRule="auto"/>
      </w:pPr>
      <w:r>
        <w:separator/>
      </w:r>
    </w:p>
  </w:endnote>
  <w:endnote w:type="continuationSeparator" w:id="1">
    <w:p w:rsidR="003641E2" w:rsidRDefault="003641E2" w:rsidP="00F73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1E2" w:rsidRDefault="003641E2" w:rsidP="00F73DBC">
      <w:pPr>
        <w:spacing w:after="0" w:line="240" w:lineRule="auto"/>
      </w:pPr>
      <w:r>
        <w:separator/>
      </w:r>
    </w:p>
  </w:footnote>
  <w:footnote w:type="continuationSeparator" w:id="1">
    <w:p w:rsidR="003641E2" w:rsidRDefault="003641E2" w:rsidP="00F73DBC">
      <w:pPr>
        <w:spacing w:after="0" w:line="240" w:lineRule="auto"/>
      </w:pPr>
      <w:r>
        <w:continuationSeparator/>
      </w:r>
    </w:p>
  </w:footnote>
  <w:footnote w:id="2">
    <w:p w:rsidR="005811A9" w:rsidRPr="004E4883" w:rsidRDefault="005811A9" w:rsidP="005811A9">
      <w:pPr>
        <w:pStyle w:val="a4"/>
      </w:pPr>
      <w:r>
        <w:rPr>
          <w:rStyle w:val="a6"/>
        </w:rPr>
        <w:footnoteRef/>
      </w:r>
      <w:r w:rsidRPr="004E4883">
        <w:rPr>
          <w:rFonts w:eastAsia="Times New Roman"/>
          <w:lang w:eastAsia="zh-CN"/>
        </w:rPr>
        <w:t xml:space="preserve">См. ОЭСР, </w:t>
      </w:r>
      <w:r>
        <w:rPr>
          <w:rFonts w:eastAsia="Times New Roman"/>
          <w:lang w:eastAsia="zh-CN"/>
        </w:rPr>
        <w:t>«</w:t>
      </w:r>
      <w:r w:rsidRPr="004E4883">
        <w:rPr>
          <w:rFonts w:eastAsia="Times New Roman"/>
          <w:lang w:eastAsia="zh-CN"/>
        </w:rPr>
        <w:t>Заключительный доклад группы экспертов по показателям качества жизни</w:t>
      </w:r>
      <w:r>
        <w:rPr>
          <w:rFonts w:eastAsia="Times New Roman"/>
          <w:lang w:eastAsia="zh-CN"/>
        </w:rPr>
        <w:t>»</w:t>
      </w:r>
      <w:r w:rsidRPr="004E4883">
        <w:rPr>
          <w:rFonts w:eastAsia="Times New Roman"/>
          <w:lang w:eastAsia="zh-CN"/>
        </w:rPr>
        <w:t>, 2017</w:t>
      </w:r>
    </w:p>
  </w:footnote>
  <w:footnote w:id="3">
    <w:p w:rsidR="005811A9" w:rsidRPr="004E4883" w:rsidRDefault="005811A9" w:rsidP="005811A9">
      <w:pPr>
        <w:pStyle w:val="a4"/>
      </w:pPr>
      <w:r>
        <w:rPr>
          <w:rStyle w:val="a6"/>
        </w:rPr>
        <w:footnoteRef/>
      </w:r>
      <w:r w:rsidRPr="004E4883">
        <w:t>Вопрос о внешней политической эффективности был включен в последние два раунда Обзора навыков взрослых ОЭСР (PIAAC), причем каждый раунд сбора данных включал разные страны: в 2008–2013 годах PIAAC охватывал 20 стран ОЭСР и 3 дочерние организации ОЭСР, а именно, Фландрия, Англия и Северная Ирландия и Российская Федерация; и в 2012-2016 годах PIAAC охватил еще 6 стран, а также Литву (страна, вступившая в ОЭСР).</w:t>
      </w:r>
    </w:p>
  </w:footnote>
  <w:footnote w:id="4">
    <w:p w:rsidR="005811A9" w:rsidRPr="004E4883" w:rsidRDefault="005811A9" w:rsidP="005811A9">
      <w:pPr>
        <w:pStyle w:val="a4"/>
      </w:pPr>
      <w:r>
        <w:rPr>
          <w:rStyle w:val="a6"/>
        </w:rPr>
        <w:footnoteRef/>
      </w:r>
      <w:r w:rsidRPr="004E4883">
        <w:t xml:space="preserve">См. </w:t>
      </w:r>
      <w:hyperlink r:id="rId1" w:history="1">
        <w:r w:rsidRPr="004E4883">
          <w:rPr>
            <w:rStyle w:val="ad"/>
          </w:rPr>
          <w:t>https://www.europeansocialsurvey.org/methodology/ess_methodology/source_questionnaire/</w:t>
        </w:r>
      </w:hyperlink>
    </w:p>
  </w:footnote>
  <w:footnote w:id="5">
    <w:p w:rsidR="005811A9" w:rsidRPr="004E4883" w:rsidRDefault="005811A9" w:rsidP="005811A9">
      <w:pPr>
        <w:pStyle w:val="a4"/>
      </w:pPr>
      <w:r w:rsidRPr="004E4883">
        <w:rPr>
          <w:rStyle w:val="a6"/>
        </w:rPr>
        <w:footnoteRef/>
      </w:r>
      <w:r w:rsidRPr="004E4883">
        <w:t>Европейское социальное обследование в 9 раунде (2018 г.) проводилось в Албании, Австрии, Бельгии, Болгарии, Кипре, Чехии, Дании, Эстонии, Финляндии, Франции, Германии, Венгрии, Исландии, Ирландии, Израиле, Италии, Латвии, Литве, Черногории, Нидерландах, Норвегии, Польше, Сербии, Словакии, Словении, Испании, Швеции, Швейцарии и Великобритании.</w:t>
      </w:r>
    </w:p>
  </w:footnote>
  <w:footnote w:id="6">
    <w:p w:rsidR="005811A9" w:rsidRPr="00C11557" w:rsidRDefault="005811A9" w:rsidP="005811A9">
      <w:pPr>
        <w:pStyle w:val="a4"/>
      </w:pPr>
      <w:r w:rsidRPr="00C11557">
        <w:footnoteRef/>
      </w:r>
      <w:r w:rsidRPr="00C11557">
        <w:t xml:space="preserve"> Всемирная ассоциация по исследованию ценностей задала первый вопрос о внешней политической эффективности, используемый ESS в следующих 15 странах: Андорра, Аргентина, Австралия, Бангладеш, Бразилия, Египет, Индонезия, Ирак, Казахстан, Иордания, Ливан, Малайзия, Нигерия, Пакистан Перу.</w:t>
      </w:r>
    </w:p>
  </w:footnote>
  <w:footnote w:id="7">
    <w:p w:rsidR="005811A9" w:rsidRPr="005811A9" w:rsidRDefault="005811A9" w:rsidP="005811A9">
      <w:pPr>
        <w:pStyle w:val="a4"/>
        <w:rPr>
          <w:lang w:val="en-US"/>
        </w:rPr>
      </w:pPr>
      <w:r>
        <w:rPr>
          <w:rStyle w:val="a6"/>
        </w:rPr>
        <w:footnoteRef/>
      </w:r>
      <w:r w:rsidRPr="00590629">
        <w:t>См</w:t>
      </w:r>
      <w:r w:rsidRPr="005811A9">
        <w:rPr>
          <w:lang w:val="en-US"/>
        </w:rPr>
        <w:t>. Holbrook, A. L., &amp;Krosnick, J. A. (2010). Social desirability bias in voter turnout reports tests using the</w:t>
      </w:r>
    </w:p>
    <w:p w:rsidR="005811A9" w:rsidRPr="005811A9" w:rsidRDefault="005811A9" w:rsidP="005811A9">
      <w:pPr>
        <w:pStyle w:val="a4"/>
        <w:rPr>
          <w:lang w:val="en-US"/>
        </w:rPr>
      </w:pPr>
      <w:r w:rsidRPr="005811A9">
        <w:rPr>
          <w:lang w:val="en-US"/>
        </w:rPr>
        <w:t>item count technique. Public Opinion Quarterly, 74 (1), 37{67}.</w:t>
      </w:r>
    </w:p>
  </w:footnote>
  <w:footnote w:id="8">
    <w:p w:rsidR="005811A9" w:rsidRPr="005811A9" w:rsidRDefault="005811A9" w:rsidP="005811A9">
      <w:pPr>
        <w:pStyle w:val="a4"/>
        <w:rPr>
          <w:lang w:val="en-US"/>
        </w:rPr>
      </w:pPr>
      <w:r>
        <w:rPr>
          <w:rStyle w:val="a6"/>
        </w:rPr>
        <w:footnoteRef/>
      </w:r>
      <w:r w:rsidRPr="00590629">
        <w:t>См</w:t>
      </w:r>
      <w:r w:rsidRPr="005811A9">
        <w:rPr>
          <w:lang w:val="en-US"/>
        </w:rPr>
        <w:t>. Kuklinski, J. H., Cobb, M. D., &amp;Gilens, M. (1997).Racial attitudes and the new south. The Journal of</w:t>
      </w:r>
    </w:p>
    <w:p w:rsidR="005811A9" w:rsidRPr="005811A9" w:rsidRDefault="005811A9" w:rsidP="005811A9">
      <w:pPr>
        <w:pStyle w:val="a4"/>
        <w:rPr>
          <w:lang w:val="en-US"/>
        </w:rPr>
      </w:pPr>
      <w:r w:rsidRPr="005811A9">
        <w:rPr>
          <w:lang w:val="en-US"/>
        </w:rPr>
        <w:t>Politics, 59 (02), 323{349}.</w:t>
      </w:r>
    </w:p>
  </w:footnote>
  <w:footnote w:id="9">
    <w:p w:rsidR="005811A9" w:rsidRPr="005811A9" w:rsidRDefault="005811A9" w:rsidP="005811A9">
      <w:pPr>
        <w:rPr>
          <w:rFonts w:ascii="Calibri" w:eastAsia="Times New Roman" w:hAnsi="Calibri"/>
          <w:sz w:val="20"/>
          <w:szCs w:val="20"/>
          <w:lang w:val="en-US"/>
        </w:rPr>
      </w:pPr>
      <w:r w:rsidRPr="000175CD">
        <w:rPr>
          <w:rFonts w:ascii="Calibri" w:eastAsia="Times New Roman" w:hAnsi="Calibri"/>
          <w:sz w:val="20"/>
          <w:szCs w:val="20"/>
        </w:rPr>
        <w:footnoteRef/>
      </w:r>
      <w:r w:rsidRPr="00C11557">
        <w:rPr>
          <w:rFonts w:eastAsia="Times New Roman"/>
          <w:sz w:val="20"/>
          <w:szCs w:val="20"/>
        </w:rPr>
        <w:t>См</w:t>
      </w:r>
      <w:r w:rsidRPr="005811A9">
        <w:rPr>
          <w:rFonts w:eastAsia="Times New Roman"/>
          <w:sz w:val="20"/>
          <w:szCs w:val="20"/>
          <w:lang w:val="en-US"/>
        </w:rPr>
        <w:t xml:space="preserve">. </w:t>
      </w:r>
      <w:hyperlink r:id="rId2" w:history="1">
        <w:r w:rsidRPr="005811A9">
          <w:rPr>
            <w:rStyle w:val="ad"/>
            <w:rFonts w:eastAsia="Times New Roman"/>
            <w:sz w:val="20"/>
            <w:szCs w:val="20"/>
            <w:lang w:val="en-US"/>
          </w:rPr>
          <w:t>https://www.un.org/development/desa/ageing/wp-content/uploads/sites/24/2018/03/Report-of-the-United-Kingdom-of-Great-Britain-and-Northern-Ireland-on-ageing-related-statistics-and-age-disaggregated-data.pdf</w:t>
        </w:r>
      </w:hyperlink>
    </w:p>
  </w:footnote>
  <w:footnote w:id="10">
    <w:p w:rsidR="005811A9" w:rsidRPr="0091648C" w:rsidRDefault="005811A9" w:rsidP="005811A9">
      <w:pPr>
        <w:pStyle w:val="a4"/>
      </w:pPr>
      <w:r>
        <w:rPr>
          <w:rStyle w:val="a6"/>
        </w:rPr>
        <w:footnoteRef/>
      </w:r>
      <w:r w:rsidRPr="0091648C">
        <w:t>Если этот показатель рассчитывается на основе существующего обследования, в котором используется нестандартная шкала ответов, пожалуйста, свяжитесь с ПРООН по адресу: sdg16indicators@undp.org для руководства по выявлению “положительных " ответов в нестандартных шкалах ответов.</w:t>
      </w:r>
    </w:p>
  </w:footnote>
  <w:footnote w:id="11">
    <w:p w:rsidR="002145FA" w:rsidRPr="003A0D28" w:rsidRDefault="002145FA" w:rsidP="002145FA">
      <w:pPr>
        <w:pStyle w:val="a4"/>
      </w:pPr>
      <w:r>
        <w:rPr>
          <w:rStyle w:val="a6"/>
        </w:rPr>
        <w:footnoteRef/>
      </w:r>
      <w:r w:rsidRPr="003A0D28">
        <w:rPr>
          <w:sz w:val="18"/>
          <w:szCs w:val="18"/>
        </w:rPr>
        <w:t>ESS был в первую очередь разработан как временной ряд, который мог бы отслеживать изменение взглядов и ценностей по всей Европе. По этой причине его вопросник включает базовый модуль, содержащий элементы, измеряющие диапазон тем, представляющих постоянный интерес для социальных наук, а также наиболее полный набор социально-структурных ("фоновых") переменных любого межнационального обследования. Точное количество элементов может меняться от раунда к раунду, но каждый вопрос имеет уникальное имя переменной, чтобы помочь пользователям работать с данными с течением времени.</w:t>
      </w:r>
    </w:p>
  </w:footnote>
  <w:footnote w:id="12">
    <w:p w:rsidR="002145FA" w:rsidRPr="003A0D28" w:rsidRDefault="002145FA" w:rsidP="002145FA">
      <w:pPr>
        <w:pStyle w:val="a4"/>
      </w:pPr>
      <w:r>
        <w:rPr>
          <w:rStyle w:val="a6"/>
        </w:rPr>
        <w:footnoteRef/>
      </w:r>
      <w:r w:rsidRPr="006339DA">
        <w:t>ESS</w:t>
      </w:r>
      <w:r w:rsidRPr="003A0D28">
        <w:t xml:space="preserve"> в рамках 9-го раунда (2018) был проведен в Албании, Австрии, Бельгии, Болгарии, Венгрии, Германии, Дании, Израиле, Ирландии, Исландии, Испании, Италии, Кипр</w:t>
      </w:r>
      <w:r>
        <w:t>е</w:t>
      </w:r>
      <w:r w:rsidRPr="003A0D28">
        <w:t>, Латвии, Литвы, Нидерланд</w:t>
      </w:r>
      <w:r>
        <w:t>ах</w:t>
      </w:r>
      <w:r w:rsidRPr="003A0D28">
        <w:t>, Норвегии, Польш</w:t>
      </w:r>
      <w:r>
        <w:t>е</w:t>
      </w:r>
      <w:r w:rsidRPr="003A0D28">
        <w:t>, Сербии, Словакии, Словении, Финляндии, Франции, Черногории, Чешской Республике, Швейцарии, Швеции, Эстонии и Великобритании</w:t>
      </w:r>
    </w:p>
  </w:footnote>
  <w:footnote w:id="13">
    <w:p w:rsidR="002145FA" w:rsidRPr="006339DA" w:rsidRDefault="002145FA" w:rsidP="002145FA">
      <w:pPr>
        <w:pStyle w:val="a4"/>
      </w:pPr>
      <w:r>
        <w:rPr>
          <w:rStyle w:val="a6"/>
        </w:rPr>
        <w:footnoteRef/>
      </w:r>
      <w:r w:rsidRPr="006339DA">
        <w:t xml:space="preserve">В 2008-2013 гг. (Раунд 1) PIAAC охватывал 20 стран ОЭСР плюс 3 </w:t>
      </w:r>
      <w:r>
        <w:t>«партнеров»</w:t>
      </w:r>
      <w:r w:rsidRPr="006339DA">
        <w:t xml:space="preserve"> ОЭСР, а именно: Фландрию, Англию и Северную Ирландию и Российскую Федерацию; в 2012-2016 гг. (раунд 2) PIAAC охватывал еще 6 стран, а также Литву (страна, вступающая в ОЭСР); в 2016-19 годах PIAAC охватывает Эквадор, Венгрию, Казахстан, Мексику, Перу и США.</w:t>
      </w:r>
    </w:p>
  </w:footnote>
  <w:footnote w:id="14">
    <w:p w:rsidR="002145FA" w:rsidRPr="00782220" w:rsidRDefault="002145FA" w:rsidP="002145FA">
      <w:pPr>
        <w:pStyle w:val="a4"/>
      </w:pPr>
      <w:r>
        <w:rPr>
          <w:rStyle w:val="a6"/>
        </w:rPr>
        <w:footnoteRef/>
      </w:r>
      <w:r w:rsidRPr="00782220">
        <w:t>Генеральная Ассамблея Организации Объединенных Наций, Конвенция о правах инвалидов: резолюция / принята Генеральной Ассамблеей 24 января 2007 года, A/RES/61/106, имеется по адресу: http://www.refworld.org/docid/45f973632.html</w:t>
      </w:r>
    </w:p>
  </w:footnote>
  <w:footnote w:id="15">
    <w:p w:rsidR="002145FA" w:rsidRPr="002145FA" w:rsidRDefault="002145FA" w:rsidP="002145FA">
      <w:pPr>
        <w:pStyle w:val="a4"/>
        <w:rPr>
          <w:lang w:val="en-US"/>
        </w:rPr>
      </w:pPr>
      <w:r>
        <w:rPr>
          <w:rStyle w:val="a6"/>
        </w:rPr>
        <w:footnoteRef/>
      </w:r>
      <w:r w:rsidRPr="002145FA">
        <w:rPr>
          <w:lang w:val="en-US"/>
        </w:rPr>
        <w:t>Francesco Capotorti, Special Rapporteur of the United Nations Sub-Commission on Prevention of Discrimination and Protection of Minorities (1977).</w:t>
      </w:r>
    </w:p>
  </w:footnote>
  <w:footnote w:id="16">
    <w:p w:rsidR="002145FA" w:rsidRPr="002145FA" w:rsidRDefault="002145FA" w:rsidP="002145FA">
      <w:pPr>
        <w:pStyle w:val="a4"/>
        <w:rPr>
          <w:lang w:val="en-US"/>
        </w:rPr>
      </w:pPr>
      <w:r>
        <w:rPr>
          <w:rStyle w:val="a6"/>
        </w:rPr>
        <w:footnoteRef/>
      </w:r>
      <w:r w:rsidRPr="002145FA">
        <w:rPr>
          <w:lang w:val="en-US"/>
        </w:rPr>
        <w:t>UN Office of the High Commissioner for Human Rights (OHCHR), Minority Rights: International Standards and Guidance for Implementation, 2010, HR/PUB/10/3, &lt;http://www.refworld.org/docid/4db80ca52.html&gt;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8D1" w:rsidRPr="00087B96" w:rsidRDefault="009508D1" w:rsidP="009508D1">
    <w:pPr>
      <w:pStyle w:val="af"/>
      <w:jc w:val="right"/>
      <w:rPr>
        <w:i/>
      </w:rPr>
    </w:pPr>
    <w:r w:rsidRPr="00087B96">
      <w:rPr>
        <w:i/>
      </w:rPr>
      <w:t xml:space="preserve">Неофициальный перевод </w:t>
    </w:r>
  </w:p>
  <w:p w:rsidR="009508D1" w:rsidRPr="00087B96" w:rsidRDefault="009508D1" w:rsidP="009508D1">
    <w:pPr>
      <w:pStyle w:val="af"/>
      <w:jc w:val="right"/>
    </w:pPr>
    <w:r w:rsidRPr="00087B96">
      <w:t xml:space="preserve">Последнее обновление: </w:t>
    </w:r>
    <w:r w:rsidR="009D4322">
      <w:t xml:space="preserve">август </w:t>
    </w:r>
    <w:r w:rsidR="00781DE7" w:rsidRPr="00087B96">
      <w:t>2022</w:t>
    </w:r>
  </w:p>
  <w:p w:rsidR="009508D1" w:rsidRDefault="009508D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8B1773"/>
    <w:multiLevelType w:val="hybridMultilevel"/>
    <w:tmpl w:val="9684B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420CD6"/>
    <w:multiLevelType w:val="hybridMultilevel"/>
    <w:tmpl w:val="25E2BBF6"/>
    <w:lvl w:ilvl="0" w:tplc="18F6E93C">
      <w:start w:val="1"/>
      <w:numFmt w:val="decimal"/>
      <w:lvlText w:val="(%1)"/>
      <w:lvlJc w:val="left"/>
      <w:pPr>
        <w:ind w:left="1080" w:hanging="360"/>
      </w:pPr>
      <w:rPr>
        <w:rFonts w:ascii="Calibri" w:hAnsi="Calibri" w:hint="default"/>
        <w:b/>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521B58"/>
    <w:multiLevelType w:val="hybridMultilevel"/>
    <w:tmpl w:val="83224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5538A0"/>
    <w:multiLevelType w:val="multilevel"/>
    <w:tmpl w:val="08AE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EF24B5"/>
    <w:multiLevelType w:val="multilevel"/>
    <w:tmpl w:val="C49E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2F6F60"/>
    <w:multiLevelType w:val="multilevel"/>
    <w:tmpl w:val="2A74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D501FC"/>
    <w:multiLevelType w:val="hybridMultilevel"/>
    <w:tmpl w:val="3F8408C0"/>
    <w:lvl w:ilvl="0" w:tplc="EF38CEB2">
      <w:start w:val="1"/>
      <w:numFmt w:val="decimal"/>
      <w:lvlText w:val="%1."/>
      <w:lvlJc w:val="left"/>
      <w:pPr>
        <w:ind w:left="720" w:hanging="360"/>
      </w:pPr>
      <w:rPr>
        <w:rFonts w:ascii="Calibri" w:hAnsi="Calibri"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6112AB"/>
    <w:multiLevelType w:val="hybridMultilevel"/>
    <w:tmpl w:val="25E2BBF6"/>
    <w:lvl w:ilvl="0" w:tplc="18F6E93C">
      <w:start w:val="1"/>
      <w:numFmt w:val="decimal"/>
      <w:lvlText w:val="(%1)"/>
      <w:lvlJc w:val="left"/>
      <w:pPr>
        <w:ind w:left="1080" w:hanging="360"/>
      </w:pPr>
      <w:rPr>
        <w:rFonts w:ascii="Calibri" w:hAnsi="Calibri" w:hint="default"/>
        <w:b/>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C04666"/>
    <w:multiLevelType w:val="multilevel"/>
    <w:tmpl w:val="1806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98023C"/>
    <w:multiLevelType w:val="multilevel"/>
    <w:tmpl w:val="CC7C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7C125E8"/>
    <w:multiLevelType w:val="multilevel"/>
    <w:tmpl w:val="1952A3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C1E7E9E"/>
    <w:multiLevelType w:val="hybridMultilevel"/>
    <w:tmpl w:val="9CD65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A80564"/>
    <w:multiLevelType w:val="multilevel"/>
    <w:tmpl w:val="F36E6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74082933"/>
    <w:multiLevelType w:val="multilevel"/>
    <w:tmpl w:val="A51E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69C14FC"/>
    <w:multiLevelType w:val="hybridMultilevel"/>
    <w:tmpl w:val="25E2BBF6"/>
    <w:lvl w:ilvl="0" w:tplc="18F6E93C">
      <w:start w:val="1"/>
      <w:numFmt w:val="decimal"/>
      <w:lvlText w:val="(%1)"/>
      <w:lvlJc w:val="left"/>
      <w:pPr>
        <w:ind w:left="1080" w:hanging="360"/>
      </w:pPr>
      <w:rPr>
        <w:rFonts w:ascii="Calibri" w:hAnsi="Calibri" w:hint="default"/>
        <w:b/>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2"/>
  </w:num>
  <w:num w:numId="3">
    <w:abstractNumId w:val="7"/>
  </w:num>
  <w:num w:numId="4">
    <w:abstractNumId w:val="11"/>
  </w:num>
  <w:num w:numId="5">
    <w:abstractNumId w:val="14"/>
  </w:num>
  <w:num w:numId="6">
    <w:abstractNumId w:val="13"/>
  </w:num>
  <w:num w:numId="7">
    <w:abstractNumId w:val="18"/>
  </w:num>
  <w:num w:numId="8">
    <w:abstractNumId w:val="3"/>
  </w:num>
  <w:num w:numId="9">
    <w:abstractNumId w:val="4"/>
  </w:num>
  <w:num w:numId="10">
    <w:abstractNumId w:val="16"/>
  </w:num>
  <w:num w:numId="11">
    <w:abstractNumId w:val="6"/>
  </w:num>
  <w:num w:numId="12">
    <w:abstractNumId w:val="15"/>
  </w:num>
  <w:num w:numId="13">
    <w:abstractNumId w:val="8"/>
  </w:num>
  <w:num w:numId="14">
    <w:abstractNumId w:val="9"/>
  </w:num>
  <w:num w:numId="15">
    <w:abstractNumId w:val="10"/>
  </w:num>
  <w:num w:numId="16">
    <w:abstractNumId w:val="5"/>
  </w:num>
  <w:num w:numId="17">
    <w:abstractNumId w:val="17"/>
  </w:num>
  <w:num w:numId="18">
    <w:abstractNumId w:val="2"/>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618FC"/>
    <w:rsid w:val="00004BE3"/>
    <w:rsid w:val="00040034"/>
    <w:rsid w:val="000476F9"/>
    <w:rsid w:val="00053D20"/>
    <w:rsid w:val="0007779B"/>
    <w:rsid w:val="00087B96"/>
    <w:rsid w:val="000A210D"/>
    <w:rsid w:val="000A229E"/>
    <w:rsid w:val="000C0B35"/>
    <w:rsid w:val="000C5EF5"/>
    <w:rsid w:val="000F3B83"/>
    <w:rsid w:val="00107A08"/>
    <w:rsid w:val="00116248"/>
    <w:rsid w:val="00117EC5"/>
    <w:rsid w:val="001470A2"/>
    <w:rsid w:val="00147D8F"/>
    <w:rsid w:val="001612F6"/>
    <w:rsid w:val="00165896"/>
    <w:rsid w:val="001762D0"/>
    <w:rsid w:val="0018353F"/>
    <w:rsid w:val="001A163A"/>
    <w:rsid w:val="001C1262"/>
    <w:rsid w:val="001C4663"/>
    <w:rsid w:val="001E2FC9"/>
    <w:rsid w:val="002064C4"/>
    <w:rsid w:val="002145FA"/>
    <w:rsid w:val="002306F8"/>
    <w:rsid w:val="002652D0"/>
    <w:rsid w:val="002775CF"/>
    <w:rsid w:val="00291FA0"/>
    <w:rsid w:val="002C7BF9"/>
    <w:rsid w:val="002E122C"/>
    <w:rsid w:val="002E15F9"/>
    <w:rsid w:val="002E3811"/>
    <w:rsid w:val="002F63E5"/>
    <w:rsid w:val="00303D71"/>
    <w:rsid w:val="003143BC"/>
    <w:rsid w:val="00320C65"/>
    <w:rsid w:val="00322B59"/>
    <w:rsid w:val="003641E2"/>
    <w:rsid w:val="003746BC"/>
    <w:rsid w:val="003859BD"/>
    <w:rsid w:val="003A325C"/>
    <w:rsid w:val="003D33FA"/>
    <w:rsid w:val="003D4E7D"/>
    <w:rsid w:val="003D58DC"/>
    <w:rsid w:val="003D7A38"/>
    <w:rsid w:val="00407AF0"/>
    <w:rsid w:val="00407E4E"/>
    <w:rsid w:val="004143B4"/>
    <w:rsid w:val="00421928"/>
    <w:rsid w:val="004344AC"/>
    <w:rsid w:val="00456E71"/>
    <w:rsid w:val="00467B9B"/>
    <w:rsid w:val="004D2413"/>
    <w:rsid w:val="004E087E"/>
    <w:rsid w:val="005016B8"/>
    <w:rsid w:val="00503B4A"/>
    <w:rsid w:val="00504837"/>
    <w:rsid w:val="00532D98"/>
    <w:rsid w:val="005811A9"/>
    <w:rsid w:val="00587D0B"/>
    <w:rsid w:val="005B334E"/>
    <w:rsid w:val="005C6119"/>
    <w:rsid w:val="005E47BD"/>
    <w:rsid w:val="005F2C0B"/>
    <w:rsid w:val="00655F55"/>
    <w:rsid w:val="006704C2"/>
    <w:rsid w:val="00682107"/>
    <w:rsid w:val="00690B09"/>
    <w:rsid w:val="00691C96"/>
    <w:rsid w:val="00694160"/>
    <w:rsid w:val="006B260E"/>
    <w:rsid w:val="006B3939"/>
    <w:rsid w:val="006C43F8"/>
    <w:rsid w:val="006D5488"/>
    <w:rsid w:val="006D7049"/>
    <w:rsid w:val="00702333"/>
    <w:rsid w:val="00705161"/>
    <w:rsid w:val="00724018"/>
    <w:rsid w:val="00741A39"/>
    <w:rsid w:val="0075371E"/>
    <w:rsid w:val="00753F18"/>
    <w:rsid w:val="00780F08"/>
    <w:rsid w:val="00781DE7"/>
    <w:rsid w:val="007B07B2"/>
    <w:rsid w:val="007B0CFD"/>
    <w:rsid w:val="007B32CE"/>
    <w:rsid w:val="007C27E0"/>
    <w:rsid w:val="007D1185"/>
    <w:rsid w:val="007D1FD7"/>
    <w:rsid w:val="007F06DF"/>
    <w:rsid w:val="008138AD"/>
    <w:rsid w:val="00836F3E"/>
    <w:rsid w:val="00853C09"/>
    <w:rsid w:val="00864C1A"/>
    <w:rsid w:val="0092739E"/>
    <w:rsid w:val="009508D1"/>
    <w:rsid w:val="00957A62"/>
    <w:rsid w:val="00963238"/>
    <w:rsid w:val="009655B4"/>
    <w:rsid w:val="009737AE"/>
    <w:rsid w:val="00980F79"/>
    <w:rsid w:val="00982FE8"/>
    <w:rsid w:val="009B6F83"/>
    <w:rsid w:val="009C064B"/>
    <w:rsid w:val="009D4322"/>
    <w:rsid w:val="009F43A6"/>
    <w:rsid w:val="00A110F9"/>
    <w:rsid w:val="00A30D97"/>
    <w:rsid w:val="00A53D4B"/>
    <w:rsid w:val="00A618FC"/>
    <w:rsid w:val="00A703D7"/>
    <w:rsid w:val="00A71EC6"/>
    <w:rsid w:val="00A82CD3"/>
    <w:rsid w:val="00A91FDE"/>
    <w:rsid w:val="00AC1A97"/>
    <w:rsid w:val="00B0378B"/>
    <w:rsid w:val="00B06B4E"/>
    <w:rsid w:val="00B518DC"/>
    <w:rsid w:val="00B619DB"/>
    <w:rsid w:val="00B72F77"/>
    <w:rsid w:val="00BA0FA2"/>
    <w:rsid w:val="00BD29EC"/>
    <w:rsid w:val="00BE2C5D"/>
    <w:rsid w:val="00BE415C"/>
    <w:rsid w:val="00C24BA9"/>
    <w:rsid w:val="00C47A4A"/>
    <w:rsid w:val="00C515AF"/>
    <w:rsid w:val="00C8596F"/>
    <w:rsid w:val="00C90708"/>
    <w:rsid w:val="00C95AB2"/>
    <w:rsid w:val="00CA1CB1"/>
    <w:rsid w:val="00CA53CA"/>
    <w:rsid w:val="00D05466"/>
    <w:rsid w:val="00D2619D"/>
    <w:rsid w:val="00DA19D7"/>
    <w:rsid w:val="00DC18AA"/>
    <w:rsid w:val="00E123F7"/>
    <w:rsid w:val="00E21B43"/>
    <w:rsid w:val="00E27922"/>
    <w:rsid w:val="00E33CA8"/>
    <w:rsid w:val="00E559F9"/>
    <w:rsid w:val="00E90BD4"/>
    <w:rsid w:val="00EA206F"/>
    <w:rsid w:val="00EB362A"/>
    <w:rsid w:val="00EB389E"/>
    <w:rsid w:val="00EC3BDB"/>
    <w:rsid w:val="00EE0900"/>
    <w:rsid w:val="00F173F5"/>
    <w:rsid w:val="00F374BA"/>
    <w:rsid w:val="00F53A75"/>
    <w:rsid w:val="00F5412C"/>
    <w:rsid w:val="00F6371F"/>
    <w:rsid w:val="00F73DBC"/>
    <w:rsid w:val="00F84FF1"/>
    <w:rsid w:val="00F85991"/>
    <w:rsid w:val="00F92D6F"/>
    <w:rsid w:val="00FB66D9"/>
    <w:rsid w:val="00FC5800"/>
    <w:rsid w:val="00FE3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spacing w:after="200" w:line="276" w:lineRule="auto"/>
      <w:jc w:val="both"/>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a4">
    <w:name w:val="footnote text"/>
    <w:aliases w:val="5_G"/>
    <w:basedOn w:val="a"/>
    <w:link w:val="a5"/>
    <w:uiPriority w:val="99"/>
    <w:unhideWhenUsed/>
    <w:rsid w:val="00F73DBC"/>
    <w:pPr>
      <w:spacing w:after="0" w:line="240" w:lineRule="auto"/>
    </w:pPr>
    <w:rPr>
      <w:sz w:val="20"/>
      <w:szCs w:val="20"/>
    </w:rPr>
  </w:style>
  <w:style w:type="character" w:customStyle="1" w:styleId="a5">
    <w:name w:val="Текст сноски Знак"/>
    <w:aliases w:val="5_G Знак"/>
    <w:basedOn w:val="a0"/>
    <w:link w:val="a4"/>
    <w:uiPriority w:val="99"/>
    <w:rsid w:val="00F73DBC"/>
    <w:rPr>
      <w:sz w:val="20"/>
      <w:szCs w:val="20"/>
    </w:rPr>
  </w:style>
  <w:style w:type="character" w:styleId="a6">
    <w:name w:val="footnote reference"/>
    <w:aliases w:val="4_G"/>
    <w:basedOn w:val="a0"/>
    <w:uiPriority w:val="99"/>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39"/>
    <w:rsid w:val="00D05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aliases w:val="Dot pt,F5 List Paragraph,List Paragraph1,No Spacing1,List Paragraph Char Char Char,Indicator Text,Colorful List - Accent 11,Numbered Para 1,Bullet 1,Bullet Points,List Paragraph2,MAIN CONTENT,Normal numbered,3,Issue Action POC,Bullet List"/>
    <w:basedOn w:val="a"/>
    <w:link w:val="ac"/>
    <w:uiPriority w:val="34"/>
    <w:qFormat/>
    <w:rsid w:val="007B0CFD"/>
    <w:pPr>
      <w:ind w:left="720"/>
      <w:contextualSpacing/>
    </w:pPr>
  </w:style>
  <w:style w:type="character" w:styleId="ad">
    <w:name w:val="Hyperlink"/>
    <w:basedOn w:val="a0"/>
    <w:uiPriority w:val="99"/>
    <w:unhideWhenUsed/>
    <w:rsid w:val="00EB389E"/>
    <w:rPr>
      <w:color w:val="0000FF"/>
      <w:u w:val="single"/>
    </w:rPr>
  </w:style>
  <w:style w:type="table" w:customStyle="1" w:styleId="ae">
    <w:name w:val="Light Shading"/>
    <w:basedOn w:val="a1"/>
    <w:uiPriority w:val="60"/>
    <w:rsid w:val="000A21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508D1"/>
  </w:style>
  <w:style w:type="paragraph" w:styleId="af3">
    <w:name w:val="annotation text"/>
    <w:basedOn w:val="a"/>
    <w:link w:val="af4"/>
    <w:uiPriority w:val="99"/>
    <w:unhideWhenUsed/>
    <w:rsid w:val="00A91FDE"/>
    <w:pPr>
      <w:spacing w:line="240" w:lineRule="auto"/>
    </w:pPr>
    <w:rPr>
      <w:rFonts w:eastAsia="Times New Roman"/>
      <w:sz w:val="20"/>
      <w:szCs w:val="20"/>
      <w:lang w:val="en-GB" w:eastAsia="zh-CN"/>
    </w:rPr>
  </w:style>
  <w:style w:type="character" w:customStyle="1" w:styleId="af4">
    <w:name w:val="Текст примечания Знак"/>
    <w:basedOn w:val="a0"/>
    <w:link w:val="af3"/>
    <w:uiPriority w:val="99"/>
    <w:rsid w:val="00A91FDE"/>
    <w:rPr>
      <w:rFonts w:eastAsia="Times New Roman"/>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rPr>
      <w:rFonts w:eastAsia="Times New Roman"/>
      <w:lang w:val="en-GB" w:eastAsia="zh-C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pPr>
    <w:rPr>
      <w:rFonts w:cs="Calibri"/>
      <w:color w:val="000000"/>
      <w:sz w:val="24"/>
      <w:szCs w:val="24"/>
      <w:lang w:eastAsia="en-US"/>
    </w:rPr>
  </w:style>
  <w:style w:type="paragraph" w:styleId="af5">
    <w:name w:val="No Spacing"/>
    <w:uiPriority w:val="1"/>
    <w:qFormat/>
    <w:rsid w:val="00724018"/>
    <w:pPr>
      <w:jc w:val="both"/>
    </w:pPr>
    <w:rPr>
      <w:rFonts w:ascii="Times New Roman" w:hAnsi="Times New Roman"/>
      <w:sz w:val="24"/>
      <w:szCs w:val="22"/>
      <w:lang w:eastAsia="en-US"/>
    </w:rPr>
  </w:style>
  <w:style w:type="character" w:styleId="af6">
    <w:name w:val="Emphasis"/>
    <w:basedOn w:val="a0"/>
    <w:uiPriority w:val="20"/>
    <w:qFormat/>
    <w:rsid w:val="005811A9"/>
    <w:rPr>
      <w:i/>
      <w:iCs/>
    </w:rPr>
  </w:style>
  <w:style w:type="character" w:customStyle="1" w:styleId="ac">
    <w:name w:val="Абзац списка Знак"/>
    <w:aliases w:val="Dot pt Знак,F5 List Paragraph Знак,List Paragraph1 Знак,No Spacing1 Знак,List Paragraph Char Char Char Знак,Indicator Text Знак,Colorful List - Accent 11 Знак,Numbered Para 1 Знак,Bullet 1 Знак,Bullet Points Знак,List Paragraph2 Знак"/>
    <w:basedOn w:val="a0"/>
    <w:link w:val="ab"/>
    <w:uiPriority w:val="34"/>
    <w:locked/>
    <w:rsid w:val="005811A9"/>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oecd-ilibrary.org/economics/how-s-life-2017/governance-and-well-being_how_life-2017-8-en" TargetMode="External"/><Relationship Id="rId13" Type="http://schemas.openxmlformats.org/officeDocument/2006/relationships/hyperlink" Target="http://www.oecd.org/skills/piaa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eansocialsurvey.org/data/themes.html?t=politi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late.google.com/translate?hl=ru&amp;prev=_t&amp;sl=en&amp;tl=ru&amp;u=https://unstats.un.org/unsd/accsub-public/Principles_stat_activities/Ltr-CoChairs-Principle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ashingtongroup-disability.com/washington-group-question-sets/short-set-of-disability-questions/" TargetMode="External"/><Relationship Id="rId4" Type="http://schemas.openxmlformats.org/officeDocument/2006/relationships/settings" Target="settings.xml"/><Relationship Id="rId9" Type="http://schemas.openxmlformats.org/officeDocument/2006/relationships/hyperlink" Target="http://www.worldvaluessurvey.org/WVSContents.jsp" TargetMode="External"/><Relationship Id="rId14" Type="http://schemas.openxmlformats.org/officeDocument/2006/relationships/hyperlink" Target="https://translate.google.com/translate?hl=ru&amp;prev=_t&amp;sl=en&amp;tl=ru&amp;u=http://www.washingtongroup-disability.com/washington-group-question-sets/short-set-of-disability-question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n.org/development/desa/ageing/wp-content/uploads/sites/24/2018/03/Report-of-the-United-Kingdom-of-Great-Britain-and-Northern-Ireland-on-ageing-related-statistics-and-age-disaggregated-data.pdf" TargetMode="External"/><Relationship Id="rId1" Type="http://schemas.openxmlformats.org/officeDocument/2006/relationships/hyperlink" Target="https://www.europeansocialsurvey.org/methodology/ess_methodology/source_questionnai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88A1E-A370-4EC3-9712-1FC32B12B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6193</Words>
  <Characters>35303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41414</CharactersWithSpaces>
  <SharedDoc>false</SharedDoc>
  <HLinks>
    <vt:vector size="54" baseType="variant">
      <vt:variant>
        <vt:i4>7012440</vt:i4>
      </vt:variant>
      <vt:variant>
        <vt:i4>18</vt:i4>
      </vt:variant>
      <vt:variant>
        <vt:i4>0</vt:i4>
      </vt:variant>
      <vt:variant>
        <vt:i4>5</vt:i4>
      </vt:variant>
      <vt:variant>
        <vt:lpwstr>https://translate.google.com/translate?hl=ru&amp;prev=_t&amp;sl=en&amp;tl=ru&amp;u=http://www.washingtongroup-disability.com/washington-group-question-sets/short-set-of-disability-questions/</vt:lpwstr>
      </vt:variant>
      <vt:variant>
        <vt:lpwstr/>
      </vt:variant>
      <vt:variant>
        <vt:i4>5373960</vt:i4>
      </vt:variant>
      <vt:variant>
        <vt:i4>15</vt:i4>
      </vt:variant>
      <vt:variant>
        <vt:i4>0</vt:i4>
      </vt:variant>
      <vt:variant>
        <vt:i4>5</vt:i4>
      </vt:variant>
      <vt:variant>
        <vt:lpwstr>http://www.oecd.org/skills/piaac/</vt:lpwstr>
      </vt:variant>
      <vt:variant>
        <vt:lpwstr/>
      </vt:variant>
      <vt:variant>
        <vt:i4>7733368</vt:i4>
      </vt:variant>
      <vt:variant>
        <vt:i4>12</vt:i4>
      </vt:variant>
      <vt:variant>
        <vt:i4>0</vt:i4>
      </vt:variant>
      <vt:variant>
        <vt:i4>5</vt:i4>
      </vt:variant>
      <vt:variant>
        <vt:lpwstr>http://www.europeansocialsurvey.org/data/themes.html?t=politics</vt:lpwstr>
      </vt:variant>
      <vt:variant>
        <vt:lpwstr/>
      </vt:variant>
      <vt:variant>
        <vt:i4>5963808</vt:i4>
      </vt:variant>
      <vt:variant>
        <vt:i4>9</vt:i4>
      </vt:variant>
      <vt:variant>
        <vt:i4>0</vt:i4>
      </vt:variant>
      <vt:variant>
        <vt:i4>5</vt:i4>
      </vt:variant>
      <vt:variant>
        <vt:lpwstr>https://translate.google.com/translate?hl=ru&amp;prev=_t&amp;sl=en&amp;tl=ru&amp;u=https://unstats.un.org/unsd/accsub-public/Principles_stat_activities/Ltr-CoChairs-Principles.pdf</vt:lpwstr>
      </vt:variant>
      <vt:variant>
        <vt:lpwstr/>
      </vt:variant>
      <vt:variant>
        <vt:i4>2359403</vt:i4>
      </vt:variant>
      <vt:variant>
        <vt:i4>6</vt:i4>
      </vt:variant>
      <vt:variant>
        <vt:i4>0</vt:i4>
      </vt:variant>
      <vt:variant>
        <vt:i4>5</vt:i4>
      </vt:variant>
      <vt:variant>
        <vt:lpwstr>http://www.washingtongroup-disability.com/washington-group-question-sets/short-set-of-disability-questions/</vt:lpwstr>
      </vt:variant>
      <vt:variant>
        <vt:lpwstr/>
      </vt:variant>
      <vt:variant>
        <vt:i4>4653068</vt:i4>
      </vt:variant>
      <vt:variant>
        <vt:i4>3</vt:i4>
      </vt:variant>
      <vt:variant>
        <vt:i4>0</vt:i4>
      </vt:variant>
      <vt:variant>
        <vt:i4>5</vt:i4>
      </vt:variant>
      <vt:variant>
        <vt:lpwstr>http://www.worldvaluessurvey.org/WVSContents.jsp</vt:lpwstr>
      </vt:variant>
      <vt:variant>
        <vt:lpwstr/>
      </vt:variant>
      <vt:variant>
        <vt:i4>2490494</vt:i4>
      </vt:variant>
      <vt:variant>
        <vt:i4>0</vt:i4>
      </vt:variant>
      <vt:variant>
        <vt:i4>0</vt:i4>
      </vt:variant>
      <vt:variant>
        <vt:i4>5</vt:i4>
      </vt:variant>
      <vt:variant>
        <vt:lpwstr>https://read.oecd-ilibrary.org/economics/how-s-life-2017/governance-and-well-being_how_life-2017-8-en</vt:lpwstr>
      </vt:variant>
      <vt:variant>
        <vt:lpwstr>page26</vt:lpwstr>
      </vt:variant>
      <vt:variant>
        <vt:i4>4915212</vt:i4>
      </vt:variant>
      <vt:variant>
        <vt:i4>3</vt:i4>
      </vt:variant>
      <vt:variant>
        <vt:i4>0</vt:i4>
      </vt:variant>
      <vt:variant>
        <vt:i4>5</vt:i4>
      </vt:variant>
      <vt:variant>
        <vt:lpwstr>https://www.un.org/development/desa/ageing/wp-content/uploads/sites/24/2018/03/Report-of-the-United-Kingdom-of-Great-Britain-and-Northern-Ireland-on-ageing-related-statistics-and-age-disaggregated-data.pdf</vt:lpwstr>
      </vt:variant>
      <vt:variant>
        <vt:lpwstr/>
      </vt:variant>
      <vt:variant>
        <vt:i4>5242905</vt:i4>
      </vt:variant>
      <vt:variant>
        <vt:i4>0</vt:i4>
      </vt:variant>
      <vt:variant>
        <vt:i4>0</vt:i4>
      </vt:variant>
      <vt:variant>
        <vt:i4>5</vt:i4>
      </vt:variant>
      <vt:variant>
        <vt:lpwstr>https://www.europeansocialsurvey.org/methodology/ess_methodology/source_questionnaire/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a.abraeva</cp:lastModifiedBy>
  <cp:revision>2</cp:revision>
  <dcterms:created xsi:type="dcterms:W3CDTF">2023-02-02T04:41:00Z</dcterms:created>
  <dcterms:modified xsi:type="dcterms:W3CDTF">2023-02-02T04:41:00Z</dcterms:modified>
</cp:coreProperties>
</file>