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Цель 17. Укрепление средств осуществления и активизация работы в рамках Глобального партнерства в интересах устойчивого развития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 xml:space="preserve">17.1. Усилить мобилизацию ресурсов из внутренних источников, в том числе благодаря международной поддержке развивающихся стран, с </w:t>
      </w:r>
      <w:proofErr w:type="gramStart"/>
      <w:r w:rsidRPr="00832921">
        <w:rPr>
          <w:rFonts w:ascii="Times New Roman" w:hAnsi="Times New Roman" w:cs="Times New Roman"/>
          <w:b/>
          <w:sz w:val="24"/>
        </w:rPr>
        <w:t>тем</w:t>
      </w:r>
      <w:proofErr w:type="gramEnd"/>
      <w:r w:rsidRPr="00832921">
        <w:rPr>
          <w:rFonts w:ascii="Times New Roman" w:hAnsi="Times New Roman" w:cs="Times New Roman"/>
          <w:b/>
          <w:sz w:val="24"/>
        </w:rPr>
        <w:t xml:space="preserve"> чтобы повысить национальные возможности по сбору налогов и других доходов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17.1.2. Доля национального бюджета, финансируемая внутренними налогами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Организаци</w:t>
      </w:r>
      <w:proofErr w:type="gramStart"/>
      <w:r w:rsidRPr="00832921">
        <w:rPr>
          <w:rFonts w:ascii="Times New Roman" w:hAnsi="Times New Roman" w:cs="Times New Roman"/>
          <w:b/>
          <w:sz w:val="24"/>
        </w:rPr>
        <w:t>я(</w:t>
      </w:r>
      <w:proofErr w:type="gramEnd"/>
      <w:r w:rsidRPr="00832921">
        <w:rPr>
          <w:rFonts w:ascii="Times New Roman" w:hAnsi="Times New Roman" w:cs="Times New Roman"/>
          <w:b/>
          <w:sz w:val="24"/>
        </w:rPr>
        <w:t>и):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МВФ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Цели и задачи: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Этот показатель является многоцелевым индикатором, в котором рассматриваются две цели устойчивого развития (ЦУРЫ):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Задача 17.1</w:t>
      </w:r>
      <w:r w:rsidR="00540B3C">
        <w:rPr>
          <w:rFonts w:ascii="Times New Roman" w:hAnsi="Times New Roman" w:cs="Times New Roman"/>
          <w:sz w:val="24"/>
        </w:rPr>
        <w:t>.</w:t>
      </w:r>
      <w:r w:rsidRPr="00832921">
        <w:rPr>
          <w:rFonts w:ascii="Times New Roman" w:hAnsi="Times New Roman" w:cs="Times New Roman"/>
          <w:sz w:val="24"/>
        </w:rPr>
        <w:t xml:space="preserve"> Усилить мобилизацию внутренних ресурсов, в том числе путем международной поддержки развивающимся странам, улучшить внутренний потенциал для сбора налогов и других сборов.</w:t>
      </w:r>
    </w:p>
    <w:p w:rsidR="00A41EEB" w:rsidRPr="00832921" w:rsidRDefault="006C12AD" w:rsidP="00A41E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Взаимосвязанная</w:t>
      </w:r>
      <w:r w:rsidR="00A41EEB" w:rsidRPr="008329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цель 16: </w:t>
      </w:r>
      <w:r w:rsidRPr="006C12AD">
        <w:rPr>
          <w:rFonts w:ascii="Times New Roman" w:hAnsi="Times New Roman" w:cs="Times New Roman"/>
          <w:sz w:val="24"/>
        </w:rPr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="00A41EEB" w:rsidRPr="0083292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в</w:t>
      </w:r>
      <w:r w:rsidR="00A41EEB" w:rsidRPr="00832921">
        <w:rPr>
          <w:rFonts w:ascii="Times New Roman" w:hAnsi="Times New Roman" w:cs="Times New Roman"/>
          <w:sz w:val="24"/>
        </w:rPr>
        <w:t xml:space="preserve"> частности, роль налогового администрирования в соответствии с </w:t>
      </w:r>
      <w:r>
        <w:rPr>
          <w:rFonts w:ascii="Times New Roman" w:hAnsi="Times New Roman" w:cs="Times New Roman"/>
          <w:sz w:val="24"/>
        </w:rPr>
        <w:t xml:space="preserve">задачей </w:t>
      </w:r>
      <w:r w:rsidR="00A41EEB" w:rsidRPr="00832921">
        <w:rPr>
          <w:rFonts w:ascii="Times New Roman" w:hAnsi="Times New Roman" w:cs="Times New Roman"/>
          <w:sz w:val="24"/>
        </w:rPr>
        <w:t>16.6.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Определение и метод вычисления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Определение</w:t>
      </w:r>
    </w:p>
    <w:p w:rsidR="00A41EEB" w:rsidRPr="00832921" w:rsidRDefault="005B1041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Налого</w:t>
      </w:r>
      <w:r w:rsidR="00294BA5">
        <w:rPr>
          <w:rFonts w:ascii="Times New Roman" w:hAnsi="Times New Roman" w:cs="Times New Roman"/>
          <w:sz w:val="24"/>
        </w:rPr>
        <w:t>вая нагрузка</w:t>
      </w:r>
      <w:r w:rsidR="00A41EEB" w:rsidRPr="00832921">
        <w:rPr>
          <w:rFonts w:ascii="Times New Roman" w:hAnsi="Times New Roman" w:cs="Times New Roman"/>
          <w:sz w:val="24"/>
        </w:rPr>
        <w:t>: доход в виде налогов, определенный в соответствии с кодом статистики государственных финансов (СГ</w:t>
      </w:r>
      <w:r w:rsidR="007C5A20">
        <w:rPr>
          <w:rFonts w:ascii="Times New Roman" w:hAnsi="Times New Roman" w:cs="Times New Roman"/>
          <w:sz w:val="24"/>
        </w:rPr>
        <w:t>Ф) 11 в качестве доли от общего дохода</w:t>
      </w:r>
      <w:r w:rsidR="00A41EEB" w:rsidRPr="00832921">
        <w:rPr>
          <w:rFonts w:ascii="Times New Roman" w:hAnsi="Times New Roman" w:cs="Times New Roman"/>
          <w:sz w:val="24"/>
        </w:rPr>
        <w:t>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 xml:space="preserve">В СГФ налоги классифицируются по шести основным категориям: (i) налоги на </w:t>
      </w:r>
      <w:r w:rsidR="006C12AD">
        <w:rPr>
          <w:rFonts w:ascii="Times New Roman" w:hAnsi="Times New Roman" w:cs="Times New Roman"/>
          <w:sz w:val="24"/>
        </w:rPr>
        <w:t>доходы, прибыль и прирост капитала; (</w:t>
      </w:r>
      <w:proofErr w:type="spellStart"/>
      <w:r w:rsidR="006C12AD" w:rsidRPr="00832921">
        <w:rPr>
          <w:rFonts w:ascii="Times New Roman" w:hAnsi="Times New Roman" w:cs="Times New Roman"/>
          <w:sz w:val="24"/>
        </w:rPr>
        <w:t>i</w:t>
      </w:r>
      <w:r w:rsidRPr="00832921">
        <w:rPr>
          <w:rFonts w:ascii="Times New Roman" w:hAnsi="Times New Roman" w:cs="Times New Roman"/>
          <w:sz w:val="24"/>
        </w:rPr>
        <w:t>i</w:t>
      </w:r>
      <w:proofErr w:type="spellEnd"/>
      <w:r w:rsidRPr="00832921">
        <w:rPr>
          <w:rFonts w:ascii="Times New Roman" w:hAnsi="Times New Roman" w:cs="Times New Roman"/>
          <w:sz w:val="24"/>
        </w:rPr>
        <w:t>) налоги на заработную плату и рабочую силу; (</w:t>
      </w:r>
      <w:proofErr w:type="spellStart"/>
      <w:r w:rsidR="006C12AD" w:rsidRPr="00832921">
        <w:rPr>
          <w:rFonts w:ascii="Times New Roman" w:hAnsi="Times New Roman" w:cs="Times New Roman"/>
          <w:sz w:val="24"/>
        </w:rPr>
        <w:t>i</w:t>
      </w:r>
      <w:r w:rsidRPr="00832921">
        <w:rPr>
          <w:rFonts w:ascii="Times New Roman" w:hAnsi="Times New Roman" w:cs="Times New Roman"/>
          <w:sz w:val="24"/>
        </w:rPr>
        <w:t>ii</w:t>
      </w:r>
      <w:proofErr w:type="spellEnd"/>
      <w:r w:rsidRPr="00832921">
        <w:rPr>
          <w:rFonts w:ascii="Times New Roman" w:hAnsi="Times New Roman" w:cs="Times New Roman"/>
          <w:sz w:val="24"/>
        </w:rPr>
        <w:t>) налоги на имущество; (</w:t>
      </w:r>
      <w:proofErr w:type="spellStart"/>
      <w:r w:rsidR="006C12AD" w:rsidRPr="00832921">
        <w:rPr>
          <w:rFonts w:ascii="Times New Roman" w:hAnsi="Times New Roman" w:cs="Times New Roman"/>
          <w:sz w:val="24"/>
        </w:rPr>
        <w:t>i</w:t>
      </w:r>
      <w:r w:rsidRPr="00832921">
        <w:rPr>
          <w:rFonts w:ascii="Times New Roman" w:hAnsi="Times New Roman" w:cs="Times New Roman"/>
          <w:sz w:val="24"/>
        </w:rPr>
        <w:t>v</w:t>
      </w:r>
      <w:proofErr w:type="spellEnd"/>
      <w:r w:rsidRPr="00832921">
        <w:rPr>
          <w:rFonts w:ascii="Times New Roman" w:hAnsi="Times New Roman" w:cs="Times New Roman"/>
          <w:sz w:val="24"/>
        </w:rPr>
        <w:t>) налоги на товары и услуги; (</w:t>
      </w:r>
      <w:r w:rsidR="006C12AD">
        <w:rPr>
          <w:rFonts w:ascii="Times New Roman" w:hAnsi="Times New Roman" w:cs="Times New Roman"/>
          <w:sz w:val="24"/>
          <w:lang w:val="en-US"/>
        </w:rPr>
        <w:t>v</w:t>
      </w:r>
      <w:r w:rsidRPr="00832921">
        <w:rPr>
          <w:rFonts w:ascii="Times New Roman" w:hAnsi="Times New Roman" w:cs="Times New Roman"/>
          <w:sz w:val="24"/>
        </w:rPr>
        <w:t xml:space="preserve">) налоги на международную торговлю и операции; </w:t>
      </w:r>
      <w:r w:rsidR="006C12AD">
        <w:rPr>
          <w:rFonts w:ascii="Times New Roman" w:hAnsi="Times New Roman" w:cs="Times New Roman"/>
          <w:sz w:val="24"/>
        </w:rPr>
        <w:t>и</w:t>
      </w:r>
      <w:r w:rsidRPr="00832921">
        <w:rPr>
          <w:rFonts w:ascii="Times New Roman" w:hAnsi="Times New Roman" w:cs="Times New Roman"/>
          <w:sz w:val="24"/>
        </w:rPr>
        <w:t>(</w:t>
      </w:r>
      <w:proofErr w:type="spellStart"/>
      <w:r w:rsidRPr="00832921">
        <w:rPr>
          <w:rFonts w:ascii="Times New Roman" w:hAnsi="Times New Roman" w:cs="Times New Roman"/>
          <w:sz w:val="24"/>
        </w:rPr>
        <w:t>vi</w:t>
      </w:r>
      <w:proofErr w:type="spellEnd"/>
      <w:r w:rsidRPr="00832921">
        <w:rPr>
          <w:rFonts w:ascii="Times New Roman" w:hAnsi="Times New Roman" w:cs="Times New Roman"/>
          <w:sz w:val="24"/>
        </w:rPr>
        <w:t>) другие налоги.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proofErr w:type="gramStart"/>
      <w:r w:rsidRPr="00832921">
        <w:rPr>
          <w:rFonts w:ascii="Times New Roman" w:hAnsi="Times New Roman" w:cs="Times New Roman"/>
          <w:sz w:val="24"/>
        </w:rPr>
        <w:t>(Источник:</w:t>
      </w:r>
      <w:proofErr w:type="gramEnd"/>
      <w:r w:rsidRPr="0083292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32921">
        <w:rPr>
          <w:rFonts w:ascii="Times New Roman" w:hAnsi="Times New Roman" w:cs="Times New Roman"/>
          <w:sz w:val="24"/>
        </w:rPr>
        <w:t xml:space="preserve">МВФ, Руководство по статистике государственных финансов 2014 (РСГФ 2014), таблица 4А.1, </w:t>
      </w:r>
      <w:r w:rsidR="006C12AD">
        <w:rPr>
          <w:rFonts w:ascii="Times New Roman" w:hAnsi="Times New Roman" w:cs="Times New Roman"/>
          <w:sz w:val="24"/>
        </w:rPr>
        <w:t xml:space="preserve">от </w:t>
      </w:r>
      <w:r w:rsidRPr="00832921">
        <w:rPr>
          <w:rFonts w:ascii="Times New Roman" w:hAnsi="Times New Roman" w:cs="Times New Roman"/>
          <w:sz w:val="24"/>
        </w:rPr>
        <w:t>28 декабря 2015 года)</w:t>
      </w:r>
      <w:proofErr w:type="gramEnd"/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Концепции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Концепция налогово</w:t>
      </w:r>
      <w:r w:rsidR="002F3FCA">
        <w:rPr>
          <w:rFonts w:ascii="Times New Roman" w:hAnsi="Times New Roman" w:cs="Times New Roman"/>
          <w:sz w:val="24"/>
        </w:rPr>
        <w:t xml:space="preserve">й нагрузки </w:t>
      </w:r>
      <w:r w:rsidRPr="00832921">
        <w:rPr>
          <w:rFonts w:ascii="Times New Roman" w:hAnsi="Times New Roman" w:cs="Times New Roman"/>
          <w:sz w:val="24"/>
        </w:rPr>
        <w:t>может быть дезагрегирована в дополнительные концепции: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 xml:space="preserve">«Прямые налоги» или налоги, учитывающие индивидуальные обстоятельства налогоплательщиков (например, налоги на индивидуальный и корпоративный доход), которые могут быть рассчитаны из следующих подробных классификаций доходов по СГФ: 111 </w:t>
      </w:r>
      <w:r w:rsidRPr="00B400D2">
        <w:rPr>
          <w:rFonts w:ascii="Times New Roman" w:hAnsi="Times New Roman" w:cs="Times New Roman"/>
          <w:i/>
          <w:sz w:val="24"/>
        </w:rPr>
        <w:t xml:space="preserve">Налоги на </w:t>
      </w:r>
      <w:r w:rsidR="00E666C2" w:rsidRPr="00B400D2">
        <w:rPr>
          <w:rFonts w:ascii="Times New Roman" w:hAnsi="Times New Roman" w:cs="Times New Roman"/>
          <w:i/>
          <w:sz w:val="24"/>
        </w:rPr>
        <w:t>доходы</w:t>
      </w:r>
      <w:r w:rsidRPr="00B400D2">
        <w:rPr>
          <w:rFonts w:ascii="Times New Roman" w:hAnsi="Times New Roman" w:cs="Times New Roman"/>
          <w:i/>
          <w:sz w:val="24"/>
        </w:rPr>
        <w:t>, прибыль и прирост капитала</w:t>
      </w:r>
      <w:r w:rsidRPr="00832921">
        <w:rPr>
          <w:rFonts w:ascii="Times New Roman" w:hAnsi="Times New Roman" w:cs="Times New Roman"/>
          <w:sz w:val="24"/>
        </w:rPr>
        <w:t xml:space="preserve"> + 1131 </w:t>
      </w:r>
      <w:r w:rsidR="00E666C2" w:rsidRPr="00B400D2">
        <w:rPr>
          <w:rFonts w:ascii="Times New Roman" w:hAnsi="Times New Roman" w:cs="Times New Roman"/>
          <w:i/>
          <w:sz w:val="24"/>
        </w:rPr>
        <w:t>Регулярные</w:t>
      </w:r>
      <w:r w:rsidRPr="00B400D2">
        <w:rPr>
          <w:rFonts w:ascii="Times New Roman" w:hAnsi="Times New Roman" w:cs="Times New Roman"/>
          <w:i/>
          <w:sz w:val="24"/>
        </w:rPr>
        <w:t xml:space="preserve"> </w:t>
      </w:r>
      <w:r w:rsidR="00E666C2" w:rsidRPr="00B400D2">
        <w:rPr>
          <w:rFonts w:ascii="Times New Roman" w:hAnsi="Times New Roman" w:cs="Times New Roman"/>
          <w:i/>
          <w:sz w:val="24"/>
        </w:rPr>
        <w:t>н</w:t>
      </w:r>
      <w:r w:rsidRPr="00B400D2">
        <w:rPr>
          <w:rFonts w:ascii="Times New Roman" w:hAnsi="Times New Roman" w:cs="Times New Roman"/>
          <w:i/>
          <w:sz w:val="24"/>
        </w:rPr>
        <w:t xml:space="preserve">алоги на </w:t>
      </w:r>
      <w:r w:rsidRPr="00B400D2">
        <w:rPr>
          <w:rFonts w:ascii="Times New Roman" w:hAnsi="Times New Roman" w:cs="Times New Roman"/>
          <w:i/>
          <w:sz w:val="24"/>
        </w:rPr>
        <w:lastRenderedPageBreak/>
        <w:t>недвижимое имущество</w:t>
      </w:r>
      <w:r w:rsidRPr="00832921">
        <w:rPr>
          <w:rFonts w:ascii="Times New Roman" w:hAnsi="Times New Roman" w:cs="Times New Roman"/>
          <w:sz w:val="24"/>
        </w:rPr>
        <w:t xml:space="preserve"> + 1132 </w:t>
      </w:r>
      <w:r w:rsidR="00E666C2" w:rsidRPr="00B400D2">
        <w:rPr>
          <w:rFonts w:ascii="Times New Roman" w:hAnsi="Times New Roman" w:cs="Times New Roman"/>
          <w:i/>
          <w:sz w:val="24"/>
        </w:rPr>
        <w:t>Регулярные</w:t>
      </w:r>
      <w:r w:rsidRPr="00B400D2">
        <w:rPr>
          <w:rFonts w:ascii="Times New Roman" w:hAnsi="Times New Roman" w:cs="Times New Roman"/>
          <w:i/>
          <w:sz w:val="24"/>
        </w:rPr>
        <w:t xml:space="preserve"> налоги на чистые активы</w:t>
      </w:r>
      <w:r w:rsidRPr="00832921">
        <w:rPr>
          <w:rFonts w:ascii="Times New Roman" w:hAnsi="Times New Roman" w:cs="Times New Roman"/>
          <w:sz w:val="24"/>
        </w:rPr>
        <w:t xml:space="preserve"> + 1136</w:t>
      </w:r>
      <w:proofErr w:type="gramStart"/>
      <w:r w:rsidRPr="00832921">
        <w:rPr>
          <w:rFonts w:ascii="Times New Roman" w:hAnsi="Times New Roman" w:cs="Times New Roman"/>
          <w:sz w:val="24"/>
        </w:rPr>
        <w:t xml:space="preserve"> </w:t>
      </w:r>
      <w:r w:rsidRPr="00B400D2">
        <w:rPr>
          <w:rFonts w:ascii="Times New Roman" w:hAnsi="Times New Roman" w:cs="Times New Roman"/>
          <w:i/>
          <w:sz w:val="24"/>
        </w:rPr>
        <w:t>П</w:t>
      </w:r>
      <w:proofErr w:type="gramEnd"/>
      <w:r w:rsidRPr="00B400D2">
        <w:rPr>
          <w:rFonts w:ascii="Times New Roman" w:hAnsi="Times New Roman" w:cs="Times New Roman"/>
          <w:i/>
          <w:sz w:val="24"/>
        </w:rPr>
        <w:t>рочие постоянные налоги на имущество</w:t>
      </w:r>
      <w:r w:rsidRPr="00832921">
        <w:rPr>
          <w:rFonts w:ascii="Times New Roman" w:hAnsi="Times New Roman" w:cs="Times New Roman"/>
          <w:sz w:val="24"/>
        </w:rPr>
        <w:t xml:space="preserve">; </w:t>
      </w:r>
      <w:r w:rsidR="00E666C2">
        <w:rPr>
          <w:rFonts w:ascii="Times New Roman" w:hAnsi="Times New Roman" w:cs="Times New Roman"/>
          <w:sz w:val="24"/>
        </w:rPr>
        <w:t>и</w:t>
      </w:r>
      <w:r w:rsidRPr="00832921">
        <w:rPr>
          <w:rFonts w:ascii="Times New Roman" w:hAnsi="Times New Roman" w:cs="Times New Roman"/>
          <w:sz w:val="24"/>
        </w:rPr>
        <w:t xml:space="preserve"> «косвенные налоги» или налоги, которые не учитывают индивидуальные обстоятельства налогоплательщиков (например, налоги, налагаемые на товары и услуги), которые могут быть рассчитаны из следующих подробных классификаций доходов СГФ 112 </w:t>
      </w:r>
      <w:r w:rsidRPr="00B400D2">
        <w:rPr>
          <w:rFonts w:ascii="Times New Roman" w:hAnsi="Times New Roman" w:cs="Times New Roman"/>
          <w:i/>
          <w:sz w:val="24"/>
        </w:rPr>
        <w:t>Налоги на заработную плату и рабочую силу</w:t>
      </w:r>
      <w:r w:rsidRPr="00832921">
        <w:rPr>
          <w:rFonts w:ascii="Times New Roman" w:hAnsi="Times New Roman" w:cs="Times New Roman"/>
          <w:sz w:val="24"/>
        </w:rPr>
        <w:t xml:space="preserve"> + 114 </w:t>
      </w:r>
      <w:r w:rsidRPr="00B400D2">
        <w:rPr>
          <w:rFonts w:ascii="Times New Roman" w:hAnsi="Times New Roman" w:cs="Times New Roman"/>
          <w:i/>
          <w:sz w:val="24"/>
        </w:rPr>
        <w:t xml:space="preserve">Налоги на товары </w:t>
      </w:r>
      <w:r w:rsidR="00E666C2" w:rsidRPr="00B400D2">
        <w:rPr>
          <w:rFonts w:ascii="Times New Roman" w:hAnsi="Times New Roman" w:cs="Times New Roman"/>
          <w:i/>
          <w:sz w:val="24"/>
        </w:rPr>
        <w:t>и</w:t>
      </w:r>
      <w:r w:rsidRPr="00B400D2">
        <w:rPr>
          <w:rFonts w:ascii="Times New Roman" w:hAnsi="Times New Roman" w:cs="Times New Roman"/>
          <w:i/>
          <w:sz w:val="24"/>
        </w:rPr>
        <w:t xml:space="preserve"> услуги</w:t>
      </w:r>
      <w:r w:rsidRPr="00832921">
        <w:rPr>
          <w:rFonts w:ascii="Times New Roman" w:hAnsi="Times New Roman" w:cs="Times New Roman"/>
          <w:sz w:val="24"/>
        </w:rPr>
        <w:t xml:space="preserve"> + 115 </w:t>
      </w:r>
      <w:r w:rsidRPr="00B400D2">
        <w:rPr>
          <w:rFonts w:ascii="Times New Roman" w:hAnsi="Times New Roman" w:cs="Times New Roman"/>
          <w:i/>
          <w:sz w:val="24"/>
        </w:rPr>
        <w:t>Налоги на международную торговлю и операции</w:t>
      </w:r>
      <w:r w:rsidRPr="00832921">
        <w:rPr>
          <w:rFonts w:ascii="Times New Roman" w:hAnsi="Times New Roman" w:cs="Times New Roman"/>
          <w:sz w:val="24"/>
        </w:rPr>
        <w:t xml:space="preserve"> + 116</w:t>
      </w:r>
      <w:proofErr w:type="gramStart"/>
      <w:r w:rsidRPr="00832921">
        <w:rPr>
          <w:rFonts w:ascii="Times New Roman" w:hAnsi="Times New Roman" w:cs="Times New Roman"/>
          <w:sz w:val="24"/>
        </w:rPr>
        <w:t xml:space="preserve"> </w:t>
      </w:r>
      <w:r w:rsidRPr="00B400D2">
        <w:rPr>
          <w:rFonts w:ascii="Times New Roman" w:hAnsi="Times New Roman" w:cs="Times New Roman"/>
          <w:i/>
          <w:sz w:val="24"/>
        </w:rPr>
        <w:t>П</w:t>
      </w:r>
      <w:proofErr w:type="gramEnd"/>
      <w:r w:rsidRPr="00B400D2">
        <w:rPr>
          <w:rFonts w:ascii="Times New Roman" w:hAnsi="Times New Roman" w:cs="Times New Roman"/>
          <w:i/>
          <w:sz w:val="24"/>
        </w:rPr>
        <w:t>рочие налоги</w:t>
      </w:r>
      <w:r w:rsidRPr="00832921">
        <w:rPr>
          <w:rFonts w:ascii="Times New Roman" w:hAnsi="Times New Roman" w:cs="Times New Roman"/>
          <w:sz w:val="24"/>
        </w:rPr>
        <w:t>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Налогов</w:t>
      </w:r>
      <w:r w:rsidR="002F3FCA">
        <w:rPr>
          <w:rFonts w:ascii="Times New Roman" w:hAnsi="Times New Roman" w:cs="Times New Roman"/>
          <w:sz w:val="24"/>
        </w:rPr>
        <w:t>ая</w:t>
      </w:r>
      <w:r w:rsidRPr="00832921">
        <w:rPr>
          <w:rFonts w:ascii="Times New Roman" w:hAnsi="Times New Roman" w:cs="Times New Roman"/>
          <w:sz w:val="24"/>
        </w:rPr>
        <w:t xml:space="preserve"> </w:t>
      </w:r>
      <w:r w:rsidR="002F3FCA">
        <w:rPr>
          <w:rFonts w:ascii="Times New Roman" w:hAnsi="Times New Roman" w:cs="Times New Roman"/>
          <w:sz w:val="24"/>
        </w:rPr>
        <w:t>нагрузка</w:t>
      </w:r>
      <w:r w:rsidR="007C5A20">
        <w:rPr>
          <w:rFonts w:ascii="Times New Roman" w:hAnsi="Times New Roman" w:cs="Times New Roman"/>
          <w:sz w:val="24"/>
        </w:rPr>
        <w:t xml:space="preserve"> напрямую связана</w:t>
      </w:r>
      <w:r w:rsidRPr="00832921">
        <w:rPr>
          <w:rFonts w:ascii="Times New Roman" w:hAnsi="Times New Roman" w:cs="Times New Roman"/>
          <w:sz w:val="24"/>
        </w:rPr>
        <w:t xml:space="preserve"> с более широкой концепцией фискального бремени, которая может быть получена в результате объединения двух кодов дохода </w:t>
      </w:r>
      <w:r w:rsidR="00FB5F9D">
        <w:rPr>
          <w:rFonts w:ascii="Times New Roman" w:hAnsi="Times New Roman" w:cs="Times New Roman"/>
          <w:sz w:val="24"/>
        </w:rPr>
        <w:t>РСГФ</w:t>
      </w:r>
      <w:r w:rsidRPr="00832921">
        <w:rPr>
          <w:rFonts w:ascii="Times New Roman" w:hAnsi="Times New Roman" w:cs="Times New Roman"/>
          <w:sz w:val="24"/>
        </w:rPr>
        <w:t xml:space="preserve"> 2014: код</w:t>
      </w:r>
      <w:r w:rsidR="00B400D2">
        <w:rPr>
          <w:rFonts w:ascii="Times New Roman" w:hAnsi="Times New Roman" w:cs="Times New Roman"/>
          <w:sz w:val="24"/>
        </w:rPr>
        <w:t>а</w:t>
      </w:r>
      <w:r w:rsidRPr="00832921">
        <w:rPr>
          <w:rFonts w:ascii="Times New Roman" w:hAnsi="Times New Roman" w:cs="Times New Roman"/>
          <w:sz w:val="24"/>
        </w:rPr>
        <w:t xml:space="preserve"> 11 </w:t>
      </w:r>
      <w:r w:rsidRPr="00B400D2">
        <w:rPr>
          <w:rFonts w:ascii="Times New Roman" w:hAnsi="Times New Roman" w:cs="Times New Roman"/>
          <w:i/>
          <w:sz w:val="24"/>
        </w:rPr>
        <w:t>Налоги</w:t>
      </w:r>
      <w:r w:rsidRPr="00832921">
        <w:rPr>
          <w:rFonts w:ascii="Times New Roman" w:hAnsi="Times New Roman" w:cs="Times New Roman"/>
          <w:sz w:val="24"/>
        </w:rPr>
        <w:t xml:space="preserve"> </w:t>
      </w:r>
      <w:r w:rsidR="00B400D2">
        <w:rPr>
          <w:rFonts w:ascii="Times New Roman" w:hAnsi="Times New Roman" w:cs="Times New Roman"/>
          <w:sz w:val="24"/>
        </w:rPr>
        <w:t>и</w:t>
      </w:r>
      <w:r w:rsidRPr="00832921">
        <w:rPr>
          <w:rFonts w:ascii="Times New Roman" w:hAnsi="Times New Roman" w:cs="Times New Roman"/>
          <w:sz w:val="24"/>
        </w:rPr>
        <w:t xml:space="preserve"> код</w:t>
      </w:r>
      <w:r w:rsidR="00B400D2">
        <w:rPr>
          <w:rFonts w:ascii="Times New Roman" w:hAnsi="Times New Roman" w:cs="Times New Roman"/>
          <w:sz w:val="24"/>
        </w:rPr>
        <w:t>а</w:t>
      </w:r>
      <w:r w:rsidRPr="00832921">
        <w:rPr>
          <w:rFonts w:ascii="Times New Roman" w:hAnsi="Times New Roman" w:cs="Times New Roman"/>
          <w:sz w:val="24"/>
        </w:rPr>
        <w:t xml:space="preserve"> 12 </w:t>
      </w:r>
      <w:r w:rsidR="00B400D2" w:rsidRPr="00B400D2">
        <w:rPr>
          <w:rFonts w:ascii="Times New Roman" w:hAnsi="Times New Roman" w:cs="Times New Roman"/>
          <w:i/>
          <w:sz w:val="24"/>
        </w:rPr>
        <w:t>С</w:t>
      </w:r>
      <w:r w:rsidRPr="00B400D2">
        <w:rPr>
          <w:rFonts w:ascii="Times New Roman" w:hAnsi="Times New Roman" w:cs="Times New Roman"/>
          <w:i/>
          <w:sz w:val="24"/>
        </w:rPr>
        <w:t>оциальные взносы</w:t>
      </w:r>
      <w:r w:rsidRPr="00832921">
        <w:rPr>
          <w:rFonts w:ascii="Times New Roman" w:hAnsi="Times New Roman" w:cs="Times New Roman"/>
          <w:sz w:val="24"/>
        </w:rPr>
        <w:t xml:space="preserve"> или, альтернативно, 11 + 121 + 122.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Эти концепции также можно найти в Системе национальных счетов 2008 года (СНС 2008 года).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 xml:space="preserve">Охват, сроки и оценка налоговых поступлений в </w:t>
      </w:r>
      <w:r w:rsidR="00FB5F9D">
        <w:rPr>
          <w:rFonts w:ascii="Times New Roman" w:hAnsi="Times New Roman" w:cs="Times New Roman"/>
          <w:sz w:val="24"/>
        </w:rPr>
        <w:t>РСГФ</w:t>
      </w:r>
      <w:r w:rsidRPr="00832921">
        <w:rPr>
          <w:rFonts w:ascii="Times New Roman" w:hAnsi="Times New Roman" w:cs="Times New Roman"/>
          <w:sz w:val="24"/>
        </w:rPr>
        <w:t xml:space="preserve"> 2014 и </w:t>
      </w:r>
      <w:r w:rsidR="00540B3C">
        <w:rPr>
          <w:rFonts w:ascii="Times New Roman" w:hAnsi="Times New Roman" w:cs="Times New Roman"/>
          <w:sz w:val="24"/>
        </w:rPr>
        <w:t>СНС</w:t>
      </w:r>
      <w:r w:rsidRPr="00832921">
        <w:rPr>
          <w:rFonts w:ascii="Times New Roman" w:hAnsi="Times New Roman" w:cs="Times New Roman"/>
          <w:sz w:val="24"/>
        </w:rPr>
        <w:t xml:space="preserve"> 2008 совпадают, но системы класс</w:t>
      </w:r>
      <w:r w:rsidR="00CA34A5">
        <w:rPr>
          <w:rFonts w:ascii="Times New Roman" w:hAnsi="Times New Roman" w:cs="Times New Roman"/>
          <w:sz w:val="24"/>
        </w:rPr>
        <w:t xml:space="preserve">ификации различаются. СНС 2008 </w:t>
      </w:r>
      <w:r w:rsidRPr="00832921">
        <w:rPr>
          <w:rFonts w:ascii="Times New Roman" w:hAnsi="Times New Roman" w:cs="Times New Roman"/>
          <w:sz w:val="24"/>
        </w:rPr>
        <w:t>классифицирует налоги в соответствии с их ролью в экономической деятельности, а именно: (i) налоги на производство и импорт (D2); (</w:t>
      </w:r>
      <w:proofErr w:type="spellStart"/>
      <w:r w:rsidR="00C15A60" w:rsidRPr="00832921">
        <w:rPr>
          <w:rFonts w:ascii="Times New Roman" w:hAnsi="Times New Roman" w:cs="Times New Roman"/>
          <w:sz w:val="24"/>
        </w:rPr>
        <w:t>i</w:t>
      </w:r>
      <w:r w:rsidRPr="00832921">
        <w:rPr>
          <w:rFonts w:ascii="Times New Roman" w:hAnsi="Times New Roman" w:cs="Times New Roman"/>
          <w:sz w:val="24"/>
        </w:rPr>
        <w:t>i</w:t>
      </w:r>
      <w:proofErr w:type="spellEnd"/>
      <w:r w:rsidRPr="00832921">
        <w:rPr>
          <w:rFonts w:ascii="Times New Roman" w:hAnsi="Times New Roman" w:cs="Times New Roman"/>
          <w:sz w:val="24"/>
        </w:rPr>
        <w:t xml:space="preserve">) текущие налоги на доход, богатство и т. </w:t>
      </w:r>
      <w:r w:rsidR="001B06E6">
        <w:rPr>
          <w:rFonts w:ascii="Times New Roman" w:hAnsi="Times New Roman" w:cs="Times New Roman"/>
          <w:sz w:val="24"/>
        </w:rPr>
        <w:t>д</w:t>
      </w:r>
      <w:r w:rsidRPr="00832921">
        <w:rPr>
          <w:rFonts w:ascii="Times New Roman" w:hAnsi="Times New Roman" w:cs="Times New Roman"/>
          <w:sz w:val="24"/>
        </w:rPr>
        <w:t xml:space="preserve">. (D5); </w:t>
      </w:r>
      <w:r w:rsidR="001B06E6">
        <w:rPr>
          <w:rFonts w:ascii="Times New Roman" w:hAnsi="Times New Roman" w:cs="Times New Roman"/>
          <w:sz w:val="24"/>
        </w:rPr>
        <w:t>и</w:t>
      </w:r>
      <w:r w:rsidRPr="0083292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32921">
        <w:rPr>
          <w:rFonts w:ascii="Times New Roman" w:hAnsi="Times New Roman" w:cs="Times New Roman"/>
          <w:sz w:val="24"/>
        </w:rPr>
        <w:t>iii</w:t>
      </w:r>
      <w:proofErr w:type="spellEnd"/>
      <w:r w:rsidRPr="00832921">
        <w:rPr>
          <w:rFonts w:ascii="Times New Roman" w:hAnsi="Times New Roman" w:cs="Times New Roman"/>
          <w:sz w:val="24"/>
        </w:rPr>
        <w:t>) налоги на капитал (D91). В результате некоторые категории налогов в СГФ должны распределяться между двумя категориями налогов СНС в зависимости от того, подлежат ли они выпла</w:t>
      </w:r>
      <w:r w:rsidR="001B06E6">
        <w:rPr>
          <w:rFonts w:ascii="Times New Roman" w:hAnsi="Times New Roman" w:cs="Times New Roman"/>
          <w:sz w:val="24"/>
        </w:rPr>
        <w:t xml:space="preserve">те </w:t>
      </w:r>
      <w:r w:rsidRPr="00832921">
        <w:rPr>
          <w:rFonts w:ascii="Times New Roman" w:hAnsi="Times New Roman" w:cs="Times New Roman"/>
          <w:sz w:val="24"/>
        </w:rPr>
        <w:t>производителями или конечными потребителями или являются ли они текущими или капитальными налогами. Подробное описание связей между СГФ и категориями налогов СНС 2008 года представлено в Приложении 7 к РСГФ 2014.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Обоснование и толкование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Обоснование</w:t>
      </w:r>
    </w:p>
    <w:p w:rsidR="00A41EEB" w:rsidRPr="00832921" w:rsidRDefault="00294BA5" w:rsidP="00A41E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Показатели налоговой нагрузки –</w:t>
      </w:r>
      <w:r w:rsidR="00A41EEB" w:rsidRPr="00832921">
        <w:rPr>
          <w:rFonts w:ascii="Times New Roman" w:hAnsi="Times New Roman" w:cs="Times New Roman"/>
          <w:sz w:val="24"/>
        </w:rPr>
        <w:t xml:space="preserve"> это показатели того, насколько хорошо налоговая политика соответствует одной из ее основных целей, справедливо</w:t>
      </w:r>
      <w:r w:rsidR="00245127">
        <w:rPr>
          <w:rFonts w:ascii="Times New Roman" w:hAnsi="Times New Roman" w:cs="Times New Roman"/>
          <w:sz w:val="24"/>
        </w:rPr>
        <w:t>му</w:t>
      </w:r>
      <w:r w:rsidR="00A41EEB" w:rsidRPr="00832921">
        <w:rPr>
          <w:rFonts w:ascii="Times New Roman" w:hAnsi="Times New Roman" w:cs="Times New Roman"/>
          <w:sz w:val="24"/>
        </w:rPr>
        <w:t xml:space="preserve"> увелич</w:t>
      </w:r>
      <w:r w:rsidR="00245127">
        <w:rPr>
          <w:rFonts w:ascii="Times New Roman" w:hAnsi="Times New Roman" w:cs="Times New Roman"/>
          <w:sz w:val="24"/>
        </w:rPr>
        <w:t>ению доходов</w:t>
      </w:r>
      <w:r w:rsidR="00A41EEB" w:rsidRPr="00832921">
        <w:rPr>
          <w:rFonts w:ascii="Times New Roman" w:hAnsi="Times New Roman" w:cs="Times New Roman"/>
          <w:sz w:val="24"/>
        </w:rPr>
        <w:t>, необходим</w:t>
      </w:r>
      <w:r w:rsidR="00245127">
        <w:rPr>
          <w:rFonts w:ascii="Times New Roman" w:hAnsi="Times New Roman" w:cs="Times New Roman"/>
          <w:sz w:val="24"/>
        </w:rPr>
        <w:t xml:space="preserve">ых для управления государством. </w:t>
      </w:r>
      <w:r w:rsidR="00511738">
        <w:rPr>
          <w:rFonts w:ascii="Times New Roman" w:hAnsi="Times New Roman" w:cs="Times New Roman"/>
          <w:sz w:val="24"/>
        </w:rPr>
        <w:t>Равновесие</w:t>
      </w:r>
      <w:r w:rsidR="00697A3D">
        <w:rPr>
          <w:rFonts w:ascii="Times New Roman" w:hAnsi="Times New Roman" w:cs="Times New Roman"/>
          <w:sz w:val="24"/>
        </w:rPr>
        <w:t xml:space="preserve"> налоговой нагрузки</w:t>
      </w:r>
      <w:r w:rsidR="00A41EEB" w:rsidRPr="00832921">
        <w:rPr>
          <w:rFonts w:ascii="Times New Roman" w:hAnsi="Times New Roman" w:cs="Times New Roman"/>
          <w:sz w:val="24"/>
        </w:rPr>
        <w:t xml:space="preserve"> имеет два аспекта. Первый, вертикальн</w:t>
      </w:r>
      <w:r w:rsidR="00511738">
        <w:rPr>
          <w:rFonts w:ascii="Times New Roman" w:hAnsi="Times New Roman" w:cs="Times New Roman"/>
          <w:sz w:val="24"/>
        </w:rPr>
        <w:t>ое равновесие</w:t>
      </w:r>
      <w:r w:rsidR="00A41EEB" w:rsidRPr="00832921">
        <w:rPr>
          <w:rFonts w:ascii="Times New Roman" w:hAnsi="Times New Roman" w:cs="Times New Roman"/>
          <w:sz w:val="24"/>
        </w:rPr>
        <w:t>, касается того, как налоги распределяются между налогоплательщиками с различными способностями к оплате. Второй, горизонтальн</w:t>
      </w:r>
      <w:r w:rsidR="00CB34F0">
        <w:rPr>
          <w:rFonts w:ascii="Times New Roman" w:hAnsi="Times New Roman" w:cs="Times New Roman"/>
          <w:sz w:val="24"/>
        </w:rPr>
        <w:t>ое</w:t>
      </w:r>
      <w:r w:rsidR="00A41EEB" w:rsidRPr="00832921">
        <w:rPr>
          <w:rFonts w:ascii="Times New Roman" w:hAnsi="Times New Roman" w:cs="Times New Roman"/>
          <w:sz w:val="24"/>
        </w:rPr>
        <w:t xml:space="preserve"> </w:t>
      </w:r>
      <w:r w:rsidR="00CB34F0">
        <w:rPr>
          <w:rFonts w:ascii="Times New Roman" w:hAnsi="Times New Roman" w:cs="Times New Roman"/>
          <w:sz w:val="24"/>
        </w:rPr>
        <w:t>равновесие</w:t>
      </w:r>
      <w:r w:rsidR="00A41EEB" w:rsidRPr="00832921">
        <w:rPr>
          <w:rFonts w:ascii="Times New Roman" w:hAnsi="Times New Roman" w:cs="Times New Roman"/>
          <w:sz w:val="24"/>
        </w:rPr>
        <w:t xml:space="preserve">, касается того, как налоги распределяются между налогоплательщиками с одинаковой платежеспособностью. Таким образом, </w:t>
      </w:r>
      <w:r w:rsidR="00CB34F0">
        <w:rPr>
          <w:rFonts w:ascii="Times New Roman" w:hAnsi="Times New Roman" w:cs="Times New Roman"/>
          <w:sz w:val="24"/>
        </w:rPr>
        <w:t>п</w:t>
      </w:r>
      <w:r w:rsidR="00CB34F0" w:rsidRPr="00CB34F0">
        <w:rPr>
          <w:rFonts w:ascii="Times New Roman" w:hAnsi="Times New Roman" w:cs="Times New Roman"/>
          <w:sz w:val="24"/>
        </w:rPr>
        <w:t xml:space="preserve">оказатели налоговой нагрузки </w:t>
      </w:r>
      <w:r w:rsidR="00A41EEB" w:rsidRPr="00832921">
        <w:rPr>
          <w:rFonts w:ascii="Times New Roman" w:hAnsi="Times New Roman" w:cs="Times New Roman"/>
          <w:sz w:val="24"/>
        </w:rPr>
        <w:t xml:space="preserve">отвечают широким экономическим и социальным вопросам о влиянии налоговой </w:t>
      </w:r>
      <w:proofErr w:type="gramStart"/>
      <w:r w:rsidR="00A41EEB" w:rsidRPr="00832921">
        <w:rPr>
          <w:rFonts w:ascii="Times New Roman" w:hAnsi="Times New Roman" w:cs="Times New Roman"/>
          <w:sz w:val="24"/>
        </w:rPr>
        <w:t>политики на распределение</w:t>
      </w:r>
      <w:proofErr w:type="gramEnd"/>
      <w:r w:rsidR="00A41EEB" w:rsidRPr="00832921">
        <w:rPr>
          <w:rFonts w:ascii="Times New Roman" w:hAnsi="Times New Roman" w:cs="Times New Roman"/>
          <w:sz w:val="24"/>
        </w:rPr>
        <w:t xml:space="preserve"> доходов и богатства.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proofErr w:type="gramStart"/>
      <w:r w:rsidRPr="00832921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832921">
        <w:rPr>
          <w:rFonts w:ascii="Times New Roman" w:hAnsi="Times New Roman" w:cs="Times New Roman"/>
          <w:sz w:val="24"/>
        </w:rPr>
        <w:t xml:space="preserve"> имеет раз</w:t>
      </w:r>
      <w:r w:rsidR="00195794">
        <w:rPr>
          <w:rFonts w:ascii="Times New Roman" w:hAnsi="Times New Roman" w:cs="Times New Roman"/>
          <w:sz w:val="24"/>
        </w:rPr>
        <w:t>граничение</w:t>
      </w:r>
      <w:r w:rsidRPr="00832921">
        <w:rPr>
          <w:rFonts w:ascii="Times New Roman" w:hAnsi="Times New Roman" w:cs="Times New Roman"/>
          <w:sz w:val="24"/>
        </w:rPr>
        <w:t xml:space="preserve"> правительства на национальном, государственном и / или местном уровнях. В целях мониторинга этого показателя центральный бюджет рассматривается как фокус</w:t>
      </w:r>
      <w:r w:rsidR="00195794">
        <w:rPr>
          <w:rFonts w:ascii="Times New Roman" w:hAnsi="Times New Roman" w:cs="Times New Roman"/>
          <w:sz w:val="24"/>
        </w:rPr>
        <w:t xml:space="preserve"> внимания</w:t>
      </w:r>
      <w:r w:rsidRPr="00832921">
        <w:rPr>
          <w:rFonts w:ascii="Times New Roman" w:hAnsi="Times New Roman" w:cs="Times New Roman"/>
          <w:sz w:val="24"/>
        </w:rPr>
        <w:t xml:space="preserve"> (даже если некоторые налоговые платежи поступают в другие юрисдикции). Когда принимаются решения о ресурсах, бюджетное центральное правительство является ключевым подсектором сектора государственного управления экономики. Сектор государственного управления состоит из институциональных единиц-резидентов, которые выполняют функции правительства в качестве основной деятельности. Во всех странах существует институциональная единица сектора </w:t>
      </w:r>
      <w:r w:rsidRPr="00832921">
        <w:rPr>
          <w:rFonts w:ascii="Times New Roman" w:hAnsi="Times New Roman" w:cs="Times New Roman"/>
          <w:sz w:val="24"/>
        </w:rPr>
        <w:lastRenderedPageBreak/>
        <w:t xml:space="preserve">государственного управления, особенно важная с точки зрения размера и мощности, в частности </w:t>
      </w:r>
      <w:proofErr w:type="gramStart"/>
      <w:r w:rsidRPr="00832921">
        <w:rPr>
          <w:rFonts w:ascii="Times New Roman" w:hAnsi="Times New Roman" w:cs="Times New Roman"/>
          <w:sz w:val="24"/>
        </w:rPr>
        <w:t>способност</w:t>
      </w:r>
      <w:r w:rsidR="0002384F">
        <w:rPr>
          <w:rFonts w:ascii="Times New Roman" w:hAnsi="Times New Roman" w:cs="Times New Roman"/>
          <w:sz w:val="24"/>
        </w:rPr>
        <w:t>и</w:t>
      </w:r>
      <w:proofErr w:type="gramEnd"/>
      <w:r w:rsidRPr="00832921">
        <w:rPr>
          <w:rFonts w:ascii="Times New Roman" w:hAnsi="Times New Roman" w:cs="Times New Roman"/>
          <w:sz w:val="24"/>
        </w:rPr>
        <w:t xml:space="preserve"> осуществлять контроль над многими другими подразделениями и организациями. Центральное бюджетное правительство часто является единым подразделением центрального правительства, которое охватывает фундаментальные действия национальных исполнительных, законодательных и судебных властей. Этот компонент государственного управления обычно </w:t>
      </w:r>
      <w:r w:rsidR="00E8288D">
        <w:rPr>
          <w:rFonts w:ascii="Times New Roman" w:hAnsi="Times New Roman" w:cs="Times New Roman"/>
          <w:sz w:val="24"/>
        </w:rPr>
        <w:t>обеспечивается</w:t>
      </w:r>
      <w:r w:rsidRPr="00832921">
        <w:rPr>
          <w:rFonts w:ascii="Times New Roman" w:hAnsi="Times New Roman" w:cs="Times New Roman"/>
          <w:sz w:val="24"/>
        </w:rPr>
        <w:t xml:space="preserve"> главным (или общим) бюджетом. Доходы и расходы бюджетного центрального правительства обычно регулируются и контролируются министерством финансов или его функциональным эквивалентом посредством бюджета, утвержденного законодательным органом.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Большинство министерств, ведомств, агентств, советов,</w:t>
      </w:r>
      <w:r w:rsidR="00832921">
        <w:rPr>
          <w:rFonts w:ascii="Times New Roman" w:hAnsi="Times New Roman" w:cs="Times New Roman"/>
          <w:sz w:val="24"/>
        </w:rPr>
        <w:t xml:space="preserve"> к</w:t>
      </w:r>
      <w:r w:rsidRPr="00832921">
        <w:rPr>
          <w:rFonts w:ascii="Times New Roman" w:hAnsi="Times New Roman" w:cs="Times New Roman"/>
          <w:sz w:val="24"/>
        </w:rPr>
        <w:t>омисси</w:t>
      </w:r>
      <w:r w:rsidR="00832921">
        <w:rPr>
          <w:rFonts w:ascii="Times New Roman" w:hAnsi="Times New Roman" w:cs="Times New Roman"/>
          <w:sz w:val="24"/>
        </w:rPr>
        <w:t>й</w:t>
      </w:r>
      <w:r w:rsidRPr="00832921">
        <w:rPr>
          <w:rFonts w:ascii="Times New Roman" w:hAnsi="Times New Roman" w:cs="Times New Roman"/>
          <w:sz w:val="24"/>
        </w:rPr>
        <w:t>, судебны</w:t>
      </w:r>
      <w:r w:rsidR="00832921">
        <w:rPr>
          <w:rFonts w:ascii="Times New Roman" w:hAnsi="Times New Roman" w:cs="Times New Roman"/>
          <w:sz w:val="24"/>
        </w:rPr>
        <w:t xml:space="preserve">х </w:t>
      </w:r>
      <w:r w:rsidRPr="00832921">
        <w:rPr>
          <w:rFonts w:ascii="Times New Roman" w:hAnsi="Times New Roman" w:cs="Times New Roman"/>
          <w:sz w:val="24"/>
        </w:rPr>
        <w:t>орган</w:t>
      </w:r>
      <w:r w:rsidR="00832921">
        <w:rPr>
          <w:rFonts w:ascii="Times New Roman" w:hAnsi="Times New Roman" w:cs="Times New Roman"/>
          <w:sz w:val="24"/>
        </w:rPr>
        <w:t>ов</w:t>
      </w:r>
      <w:r w:rsidRPr="00832921">
        <w:rPr>
          <w:rFonts w:ascii="Times New Roman" w:hAnsi="Times New Roman" w:cs="Times New Roman"/>
          <w:sz w:val="24"/>
        </w:rPr>
        <w:t>, законодательны</w:t>
      </w:r>
      <w:r w:rsidR="00832921">
        <w:rPr>
          <w:rFonts w:ascii="Times New Roman" w:hAnsi="Times New Roman" w:cs="Times New Roman"/>
          <w:sz w:val="24"/>
        </w:rPr>
        <w:t>х</w:t>
      </w:r>
      <w:r w:rsidRPr="00832921">
        <w:rPr>
          <w:rFonts w:ascii="Times New Roman" w:hAnsi="Times New Roman" w:cs="Times New Roman"/>
          <w:sz w:val="24"/>
        </w:rPr>
        <w:t xml:space="preserve"> орган</w:t>
      </w:r>
      <w:r w:rsidR="00832921">
        <w:rPr>
          <w:rFonts w:ascii="Times New Roman" w:hAnsi="Times New Roman" w:cs="Times New Roman"/>
          <w:sz w:val="24"/>
        </w:rPr>
        <w:t>ов</w:t>
      </w:r>
      <w:r w:rsidRPr="00832921">
        <w:rPr>
          <w:rFonts w:ascii="Times New Roman" w:hAnsi="Times New Roman" w:cs="Times New Roman"/>
          <w:sz w:val="24"/>
        </w:rPr>
        <w:t xml:space="preserve"> и други</w:t>
      </w:r>
      <w:r w:rsidR="00832921">
        <w:rPr>
          <w:rFonts w:ascii="Times New Roman" w:hAnsi="Times New Roman" w:cs="Times New Roman"/>
          <w:sz w:val="24"/>
        </w:rPr>
        <w:t>х</w:t>
      </w:r>
      <w:r w:rsidRPr="00832921">
        <w:rPr>
          <w:rFonts w:ascii="Times New Roman" w:hAnsi="Times New Roman" w:cs="Times New Roman"/>
          <w:sz w:val="24"/>
        </w:rPr>
        <w:t xml:space="preserve"> субъект</w:t>
      </w:r>
      <w:r w:rsidR="00832921">
        <w:rPr>
          <w:rFonts w:ascii="Times New Roman" w:hAnsi="Times New Roman" w:cs="Times New Roman"/>
          <w:sz w:val="24"/>
        </w:rPr>
        <w:t>ов</w:t>
      </w:r>
      <w:r w:rsidRPr="00832921">
        <w:rPr>
          <w:rFonts w:ascii="Times New Roman" w:hAnsi="Times New Roman" w:cs="Times New Roman"/>
          <w:sz w:val="24"/>
        </w:rPr>
        <w:t>, составляющи</w:t>
      </w:r>
      <w:r w:rsidR="00832921">
        <w:rPr>
          <w:rFonts w:ascii="Times New Roman" w:hAnsi="Times New Roman" w:cs="Times New Roman"/>
          <w:sz w:val="24"/>
        </w:rPr>
        <w:t>х</w:t>
      </w:r>
      <w:r w:rsidRPr="00832921">
        <w:rPr>
          <w:rFonts w:ascii="Times New Roman" w:hAnsi="Times New Roman" w:cs="Times New Roman"/>
          <w:sz w:val="24"/>
        </w:rPr>
        <w:t xml:space="preserve"> бюджетное центральное правительство, не являются отдельными институциональными единицами. Это связано с тем, что они, как правило, не имеют права владеть активами, брать на себя обязательства или совершать сделки самостоятельно (см. Главу 2 </w:t>
      </w:r>
      <w:r w:rsidR="00FB5F9D">
        <w:rPr>
          <w:rFonts w:ascii="Times New Roman" w:hAnsi="Times New Roman" w:cs="Times New Roman"/>
          <w:sz w:val="24"/>
        </w:rPr>
        <w:t>РСГФ</w:t>
      </w:r>
      <w:r w:rsidRPr="00832921">
        <w:rPr>
          <w:rFonts w:ascii="Times New Roman" w:hAnsi="Times New Roman" w:cs="Times New Roman"/>
          <w:sz w:val="24"/>
        </w:rPr>
        <w:t xml:space="preserve"> 2014).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832921">
        <w:rPr>
          <w:rFonts w:ascii="Times New Roman" w:hAnsi="Times New Roman" w:cs="Times New Roman"/>
          <w:sz w:val="24"/>
        </w:rPr>
        <w:t>Аддис-Абебской</w:t>
      </w:r>
      <w:proofErr w:type="spellEnd"/>
      <w:r w:rsidRPr="00832921">
        <w:rPr>
          <w:rFonts w:ascii="Times New Roman" w:hAnsi="Times New Roman" w:cs="Times New Roman"/>
          <w:sz w:val="24"/>
        </w:rPr>
        <w:t xml:space="preserve"> программе действий и в Повестке дня на 2030 год широко распространено признание того, что для удовлетворения потребностей </w:t>
      </w:r>
      <w:r w:rsidR="00B9147C">
        <w:rPr>
          <w:rFonts w:ascii="Times New Roman" w:hAnsi="Times New Roman" w:cs="Times New Roman"/>
          <w:sz w:val="24"/>
        </w:rPr>
        <w:t>ЦУР</w:t>
      </w:r>
      <w:r w:rsidRPr="00832921">
        <w:rPr>
          <w:rFonts w:ascii="Times New Roman" w:hAnsi="Times New Roman" w:cs="Times New Roman"/>
          <w:sz w:val="24"/>
        </w:rPr>
        <w:t xml:space="preserve"> потребуются многочисленные источники финансирования</w:t>
      </w:r>
      <w:r w:rsidR="00727666">
        <w:rPr>
          <w:rFonts w:ascii="Times New Roman" w:hAnsi="Times New Roman" w:cs="Times New Roman"/>
          <w:sz w:val="24"/>
        </w:rPr>
        <w:t>,</w:t>
      </w:r>
      <w:r w:rsidRPr="00832921">
        <w:rPr>
          <w:rFonts w:ascii="Times New Roman" w:hAnsi="Times New Roman" w:cs="Times New Roman"/>
          <w:sz w:val="24"/>
        </w:rPr>
        <w:t xml:space="preserve"> и что им необходимо будет эффективно сотрудничать</w:t>
      </w:r>
      <w:r w:rsidRPr="00D939A7">
        <w:rPr>
          <w:rFonts w:ascii="Times New Roman" w:hAnsi="Times New Roman" w:cs="Times New Roman"/>
          <w:sz w:val="24"/>
        </w:rPr>
        <w:t xml:space="preserve">. Это включает </w:t>
      </w:r>
      <w:r w:rsidR="002F6B17">
        <w:rPr>
          <w:rFonts w:ascii="Times New Roman" w:hAnsi="Times New Roman" w:cs="Times New Roman"/>
          <w:sz w:val="24"/>
        </w:rPr>
        <w:t>важную</w:t>
      </w:r>
      <w:r w:rsidRPr="00D939A7">
        <w:rPr>
          <w:rFonts w:ascii="Times New Roman" w:hAnsi="Times New Roman" w:cs="Times New Roman"/>
          <w:sz w:val="24"/>
        </w:rPr>
        <w:t xml:space="preserve"> роль </w:t>
      </w:r>
      <w:r w:rsidRPr="00510A8E">
        <w:rPr>
          <w:rFonts w:ascii="Times New Roman" w:hAnsi="Times New Roman" w:cs="Times New Roman"/>
          <w:sz w:val="24"/>
        </w:rPr>
        <w:t>внутренних ресурсов в достижении целей национального развития</w:t>
      </w:r>
      <w:r w:rsidR="002F6B17">
        <w:rPr>
          <w:rFonts w:ascii="Times New Roman" w:hAnsi="Times New Roman" w:cs="Times New Roman"/>
          <w:sz w:val="24"/>
        </w:rPr>
        <w:t>, и важну</w:t>
      </w:r>
      <w:r w:rsidR="00D939A7" w:rsidRPr="00510A8E">
        <w:rPr>
          <w:rFonts w:ascii="Times New Roman" w:hAnsi="Times New Roman" w:cs="Times New Roman"/>
          <w:sz w:val="24"/>
        </w:rPr>
        <w:t>ю роль</w:t>
      </w:r>
      <w:r w:rsidRPr="00510A8E">
        <w:rPr>
          <w:rFonts w:ascii="Times New Roman" w:hAnsi="Times New Roman" w:cs="Times New Roman"/>
          <w:sz w:val="24"/>
        </w:rPr>
        <w:t xml:space="preserve"> </w:t>
      </w:r>
      <w:r w:rsidR="00D939A7" w:rsidRPr="00510A8E">
        <w:rPr>
          <w:rFonts w:ascii="Times New Roman" w:hAnsi="Times New Roman" w:cs="Times New Roman"/>
          <w:sz w:val="24"/>
        </w:rPr>
        <w:t xml:space="preserve">государственного </w:t>
      </w:r>
      <w:r w:rsidRPr="00510A8E">
        <w:rPr>
          <w:rFonts w:ascii="Times New Roman" w:hAnsi="Times New Roman" w:cs="Times New Roman"/>
          <w:sz w:val="24"/>
        </w:rPr>
        <w:t>вмешательств</w:t>
      </w:r>
      <w:r w:rsidR="00D939A7" w:rsidRPr="00510A8E">
        <w:rPr>
          <w:rFonts w:ascii="Times New Roman" w:hAnsi="Times New Roman" w:cs="Times New Roman"/>
          <w:sz w:val="24"/>
        </w:rPr>
        <w:t>а</w:t>
      </w:r>
      <w:r w:rsidRPr="00510A8E">
        <w:rPr>
          <w:rFonts w:ascii="Times New Roman" w:hAnsi="Times New Roman" w:cs="Times New Roman"/>
          <w:sz w:val="24"/>
        </w:rPr>
        <w:t>, в</w:t>
      </w:r>
      <w:r w:rsidR="00D939A7" w:rsidRPr="00510A8E">
        <w:rPr>
          <w:rFonts w:ascii="Times New Roman" w:hAnsi="Times New Roman" w:cs="Times New Roman"/>
          <w:sz w:val="24"/>
        </w:rPr>
        <w:t xml:space="preserve">ключающего такие государственные ресурсы, как </w:t>
      </w:r>
      <w:proofErr w:type="gramStart"/>
      <w:r w:rsidR="00D939A7" w:rsidRPr="00510A8E">
        <w:rPr>
          <w:rFonts w:ascii="Times New Roman" w:hAnsi="Times New Roman" w:cs="Times New Roman"/>
          <w:sz w:val="24"/>
        </w:rPr>
        <w:t>ОПР</w:t>
      </w:r>
      <w:proofErr w:type="gramEnd"/>
      <w:r w:rsidR="00D939A7" w:rsidRPr="00510A8E">
        <w:rPr>
          <w:rFonts w:ascii="Times New Roman" w:hAnsi="Times New Roman" w:cs="Times New Roman"/>
          <w:sz w:val="24"/>
        </w:rPr>
        <w:t xml:space="preserve"> (официальная помощь развитию)</w:t>
      </w:r>
      <w:r w:rsidR="00510A8E">
        <w:rPr>
          <w:rFonts w:ascii="Times New Roman" w:hAnsi="Times New Roman" w:cs="Times New Roman"/>
          <w:sz w:val="24"/>
        </w:rPr>
        <w:t>, которые</w:t>
      </w:r>
      <w:r w:rsidRPr="00510A8E">
        <w:rPr>
          <w:rFonts w:ascii="Times New Roman" w:hAnsi="Times New Roman" w:cs="Times New Roman"/>
          <w:sz w:val="24"/>
        </w:rPr>
        <w:t xml:space="preserve"> </w:t>
      </w:r>
      <w:r w:rsidR="00510A8E">
        <w:rPr>
          <w:rFonts w:ascii="Times New Roman" w:hAnsi="Times New Roman" w:cs="Times New Roman"/>
          <w:sz w:val="24"/>
        </w:rPr>
        <w:t>укрепл</w:t>
      </w:r>
      <w:r w:rsidRPr="00510A8E">
        <w:rPr>
          <w:rFonts w:ascii="Times New Roman" w:hAnsi="Times New Roman" w:cs="Times New Roman"/>
          <w:sz w:val="24"/>
        </w:rPr>
        <w:t xml:space="preserve">яют внутренний потенциал </w:t>
      </w:r>
      <w:r w:rsidR="00D939A7" w:rsidRPr="00510A8E">
        <w:rPr>
          <w:rFonts w:ascii="Times New Roman" w:hAnsi="Times New Roman" w:cs="Times New Roman"/>
          <w:sz w:val="24"/>
        </w:rPr>
        <w:t>и</w:t>
      </w:r>
      <w:r w:rsidRPr="00510A8E">
        <w:rPr>
          <w:rFonts w:ascii="Times New Roman" w:hAnsi="Times New Roman" w:cs="Times New Roman"/>
          <w:sz w:val="24"/>
        </w:rPr>
        <w:t xml:space="preserve"> расшир</w:t>
      </w:r>
      <w:r w:rsidR="00D939A7" w:rsidRPr="00510A8E">
        <w:rPr>
          <w:rFonts w:ascii="Times New Roman" w:hAnsi="Times New Roman" w:cs="Times New Roman"/>
          <w:sz w:val="24"/>
        </w:rPr>
        <w:t>яют базу</w:t>
      </w:r>
      <w:r w:rsidRPr="00510A8E">
        <w:rPr>
          <w:rFonts w:ascii="Times New Roman" w:hAnsi="Times New Roman" w:cs="Times New Roman"/>
          <w:sz w:val="24"/>
        </w:rPr>
        <w:t xml:space="preserve"> доходов. Действ</w:t>
      </w:r>
      <w:r w:rsidRPr="00DC3E1E">
        <w:rPr>
          <w:rFonts w:ascii="Times New Roman" w:hAnsi="Times New Roman" w:cs="Times New Roman"/>
          <w:sz w:val="24"/>
        </w:rPr>
        <w:t>ительно, особенно в развивающихся странах вертикальны</w:t>
      </w:r>
      <w:r w:rsidR="008F5892">
        <w:rPr>
          <w:rFonts w:ascii="Times New Roman" w:hAnsi="Times New Roman" w:cs="Times New Roman"/>
          <w:sz w:val="24"/>
        </w:rPr>
        <w:t>й</w:t>
      </w:r>
      <w:r w:rsidRPr="00DC3E1E">
        <w:rPr>
          <w:rFonts w:ascii="Times New Roman" w:hAnsi="Times New Roman" w:cs="Times New Roman"/>
          <w:sz w:val="24"/>
        </w:rPr>
        <w:t xml:space="preserve"> </w:t>
      </w:r>
      <w:r w:rsidR="008F5892">
        <w:rPr>
          <w:rFonts w:ascii="Times New Roman" w:hAnsi="Times New Roman" w:cs="Times New Roman"/>
          <w:sz w:val="24"/>
        </w:rPr>
        <w:t>дефицит</w:t>
      </w:r>
      <w:r w:rsidR="003C3580">
        <w:rPr>
          <w:rFonts w:ascii="Times New Roman" w:hAnsi="Times New Roman" w:cs="Times New Roman"/>
          <w:sz w:val="24"/>
        </w:rPr>
        <w:t xml:space="preserve"> (дисбаланс)</w:t>
      </w:r>
      <w:r w:rsidR="008F5892">
        <w:rPr>
          <w:rFonts w:ascii="Times New Roman" w:hAnsi="Times New Roman" w:cs="Times New Roman"/>
          <w:sz w:val="24"/>
        </w:rPr>
        <w:t xml:space="preserve"> бюджета</w:t>
      </w:r>
      <w:r w:rsidRPr="00DC3E1E">
        <w:rPr>
          <w:rFonts w:ascii="Times New Roman" w:hAnsi="Times New Roman" w:cs="Times New Roman"/>
          <w:sz w:val="24"/>
        </w:rPr>
        <w:t xml:space="preserve"> потенциально буд</w:t>
      </w:r>
      <w:r w:rsidR="008F5892">
        <w:rPr>
          <w:rFonts w:ascii="Times New Roman" w:hAnsi="Times New Roman" w:cs="Times New Roman"/>
          <w:sz w:val="24"/>
        </w:rPr>
        <w:t>е</w:t>
      </w:r>
      <w:r w:rsidRPr="00DC3E1E">
        <w:rPr>
          <w:rFonts w:ascii="Times New Roman" w:hAnsi="Times New Roman" w:cs="Times New Roman"/>
          <w:sz w:val="24"/>
        </w:rPr>
        <w:t>т</w:t>
      </w:r>
      <w:r w:rsidR="00DC3E1E" w:rsidRPr="00DC3E1E">
        <w:rPr>
          <w:rFonts w:ascii="Times New Roman" w:hAnsi="Times New Roman" w:cs="Times New Roman"/>
          <w:sz w:val="24"/>
        </w:rPr>
        <w:t xml:space="preserve"> </w:t>
      </w:r>
      <w:r w:rsidRPr="00DC3E1E">
        <w:rPr>
          <w:rFonts w:ascii="Times New Roman" w:hAnsi="Times New Roman" w:cs="Times New Roman"/>
          <w:sz w:val="24"/>
        </w:rPr>
        <w:t xml:space="preserve"> расширяться по мере увеличения спроса на более высокие государственные расходы, </w:t>
      </w:r>
      <w:r w:rsidRPr="008F1585">
        <w:rPr>
          <w:rFonts w:ascii="Times New Roman" w:hAnsi="Times New Roman" w:cs="Times New Roman"/>
          <w:sz w:val="24"/>
        </w:rPr>
        <w:t xml:space="preserve">особенно в странах, где значительное давление на центральные органы власти оказывает </w:t>
      </w:r>
      <w:r w:rsidR="008F1585" w:rsidRPr="008F1585">
        <w:rPr>
          <w:rFonts w:ascii="Times New Roman" w:hAnsi="Times New Roman" w:cs="Times New Roman"/>
          <w:sz w:val="24"/>
        </w:rPr>
        <w:t xml:space="preserve">их обязанность предоставлять </w:t>
      </w:r>
      <w:r w:rsidRPr="008F1585">
        <w:rPr>
          <w:rFonts w:ascii="Times New Roman" w:hAnsi="Times New Roman" w:cs="Times New Roman"/>
          <w:sz w:val="24"/>
        </w:rPr>
        <w:t>качественн</w:t>
      </w:r>
      <w:r w:rsidR="008F1585" w:rsidRPr="008F1585">
        <w:rPr>
          <w:rFonts w:ascii="Times New Roman" w:hAnsi="Times New Roman" w:cs="Times New Roman"/>
          <w:sz w:val="24"/>
        </w:rPr>
        <w:t xml:space="preserve">ую </w:t>
      </w:r>
      <w:r w:rsidRPr="008F1585">
        <w:rPr>
          <w:rFonts w:ascii="Times New Roman" w:hAnsi="Times New Roman" w:cs="Times New Roman"/>
          <w:sz w:val="24"/>
        </w:rPr>
        <w:t>инфраструктур</w:t>
      </w:r>
      <w:r w:rsidR="008F1585" w:rsidRPr="008F1585">
        <w:rPr>
          <w:rFonts w:ascii="Times New Roman" w:hAnsi="Times New Roman" w:cs="Times New Roman"/>
          <w:sz w:val="24"/>
        </w:rPr>
        <w:t>у</w:t>
      </w:r>
      <w:r w:rsidRPr="008F1585">
        <w:rPr>
          <w:rFonts w:ascii="Times New Roman" w:hAnsi="Times New Roman" w:cs="Times New Roman"/>
          <w:sz w:val="24"/>
        </w:rPr>
        <w:t xml:space="preserve"> и </w:t>
      </w:r>
      <w:r w:rsidR="00DC3E1E" w:rsidRPr="008F1585">
        <w:rPr>
          <w:rFonts w:ascii="Times New Roman" w:hAnsi="Times New Roman" w:cs="Times New Roman"/>
          <w:sz w:val="24"/>
        </w:rPr>
        <w:t>базовые</w:t>
      </w:r>
      <w:r w:rsidRPr="008F1585">
        <w:rPr>
          <w:rFonts w:ascii="Times New Roman" w:hAnsi="Times New Roman" w:cs="Times New Roman"/>
          <w:sz w:val="24"/>
        </w:rPr>
        <w:t xml:space="preserve"> услуги.</w:t>
      </w:r>
      <w:r w:rsidRPr="00832921">
        <w:rPr>
          <w:rFonts w:ascii="Times New Roman" w:hAnsi="Times New Roman" w:cs="Times New Roman"/>
          <w:sz w:val="24"/>
        </w:rPr>
        <w:t xml:space="preserve"> Во многих случаях исполнение предлагаемого бюджета бюджетного центрального правительства сдерживается плохой </w:t>
      </w:r>
      <w:r w:rsidR="00522A9D">
        <w:rPr>
          <w:rFonts w:ascii="Times New Roman" w:hAnsi="Times New Roman" w:cs="Times New Roman"/>
          <w:sz w:val="24"/>
        </w:rPr>
        <w:t xml:space="preserve">системой управления </w:t>
      </w:r>
      <w:r w:rsidRPr="00832921">
        <w:rPr>
          <w:rFonts w:ascii="Times New Roman" w:hAnsi="Times New Roman" w:cs="Times New Roman"/>
          <w:sz w:val="24"/>
        </w:rPr>
        <w:t>поступлени</w:t>
      </w:r>
      <w:r w:rsidR="00522A9D">
        <w:rPr>
          <w:rFonts w:ascii="Times New Roman" w:hAnsi="Times New Roman" w:cs="Times New Roman"/>
          <w:sz w:val="24"/>
        </w:rPr>
        <w:t xml:space="preserve">ями </w:t>
      </w:r>
      <w:r w:rsidRPr="00832921">
        <w:rPr>
          <w:rFonts w:ascii="Times New Roman" w:hAnsi="Times New Roman" w:cs="Times New Roman"/>
          <w:sz w:val="24"/>
        </w:rPr>
        <w:t>и / или отсутствием статистической основы для мониторинга потоков доходов. Учитывая непредсказуемые и неустойчивые уровни доходов во многих развивающихся странах, улучшенная статистика доходов поможет смягчить любые возможные бюджетные дефициты и поддержать устойчивое развитие национальных экономик.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Источники и сбор данных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 xml:space="preserve">Данные о доходах: ежегодные и </w:t>
      </w:r>
      <w:r w:rsidR="008E3E6C">
        <w:rPr>
          <w:rFonts w:ascii="Times New Roman" w:hAnsi="Times New Roman" w:cs="Times New Roman"/>
          <w:sz w:val="24"/>
        </w:rPr>
        <w:t>внутригодовые</w:t>
      </w:r>
      <w:r w:rsidRPr="00832921">
        <w:rPr>
          <w:rFonts w:ascii="Times New Roman" w:hAnsi="Times New Roman" w:cs="Times New Roman"/>
          <w:sz w:val="24"/>
        </w:rPr>
        <w:t xml:space="preserve"> налоговые данные в формате </w:t>
      </w:r>
      <w:r w:rsidR="00FB5F9D">
        <w:rPr>
          <w:rFonts w:ascii="Times New Roman" w:hAnsi="Times New Roman" w:cs="Times New Roman"/>
          <w:sz w:val="24"/>
        </w:rPr>
        <w:t>СГФ</w:t>
      </w:r>
      <w:r w:rsidRPr="00832921">
        <w:rPr>
          <w:rFonts w:ascii="Times New Roman" w:hAnsi="Times New Roman" w:cs="Times New Roman"/>
          <w:sz w:val="24"/>
        </w:rPr>
        <w:t xml:space="preserve"> или национальной презентации, которые могут быть «привязаны» к классификациям СГФ, обычно доступны из данных Министерства финансов.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Такие данные относятся к шести основным категориям СГФ, как указано в определении.</w:t>
      </w:r>
    </w:p>
    <w:p w:rsidR="000C7158" w:rsidRDefault="000C7158" w:rsidP="00A41EEB">
      <w:pPr>
        <w:rPr>
          <w:rFonts w:ascii="Times New Roman" w:hAnsi="Times New Roman" w:cs="Times New Roman"/>
          <w:b/>
          <w:sz w:val="24"/>
        </w:rPr>
      </w:pPr>
      <w:proofErr w:type="spellStart"/>
      <w:r w:rsidRPr="000C7158">
        <w:rPr>
          <w:rFonts w:ascii="Times New Roman" w:hAnsi="Times New Roman" w:cs="Times New Roman"/>
          <w:b/>
          <w:sz w:val="24"/>
        </w:rPr>
        <w:t>Дезагрегация</w:t>
      </w:r>
      <w:proofErr w:type="spellEnd"/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32921">
        <w:rPr>
          <w:rFonts w:ascii="Times New Roman" w:hAnsi="Times New Roman" w:cs="Times New Roman"/>
          <w:sz w:val="24"/>
        </w:rPr>
        <w:t>Предлагается, исходя из сложности сбора данных, стандартизованной отчетности и финансовых последствий, что данные не должны дезагрегироваться ниже уровня детализации, представленного в РСГФ 2014.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lastRenderedPageBreak/>
        <w:t>Комментарии и ограничения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 xml:space="preserve">Ключевыми вопросами, связанными с этим показателем, являются (1) уровень </w:t>
      </w:r>
      <w:proofErr w:type="spellStart"/>
      <w:r w:rsidRPr="00832921">
        <w:rPr>
          <w:rFonts w:ascii="Times New Roman" w:hAnsi="Times New Roman" w:cs="Times New Roman"/>
          <w:sz w:val="24"/>
        </w:rPr>
        <w:t>дезагрегации</w:t>
      </w:r>
      <w:proofErr w:type="spellEnd"/>
      <w:r w:rsidRPr="00832921">
        <w:rPr>
          <w:rFonts w:ascii="Times New Roman" w:hAnsi="Times New Roman" w:cs="Times New Roman"/>
          <w:sz w:val="24"/>
        </w:rPr>
        <w:t xml:space="preserve"> шести основных категорий налогов СГФ, (2) связывани</w:t>
      </w:r>
      <w:r w:rsidR="008D5CEA">
        <w:rPr>
          <w:rFonts w:ascii="Times New Roman" w:hAnsi="Times New Roman" w:cs="Times New Roman"/>
          <w:sz w:val="24"/>
        </w:rPr>
        <w:t>е</w:t>
      </w:r>
      <w:r w:rsidRPr="00832921">
        <w:rPr>
          <w:rFonts w:ascii="Times New Roman" w:hAnsi="Times New Roman" w:cs="Times New Roman"/>
          <w:sz w:val="24"/>
        </w:rPr>
        <w:t xml:space="preserve"> национальных </w:t>
      </w:r>
      <w:r w:rsidR="008D5CEA">
        <w:rPr>
          <w:rFonts w:ascii="Times New Roman" w:hAnsi="Times New Roman" w:cs="Times New Roman"/>
          <w:sz w:val="24"/>
        </w:rPr>
        <w:t>отчетов</w:t>
      </w:r>
      <w:r w:rsidRPr="00832921">
        <w:rPr>
          <w:rFonts w:ascii="Times New Roman" w:hAnsi="Times New Roman" w:cs="Times New Roman"/>
          <w:sz w:val="24"/>
        </w:rPr>
        <w:t xml:space="preserve"> с системой классификации СГФ, (3) точность данных и (4) сопоставимость между странами. Хотя статистические данные </w:t>
      </w:r>
      <w:r w:rsidR="00540B3C">
        <w:rPr>
          <w:rFonts w:ascii="Times New Roman" w:hAnsi="Times New Roman" w:cs="Times New Roman"/>
          <w:sz w:val="24"/>
        </w:rPr>
        <w:t xml:space="preserve">СНС </w:t>
      </w:r>
      <w:r w:rsidRPr="00832921">
        <w:rPr>
          <w:rFonts w:ascii="Times New Roman" w:hAnsi="Times New Roman" w:cs="Times New Roman"/>
          <w:sz w:val="24"/>
        </w:rPr>
        <w:t>и</w:t>
      </w:r>
      <w:r w:rsidR="003617A4">
        <w:rPr>
          <w:rFonts w:ascii="Times New Roman" w:hAnsi="Times New Roman" w:cs="Times New Roman"/>
          <w:sz w:val="24"/>
        </w:rPr>
        <w:t xml:space="preserve"> </w:t>
      </w:r>
      <w:r w:rsidR="00C039FB">
        <w:rPr>
          <w:rFonts w:ascii="Times New Roman" w:hAnsi="Times New Roman" w:cs="Times New Roman"/>
          <w:i/>
          <w:sz w:val="24"/>
        </w:rPr>
        <w:t>Статистика доходов</w:t>
      </w:r>
      <w:r w:rsidRPr="003617A4">
        <w:rPr>
          <w:rFonts w:ascii="Times New Roman" w:hAnsi="Times New Roman" w:cs="Times New Roman"/>
          <w:i/>
          <w:sz w:val="24"/>
        </w:rPr>
        <w:t xml:space="preserve"> </w:t>
      </w:r>
      <w:r w:rsidR="003617A4">
        <w:rPr>
          <w:rFonts w:ascii="Times New Roman" w:hAnsi="Times New Roman" w:cs="Times New Roman"/>
          <w:sz w:val="24"/>
        </w:rPr>
        <w:t>ОЭСР</w:t>
      </w:r>
      <w:r w:rsidRPr="00832921">
        <w:rPr>
          <w:rFonts w:ascii="Times New Roman" w:hAnsi="Times New Roman" w:cs="Times New Roman"/>
          <w:sz w:val="24"/>
        </w:rPr>
        <w:t xml:space="preserve"> могут использов</w:t>
      </w:r>
      <w:r w:rsidR="00803426">
        <w:rPr>
          <w:rFonts w:ascii="Times New Roman" w:hAnsi="Times New Roman" w:cs="Times New Roman"/>
          <w:sz w:val="24"/>
        </w:rPr>
        <w:t>аться для определения налоговой нагрузки</w:t>
      </w:r>
      <w:r w:rsidRPr="00832921">
        <w:rPr>
          <w:rFonts w:ascii="Times New Roman" w:hAnsi="Times New Roman" w:cs="Times New Roman"/>
          <w:sz w:val="24"/>
        </w:rPr>
        <w:t>, наилучш</w:t>
      </w:r>
      <w:r w:rsidR="00803426">
        <w:rPr>
          <w:rFonts w:ascii="Times New Roman" w:hAnsi="Times New Roman" w:cs="Times New Roman"/>
          <w:sz w:val="24"/>
        </w:rPr>
        <w:t xml:space="preserve">ая </w:t>
      </w:r>
      <w:r w:rsidRPr="00832921">
        <w:rPr>
          <w:rFonts w:ascii="Times New Roman" w:hAnsi="Times New Roman" w:cs="Times New Roman"/>
          <w:sz w:val="24"/>
        </w:rPr>
        <w:t>возможн</w:t>
      </w:r>
      <w:r w:rsidR="00803426">
        <w:rPr>
          <w:rFonts w:ascii="Times New Roman" w:hAnsi="Times New Roman" w:cs="Times New Roman"/>
          <w:sz w:val="24"/>
        </w:rPr>
        <w:t>ая</w:t>
      </w:r>
      <w:r w:rsidRPr="00832921">
        <w:rPr>
          <w:rFonts w:ascii="Times New Roman" w:hAnsi="Times New Roman" w:cs="Times New Roman"/>
          <w:sz w:val="24"/>
        </w:rPr>
        <w:t xml:space="preserve"> сопоставимость между странами</w:t>
      </w:r>
      <w:r w:rsidR="00803426">
        <w:rPr>
          <w:rFonts w:ascii="Times New Roman" w:hAnsi="Times New Roman" w:cs="Times New Roman"/>
          <w:sz w:val="24"/>
        </w:rPr>
        <w:t xml:space="preserve"> может быть достигнута</w:t>
      </w:r>
      <w:r w:rsidR="00F72676">
        <w:rPr>
          <w:rFonts w:ascii="Times New Roman" w:hAnsi="Times New Roman" w:cs="Times New Roman"/>
          <w:sz w:val="24"/>
        </w:rPr>
        <w:t xml:space="preserve"> с </w:t>
      </w:r>
      <w:r w:rsidRPr="00832921">
        <w:rPr>
          <w:rFonts w:ascii="Times New Roman" w:hAnsi="Times New Roman" w:cs="Times New Roman"/>
          <w:sz w:val="24"/>
        </w:rPr>
        <w:t>использ</w:t>
      </w:r>
      <w:r w:rsidR="00F72676">
        <w:rPr>
          <w:rFonts w:ascii="Times New Roman" w:hAnsi="Times New Roman" w:cs="Times New Roman"/>
          <w:sz w:val="24"/>
        </w:rPr>
        <w:t>ованием</w:t>
      </w:r>
      <w:r w:rsidRPr="00832921">
        <w:rPr>
          <w:rFonts w:ascii="Times New Roman" w:hAnsi="Times New Roman" w:cs="Times New Roman"/>
          <w:sz w:val="24"/>
        </w:rPr>
        <w:t xml:space="preserve"> классификаци</w:t>
      </w:r>
      <w:r w:rsidR="00F72676">
        <w:rPr>
          <w:rFonts w:ascii="Times New Roman" w:hAnsi="Times New Roman" w:cs="Times New Roman"/>
          <w:sz w:val="24"/>
        </w:rPr>
        <w:t>и</w:t>
      </w:r>
      <w:r w:rsidRPr="00832921">
        <w:rPr>
          <w:rFonts w:ascii="Times New Roman" w:hAnsi="Times New Roman" w:cs="Times New Roman"/>
          <w:sz w:val="24"/>
        </w:rPr>
        <w:t xml:space="preserve"> </w:t>
      </w:r>
      <w:r w:rsidR="00FB5F9D">
        <w:rPr>
          <w:rFonts w:ascii="Times New Roman" w:hAnsi="Times New Roman" w:cs="Times New Roman"/>
          <w:sz w:val="24"/>
        </w:rPr>
        <w:t>РСГФ</w:t>
      </w:r>
      <w:r w:rsidRPr="00832921">
        <w:rPr>
          <w:rFonts w:ascii="Times New Roman" w:hAnsi="Times New Roman" w:cs="Times New Roman"/>
          <w:sz w:val="24"/>
        </w:rPr>
        <w:t xml:space="preserve"> 2014.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Вопросы гендерного равенства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>Никаких ключевых гендерных вопросов, связанных с этим показателем.</w:t>
      </w:r>
    </w:p>
    <w:p w:rsidR="00A41EEB" w:rsidRPr="00832921" w:rsidRDefault="00A41EEB" w:rsidP="00A41EEB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t>Дополнительная информация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C039FB">
        <w:rPr>
          <w:rFonts w:ascii="Times New Roman" w:hAnsi="Times New Roman" w:cs="Times New Roman"/>
          <w:i/>
          <w:sz w:val="24"/>
        </w:rPr>
        <w:t xml:space="preserve">Статистика </w:t>
      </w:r>
      <w:r w:rsidR="00C039FB" w:rsidRPr="00C039FB">
        <w:rPr>
          <w:rFonts w:ascii="Times New Roman" w:hAnsi="Times New Roman" w:cs="Times New Roman"/>
          <w:i/>
          <w:sz w:val="24"/>
        </w:rPr>
        <w:t>доходов</w:t>
      </w:r>
      <w:r w:rsidRPr="00832921">
        <w:rPr>
          <w:rFonts w:ascii="Times New Roman" w:hAnsi="Times New Roman" w:cs="Times New Roman"/>
          <w:sz w:val="24"/>
        </w:rPr>
        <w:t>, публикуемая ежегодно Организацией экономического сотрудничества и развития (ОЭСР) и связанн</w:t>
      </w:r>
      <w:r w:rsidR="00C039FB">
        <w:rPr>
          <w:rFonts w:ascii="Times New Roman" w:hAnsi="Times New Roman" w:cs="Times New Roman"/>
          <w:sz w:val="24"/>
        </w:rPr>
        <w:t>ая</w:t>
      </w:r>
      <w:r w:rsidRPr="00832921">
        <w:rPr>
          <w:rFonts w:ascii="Times New Roman" w:hAnsi="Times New Roman" w:cs="Times New Roman"/>
          <w:sz w:val="24"/>
        </w:rPr>
        <w:t xml:space="preserve"> с ней баз</w:t>
      </w:r>
      <w:r w:rsidR="00C039FB">
        <w:rPr>
          <w:rFonts w:ascii="Times New Roman" w:hAnsi="Times New Roman" w:cs="Times New Roman"/>
          <w:sz w:val="24"/>
        </w:rPr>
        <w:t>а</w:t>
      </w:r>
      <w:r w:rsidRPr="00832921">
        <w:rPr>
          <w:rFonts w:ascii="Times New Roman" w:hAnsi="Times New Roman" w:cs="Times New Roman"/>
          <w:sz w:val="24"/>
        </w:rPr>
        <w:t xml:space="preserve"> данных, хотя и ограничивается странами ОЭСР и конкретным сроком, </w:t>
      </w:r>
      <w:r w:rsidR="00C039FB">
        <w:rPr>
          <w:rFonts w:ascii="Times New Roman" w:hAnsi="Times New Roman" w:cs="Times New Roman"/>
          <w:sz w:val="24"/>
        </w:rPr>
        <w:t xml:space="preserve">но </w:t>
      </w:r>
      <w:r w:rsidRPr="00832921">
        <w:rPr>
          <w:rFonts w:ascii="Times New Roman" w:hAnsi="Times New Roman" w:cs="Times New Roman"/>
          <w:sz w:val="24"/>
        </w:rPr>
        <w:t>обеспечивает широко распространенную и в значительной степени сопоставимую методологию, которая могла бы способствовать р</w:t>
      </w:r>
      <w:r w:rsidR="00C039FB">
        <w:rPr>
          <w:rFonts w:ascii="Times New Roman" w:hAnsi="Times New Roman" w:cs="Times New Roman"/>
          <w:sz w:val="24"/>
        </w:rPr>
        <w:t>асчету</w:t>
      </w:r>
      <w:r w:rsidRPr="00832921">
        <w:rPr>
          <w:rFonts w:ascii="Times New Roman" w:hAnsi="Times New Roman" w:cs="Times New Roman"/>
          <w:sz w:val="24"/>
        </w:rPr>
        <w:t xml:space="preserve"> этого показателя. Эта ежегодная публикация дает концептуальную основу для определения того, какие правительственные поступления следует рассматривать как налоги. Он представляет уникальный набор подробных и международно сопоставимых налоговых данных в едином формате для всех стран ОЭСР с 1965 года.</w:t>
      </w:r>
    </w:p>
    <w:p w:rsidR="00A41EEB" w:rsidRPr="00832921" w:rsidRDefault="00A41EEB" w:rsidP="00A41EEB">
      <w:pPr>
        <w:rPr>
          <w:rFonts w:ascii="Times New Roman" w:hAnsi="Times New Roman" w:cs="Times New Roman"/>
          <w:sz w:val="24"/>
        </w:rPr>
      </w:pPr>
      <w:r w:rsidRPr="00832921">
        <w:rPr>
          <w:rFonts w:ascii="Times New Roman" w:hAnsi="Times New Roman" w:cs="Times New Roman"/>
          <w:sz w:val="24"/>
        </w:rPr>
        <w:t xml:space="preserve">Следует также отметить, что классификация, используемая в </w:t>
      </w:r>
      <w:r w:rsidRPr="00C039FB">
        <w:rPr>
          <w:rFonts w:ascii="Times New Roman" w:hAnsi="Times New Roman" w:cs="Times New Roman"/>
          <w:i/>
          <w:sz w:val="24"/>
        </w:rPr>
        <w:t>Статистике доходов</w:t>
      </w:r>
      <w:r w:rsidRPr="00832921">
        <w:rPr>
          <w:rFonts w:ascii="Times New Roman" w:hAnsi="Times New Roman" w:cs="Times New Roman"/>
          <w:sz w:val="24"/>
        </w:rPr>
        <w:t xml:space="preserve"> ОЭСР, имеет два основных отличия от РСГФ 2014: Обязательные взносы по социальному </w:t>
      </w:r>
      <w:r w:rsidR="000C67A9" w:rsidRPr="000C67A9">
        <w:rPr>
          <w:rFonts w:ascii="Times New Roman" w:hAnsi="Times New Roman" w:cs="Times New Roman"/>
          <w:sz w:val="24"/>
        </w:rPr>
        <w:t>страхованию</w:t>
      </w:r>
      <w:r w:rsidRPr="000C67A9">
        <w:rPr>
          <w:rFonts w:ascii="Times New Roman" w:hAnsi="Times New Roman" w:cs="Times New Roman"/>
          <w:sz w:val="24"/>
        </w:rPr>
        <w:t xml:space="preserve"> рассматриваются как налоги и категории налогов на товары и услуги</w:t>
      </w:r>
      <w:r w:rsidRPr="00832921">
        <w:rPr>
          <w:rFonts w:ascii="Times New Roman" w:hAnsi="Times New Roman" w:cs="Times New Roman"/>
          <w:sz w:val="24"/>
        </w:rPr>
        <w:t xml:space="preserve">, а налоги на международную торговлю и операции объединены в </w:t>
      </w:r>
      <w:r w:rsidR="00B249C1">
        <w:rPr>
          <w:rFonts w:ascii="Times New Roman" w:hAnsi="Times New Roman" w:cs="Times New Roman"/>
          <w:sz w:val="24"/>
        </w:rPr>
        <w:t>о</w:t>
      </w:r>
      <w:r w:rsidRPr="00832921">
        <w:rPr>
          <w:rFonts w:ascii="Times New Roman" w:hAnsi="Times New Roman" w:cs="Times New Roman"/>
          <w:sz w:val="24"/>
        </w:rPr>
        <w:t>дн</w:t>
      </w:r>
      <w:r w:rsidR="00B249C1">
        <w:rPr>
          <w:rFonts w:ascii="Times New Roman" w:hAnsi="Times New Roman" w:cs="Times New Roman"/>
          <w:sz w:val="24"/>
        </w:rPr>
        <w:t>у категорию</w:t>
      </w:r>
      <w:r w:rsidRPr="0083292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32921">
        <w:rPr>
          <w:rFonts w:ascii="Times New Roman" w:hAnsi="Times New Roman" w:cs="Times New Roman"/>
          <w:sz w:val="24"/>
        </w:rPr>
        <w:t xml:space="preserve">Кроме того, на подробном уровне классификации </w:t>
      </w:r>
      <w:r w:rsidRPr="00B249C1">
        <w:rPr>
          <w:rFonts w:ascii="Times New Roman" w:hAnsi="Times New Roman" w:cs="Times New Roman"/>
          <w:i/>
          <w:sz w:val="24"/>
        </w:rPr>
        <w:t>Статистика доходов</w:t>
      </w:r>
      <w:r w:rsidRPr="00832921">
        <w:rPr>
          <w:rFonts w:ascii="Times New Roman" w:hAnsi="Times New Roman" w:cs="Times New Roman"/>
          <w:sz w:val="24"/>
        </w:rPr>
        <w:t xml:space="preserve"> отличается в следующих аспектах: </w:t>
      </w:r>
      <w:r w:rsidRPr="00DC3E1E">
        <w:rPr>
          <w:rFonts w:ascii="Times New Roman" w:hAnsi="Times New Roman" w:cs="Times New Roman"/>
          <w:sz w:val="24"/>
        </w:rPr>
        <w:t xml:space="preserve">(i) подлежащие уплате </w:t>
      </w:r>
      <w:r w:rsidR="00DC3E1E" w:rsidRPr="00DC3E1E">
        <w:rPr>
          <w:rFonts w:ascii="Times New Roman" w:hAnsi="Times New Roman" w:cs="Times New Roman"/>
          <w:sz w:val="24"/>
        </w:rPr>
        <w:t>субсидии (налоговые скидки)</w:t>
      </w:r>
      <w:r w:rsidRPr="00DC3E1E">
        <w:rPr>
          <w:rFonts w:ascii="Times New Roman" w:hAnsi="Times New Roman" w:cs="Times New Roman"/>
          <w:sz w:val="24"/>
        </w:rPr>
        <w:t xml:space="preserve"> отражаются как </w:t>
      </w:r>
      <w:r w:rsidRPr="00D939A7">
        <w:rPr>
          <w:rFonts w:ascii="Times New Roman" w:hAnsi="Times New Roman" w:cs="Times New Roman"/>
          <w:sz w:val="24"/>
        </w:rPr>
        <w:t>отрицательные налоги</w:t>
      </w:r>
      <w:r w:rsidRPr="00DC3E1E">
        <w:rPr>
          <w:rFonts w:ascii="Times New Roman" w:hAnsi="Times New Roman" w:cs="Times New Roman"/>
          <w:sz w:val="24"/>
        </w:rPr>
        <w:t xml:space="preserve"> в той степени, в которой уплачиваем</w:t>
      </w:r>
      <w:r w:rsidR="00DC3E1E" w:rsidRPr="00DC3E1E">
        <w:rPr>
          <w:rFonts w:ascii="Times New Roman" w:hAnsi="Times New Roman" w:cs="Times New Roman"/>
          <w:sz w:val="24"/>
        </w:rPr>
        <w:t>ая</w:t>
      </w:r>
      <w:r w:rsidRPr="00DC3E1E">
        <w:rPr>
          <w:rFonts w:ascii="Times New Roman" w:hAnsi="Times New Roman" w:cs="Times New Roman"/>
          <w:sz w:val="24"/>
        </w:rPr>
        <w:t xml:space="preserve"> налогов</w:t>
      </w:r>
      <w:r w:rsidR="00DC3E1E" w:rsidRPr="00DC3E1E">
        <w:rPr>
          <w:rFonts w:ascii="Times New Roman" w:hAnsi="Times New Roman" w:cs="Times New Roman"/>
          <w:sz w:val="24"/>
        </w:rPr>
        <w:t>ая скидка</w:t>
      </w:r>
      <w:r w:rsidRPr="00DC3E1E">
        <w:rPr>
          <w:rFonts w:ascii="Times New Roman" w:hAnsi="Times New Roman" w:cs="Times New Roman"/>
          <w:sz w:val="24"/>
        </w:rPr>
        <w:t xml:space="preserve"> устанавливает существующий подоходный налог к ​​получению; (</w:t>
      </w:r>
      <w:proofErr w:type="spellStart"/>
      <w:r w:rsidR="00A079BA" w:rsidRPr="00DC3E1E">
        <w:rPr>
          <w:rFonts w:ascii="Times New Roman" w:hAnsi="Times New Roman" w:cs="Times New Roman"/>
          <w:sz w:val="24"/>
        </w:rPr>
        <w:t>i</w:t>
      </w:r>
      <w:r w:rsidRPr="00DC3E1E">
        <w:rPr>
          <w:rFonts w:ascii="Times New Roman" w:hAnsi="Times New Roman" w:cs="Times New Roman"/>
          <w:sz w:val="24"/>
        </w:rPr>
        <w:t>i</w:t>
      </w:r>
      <w:proofErr w:type="spellEnd"/>
      <w:r w:rsidRPr="00DC3E1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C3E1E">
        <w:rPr>
          <w:rFonts w:ascii="Times New Roman" w:hAnsi="Times New Roman" w:cs="Times New Roman"/>
          <w:sz w:val="24"/>
        </w:rPr>
        <w:t>вмененные</w:t>
      </w:r>
      <w:proofErr w:type="spellEnd"/>
      <w:r w:rsidRPr="00DC3E1E">
        <w:rPr>
          <w:rFonts w:ascii="Times New Roman" w:hAnsi="Times New Roman" w:cs="Times New Roman"/>
          <w:sz w:val="24"/>
        </w:rPr>
        <w:t xml:space="preserve"> налоги или субсидии, полученные от центрального банка, налагающего процентную ставку, отличную от рыночной, исключаются из статистики доходов;</w:t>
      </w:r>
      <w:proofErr w:type="gramEnd"/>
      <w:r w:rsidRPr="00DC3E1E">
        <w:rPr>
          <w:rFonts w:ascii="Times New Roman" w:hAnsi="Times New Roman" w:cs="Times New Roman"/>
          <w:sz w:val="24"/>
        </w:rPr>
        <w:t xml:space="preserve"> </w:t>
      </w:r>
      <w:r w:rsidR="00A650A6" w:rsidRPr="00DC3E1E">
        <w:rPr>
          <w:rFonts w:ascii="Times New Roman" w:hAnsi="Times New Roman" w:cs="Times New Roman"/>
          <w:sz w:val="24"/>
        </w:rPr>
        <w:t>и</w:t>
      </w:r>
      <w:r w:rsidRPr="00DC3E1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C3E1E">
        <w:rPr>
          <w:rFonts w:ascii="Times New Roman" w:hAnsi="Times New Roman" w:cs="Times New Roman"/>
          <w:sz w:val="24"/>
        </w:rPr>
        <w:t>iii</w:t>
      </w:r>
      <w:proofErr w:type="spellEnd"/>
      <w:r w:rsidRPr="00DC3E1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C3E1E">
        <w:rPr>
          <w:rFonts w:ascii="Times New Roman" w:hAnsi="Times New Roman" w:cs="Times New Roman"/>
          <w:sz w:val="24"/>
        </w:rPr>
        <w:t>вмененные</w:t>
      </w:r>
      <w:proofErr w:type="spellEnd"/>
      <w:r w:rsidRPr="00DC3E1E">
        <w:rPr>
          <w:rFonts w:ascii="Times New Roman" w:hAnsi="Times New Roman" w:cs="Times New Roman"/>
          <w:sz w:val="24"/>
        </w:rPr>
        <w:t xml:space="preserve"> налоги или субсидии, возникающие в результате функционирования нескольких систем обменного курса, исключены из статистики доходов.</w:t>
      </w:r>
    </w:p>
    <w:p w:rsidR="003B0BE2" w:rsidRDefault="003B0B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A7CE6" w:rsidRPr="00832921" w:rsidRDefault="00EA7CE6" w:rsidP="00EA7CE6">
      <w:pPr>
        <w:rPr>
          <w:rFonts w:ascii="Times New Roman" w:hAnsi="Times New Roman" w:cs="Times New Roman"/>
          <w:b/>
          <w:sz w:val="24"/>
        </w:rPr>
      </w:pPr>
      <w:r w:rsidRPr="00832921">
        <w:rPr>
          <w:rFonts w:ascii="Times New Roman" w:hAnsi="Times New Roman" w:cs="Times New Roman"/>
          <w:b/>
          <w:sz w:val="24"/>
        </w:rPr>
        <w:lastRenderedPageBreak/>
        <w:t>Примеры</w:t>
      </w:r>
    </w:p>
    <w:p w:rsidR="00EA7CE6" w:rsidRPr="00964DFC" w:rsidRDefault="00964DFC" w:rsidP="00EA7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 п</w:t>
      </w:r>
      <w:r w:rsidR="00EA7CE6" w:rsidRPr="00832921">
        <w:rPr>
          <w:rFonts w:ascii="Times New Roman" w:hAnsi="Times New Roman" w:cs="Times New Roman"/>
          <w:sz w:val="24"/>
        </w:rPr>
        <w:t>редставл</w:t>
      </w:r>
      <w:r>
        <w:rPr>
          <w:rFonts w:ascii="Times New Roman" w:hAnsi="Times New Roman" w:cs="Times New Roman"/>
          <w:sz w:val="24"/>
        </w:rPr>
        <w:t>ен</w:t>
      </w:r>
      <w:r w:rsidR="00B373D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EA7CE6" w:rsidRPr="00832921">
        <w:rPr>
          <w:rFonts w:ascii="Times New Roman" w:hAnsi="Times New Roman" w:cs="Times New Roman"/>
          <w:sz w:val="24"/>
        </w:rPr>
        <w:t xml:space="preserve">классификация основных доходов системы </w:t>
      </w:r>
      <w:r w:rsidRPr="00964DFC">
        <w:rPr>
          <w:rFonts w:ascii="Times New Roman" w:hAnsi="Times New Roman" w:cs="Times New Roman"/>
          <w:sz w:val="24"/>
        </w:rPr>
        <w:t>статистики государственных финансов</w:t>
      </w:r>
      <w:r w:rsidR="00EA7CE6" w:rsidRPr="00832921">
        <w:rPr>
          <w:rFonts w:ascii="Times New Roman" w:hAnsi="Times New Roman" w:cs="Times New Roman"/>
          <w:sz w:val="24"/>
        </w:rPr>
        <w:t>, а также подробная налоговая классифик</w:t>
      </w:r>
      <w:r w:rsidR="002C73AC" w:rsidRPr="00832921">
        <w:rPr>
          <w:rFonts w:ascii="Times New Roman" w:hAnsi="Times New Roman" w:cs="Times New Roman"/>
          <w:sz w:val="24"/>
        </w:rPr>
        <w:t xml:space="preserve">ация </w:t>
      </w:r>
      <w:r w:rsidRPr="00964DFC">
        <w:rPr>
          <w:rFonts w:ascii="Times New Roman" w:hAnsi="Times New Roman" w:cs="Times New Roman"/>
          <w:sz w:val="24"/>
        </w:rPr>
        <w:t>статистики государственных финансов</w:t>
      </w:r>
      <w:r w:rsidR="00EA7CE6" w:rsidRPr="00832921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73AC" w:rsidRPr="00832921" w:rsidTr="002C73AC">
        <w:tc>
          <w:tcPr>
            <w:tcW w:w="4785" w:type="dxa"/>
          </w:tcPr>
          <w:p w:rsidR="002C73AC" w:rsidRPr="00832921" w:rsidRDefault="00FB5F9D" w:rsidP="00C4640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РСГФ</w:t>
            </w:r>
            <w:r w:rsidR="00C46409" w:rsidRPr="00832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2014 </w:t>
            </w:r>
            <w:r w:rsidR="002C73AC" w:rsidRPr="002C7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="006A1FB3" w:rsidRPr="00832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ЛАССИФИКАЦИЯ ДОХОДОВ (кратко</w:t>
            </w:r>
            <w:r w:rsidR="002C73AC" w:rsidRPr="002C7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786" w:type="dxa"/>
          </w:tcPr>
          <w:p w:rsidR="002C73AC" w:rsidRPr="00832921" w:rsidRDefault="00FB5F9D" w:rsidP="006A1F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РСГФ</w:t>
            </w:r>
            <w:r w:rsidR="00CB5B19" w:rsidRPr="00832921">
              <w:rPr>
                <w:rFonts w:ascii="Times New Roman" w:hAnsi="Times New Roman" w:cs="Times New Roman"/>
                <w:b/>
              </w:rPr>
              <w:t xml:space="preserve"> 2014 КЛАССИФИКАЦИЯ</w:t>
            </w:r>
            <w:r w:rsidR="006A1FB3" w:rsidRPr="00832921">
              <w:rPr>
                <w:rFonts w:ascii="Times New Roman" w:hAnsi="Times New Roman" w:cs="Times New Roman"/>
                <w:b/>
              </w:rPr>
              <w:t xml:space="preserve"> НАЛОГОВ</w:t>
            </w:r>
            <w:r w:rsidR="00CB5B19" w:rsidRPr="00832921">
              <w:rPr>
                <w:rFonts w:ascii="Times New Roman" w:hAnsi="Times New Roman" w:cs="Times New Roman"/>
                <w:b/>
              </w:rPr>
              <w:t xml:space="preserve"> (подробно)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ДОХОД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 ДОХОД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Налоги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 Налоги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1619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111 Налоги на </w:t>
            </w:r>
            <w:r w:rsidR="0016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</w:t>
            </w: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прибыль и прирост капитала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 xml:space="preserve">111 Налоги на </w:t>
            </w:r>
            <w:r w:rsidR="00D27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</w:t>
            </w:r>
            <w:r w:rsidR="00D27C3F"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прибыль и прирост капитала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Налоги на заработную плату и рабочую силу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1111 Кредиторская задолженность физических лиц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Налоги на имущество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1112 Кредиторская задолженность корпораций и других предприятий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Налоги на товары и услуги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1113</w:t>
            </w:r>
            <w:proofErr w:type="gramStart"/>
            <w:r w:rsidRPr="00832921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832921">
              <w:rPr>
                <w:rFonts w:ascii="Times New Roman" w:hAnsi="Times New Roman" w:cs="Times New Roman"/>
                <w:color w:val="000000"/>
              </w:rPr>
              <w:t>ругое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Налоги на международную торговлю и операции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112 Налоги на заработную плату и рабочую силу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Другие налоги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113 Налоги на имущество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Социальные взносы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1131 Периодические налоги на недвижимое имущество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Взносы по социальному обеспечению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1132 Резервные налоги на чистую прибыль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Другие социальные взносы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1133 Налог на имущество, наследование и дарение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1C56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r w:rsidR="001C5651" w:rsidRPr="00832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1135 Капитальные вложения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  <w:proofErr w:type="gramStart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иностранных правительств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1136</w:t>
            </w:r>
            <w:proofErr w:type="gramStart"/>
            <w:r w:rsidRPr="00832921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832921">
              <w:rPr>
                <w:rFonts w:ascii="Times New Roman" w:hAnsi="Times New Roman" w:cs="Times New Roman"/>
                <w:color w:val="000000"/>
              </w:rPr>
              <w:t>рочие постоянные налоги на имущество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proofErr w:type="gramStart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международных организаций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 Налоги на товары и услуги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  <w:proofErr w:type="gramStart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других органов государственного управления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1141 Общие налоги на товары и услуги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proofErr w:type="gramStart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доходы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11411 Налог на добавленную стоимость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Доход от собственности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11412 Налог с продаж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Продажа товаров и услуг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 w:rsidP="00742025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 xml:space="preserve">11413 Оборот и другие общие налоги на </w:t>
            </w:r>
            <w:r w:rsidR="00742025">
              <w:rPr>
                <w:rFonts w:ascii="Times New Roman" w:hAnsi="Times New Roman" w:cs="Times New Roman"/>
                <w:color w:val="000000"/>
              </w:rPr>
              <w:t>товары и услуги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Штрафы, штрафы и неустойки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11414 Налоги на финансовые и капитальные операции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2C73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Переводы, не классифицированные в других рубриках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1142 Акцизы</w:t>
            </w:r>
          </w:p>
        </w:tc>
      </w:tr>
      <w:tr w:rsidR="00CB5B19" w:rsidRPr="00832921" w:rsidTr="00CB5B19">
        <w:trPr>
          <w:trHeight w:val="300"/>
        </w:trPr>
        <w:tc>
          <w:tcPr>
            <w:tcW w:w="4785" w:type="dxa"/>
            <w:noWrap/>
            <w:hideMark/>
          </w:tcPr>
          <w:p w:rsidR="00CB5B19" w:rsidRPr="002C73AC" w:rsidRDefault="00CB5B19" w:rsidP="001619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145 </w:t>
            </w:r>
            <w:r w:rsidR="0016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траховы</w:t>
            </w:r>
            <w:r w:rsidR="0016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стандартизированны</w:t>
            </w:r>
            <w:r w:rsidR="0016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схем</w:t>
            </w:r>
            <w:r w:rsidR="0016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2C7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гарантий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1143 Прибыль фискальных монополий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1144 Налоги на конкретные услуги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1145 Налоги на использование товаров и разрешение на использование товаров или выполнение работ ....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11451 Налоги на транспортные средства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11452</w:t>
            </w:r>
            <w:proofErr w:type="gramStart"/>
            <w:r w:rsidRPr="00832921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832921">
              <w:rPr>
                <w:rFonts w:ascii="Times New Roman" w:hAnsi="Times New Roman" w:cs="Times New Roman"/>
                <w:color w:val="000000"/>
              </w:rPr>
              <w:t>ругое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1146</w:t>
            </w:r>
            <w:proofErr w:type="gramStart"/>
            <w:r w:rsidRPr="00832921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832921">
              <w:rPr>
                <w:rFonts w:ascii="Times New Roman" w:hAnsi="Times New Roman" w:cs="Times New Roman"/>
                <w:color w:val="000000"/>
              </w:rPr>
              <w:t>рочие налоги на товары и услуги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115 Налоги на международную торговлю и операции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1151 Таможенные и другие импортные пошлины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1152 Налоги на экспорт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 xml:space="preserve">1153 Прибыль монополий экспорта или </w:t>
            </w:r>
            <w:r w:rsidRPr="00832921">
              <w:rPr>
                <w:rFonts w:ascii="Times New Roman" w:hAnsi="Times New Roman" w:cs="Times New Roman"/>
                <w:color w:val="000000"/>
              </w:rPr>
              <w:lastRenderedPageBreak/>
              <w:t>импорта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 w:rsidP="00742025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 xml:space="preserve">1154 </w:t>
            </w:r>
            <w:r w:rsidR="00742025">
              <w:rPr>
                <w:rFonts w:ascii="Times New Roman" w:hAnsi="Times New Roman" w:cs="Times New Roman"/>
                <w:color w:val="000000"/>
              </w:rPr>
              <w:t>Прибыль от валютно-обменных операций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 xml:space="preserve">1155 </w:t>
            </w:r>
            <w:r w:rsidR="00742025">
              <w:rPr>
                <w:rFonts w:ascii="Times New Roman" w:hAnsi="Times New Roman" w:cs="Times New Roman"/>
                <w:color w:val="000000"/>
              </w:rPr>
              <w:t>Налоги на прибыль от валютно-обменных операций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1156</w:t>
            </w:r>
            <w:proofErr w:type="gramStart"/>
            <w:r w:rsidRPr="00832921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832921">
              <w:rPr>
                <w:rFonts w:ascii="Times New Roman" w:hAnsi="Times New Roman" w:cs="Times New Roman"/>
                <w:color w:val="000000"/>
              </w:rPr>
              <w:t>рочие налоги на международную торговлю и операции</w:t>
            </w:r>
          </w:p>
        </w:tc>
      </w:tr>
      <w:tr w:rsidR="00CB5B19" w:rsidRPr="00832921" w:rsidTr="00B7096D">
        <w:tc>
          <w:tcPr>
            <w:tcW w:w="4785" w:type="dxa"/>
          </w:tcPr>
          <w:p w:rsidR="00CB5B19" w:rsidRPr="00832921" w:rsidRDefault="00CB5B19" w:rsidP="002C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bottom"/>
          </w:tcPr>
          <w:p w:rsidR="00CB5B19" w:rsidRPr="00832921" w:rsidRDefault="00CB5B19">
            <w:pPr>
              <w:rPr>
                <w:rFonts w:ascii="Times New Roman" w:hAnsi="Times New Roman" w:cs="Times New Roman"/>
                <w:color w:val="000000"/>
              </w:rPr>
            </w:pPr>
            <w:r w:rsidRPr="00832921">
              <w:rPr>
                <w:rFonts w:ascii="Times New Roman" w:hAnsi="Times New Roman" w:cs="Times New Roman"/>
                <w:color w:val="000000"/>
              </w:rPr>
              <w:t>116 Другие налоги</w:t>
            </w:r>
          </w:p>
        </w:tc>
      </w:tr>
    </w:tbl>
    <w:p w:rsidR="002C73AC" w:rsidRPr="00832921" w:rsidRDefault="002C73AC" w:rsidP="002C73AC">
      <w:pPr>
        <w:rPr>
          <w:rFonts w:ascii="Times New Roman" w:hAnsi="Times New Roman" w:cs="Times New Roman"/>
          <w:sz w:val="24"/>
        </w:rPr>
      </w:pPr>
    </w:p>
    <w:sectPr w:rsidR="002C73AC" w:rsidRPr="0083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298"/>
    <w:multiLevelType w:val="hybridMultilevel"/>
    <w:tmpl w:val="7012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3A51"/>
    <w:multiLevelType w:val="hybridMultilevel"/>
    <w:tmpl w:val="BC9C59C0"/>
    <w:lvl w:ilvl="0" w:tplc="DD3831E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EB"/>
    <w:rsid w:val="0002384F"/>
    <w:rsid w:val="00055C91"/>
    <w:rsid w:val="000A4D40"/>
    <w:rsid w:val="000C67A9"/>
    <w:rsid w:val="000C6851"/>
    <w:rsid w:val="000C7158"/>
    <w:rsid w:val="00105887"/>
    <w:rsid w:val="00155F7F"/>
    <w:rsid w:val="0016198D"/>
    <w:rsid w:val="00191DE5"/>
    <w:rsid w:val="00195794"/>
    <w:rsid w:val="001B06E6"/>
    <w:rsid w:val="001C5651"/>
    <w:rsid w:val="002109C5"/>
    <w:rsid w:val="00245127"/>
    <w:rsid w:val="00267AC1"/>
    <w:rsid w:val="00294BA5"/>
    <w:rsid w:val="002C73AC"/>
    <w:rsid w:val="002F3FCA"/>
    <w:rsid w:val="002F6B17"/>
    <w:rsid w:val="003617A4"/>
    <w:rsid w:val="003B0BE2"/>
    <w:rsid w:val="003C3580"/>
    <w:rsid w:val="00444DAA"/>
    <w:rsid w:val="00483A76"/>
    <w:rsid w:val="00510A8E"/>
    <w:rsid w:val="00511738"/>
    <w:rsid w:val="00522A9D"/>
    <w:rsid w:val="00540B3C"/>
    <w:rsid w:val="00542D6A"/>
    <w:rsid w:val="00594B8D"/>
    <w:rsid w:val="005B1041"/>
    <w:rsid w:val="00614139"/>
    <w:rsid w:val="006176EC"/>
    <w:rsid w:val="00697A3D"/>
    <w:rsid w:val="006A1FB3"/>
    <w:rsid w:val="006A56DA"/>
    <w:rsid w:val="006A618F"/>
    <w:rsid w:val="006C12AD"/>
    <w:rsid w:val="00727666"/>
    <w:rsid w:val="007310EC"/>
    <w:rsid w:val="007347AC"/>
    <w:rsid w:val="00742025"/>
    <w:rsid w:val="007B6B13"/>
    <w:rsid w:val="007C5A20"/>
    <w:rsid w:val="007D7F90"/>
    <w:rsid w:val="00803426"/>
    <w:rsid w:val="00820479"/>
    <w:rsid w:val="00832921"/>
    <w:rsid w:val="00866AEB"/>
    <w:rsid w:val="008A4597"/>
    <w:rsid w:val="008D5CEA"/>
    <w:rsid w:val="008E3E6C"/>
    <w:rsid w:val="008F1585"/>
    <w:rsid w:val="008F5892"/>
    <w:rsid w:val="00964DFC"/>
    <w:rsid w:val="00A079BA"/>
    <w:rsid w:val="00A24CC7"/>
    <w:rsid w:val="00A41EEB"/>
    <w:rsid w:val="00A650A6"/>
    <w:rsid w:val="00AB3C22"/>
    <w:rsid w:val="00AE4A84"/>
    <w:rsid w:val="00B01903"/>
    <w:rsid w:val="00B1567B"/>
    <w:rsid w:val="00B241D7"/>
    <w:rsid w:val="00B249C1"/>
    <w:rsid w:val="00B373D4"/>
    <w:rsid w:val="00B400D2"/>
    <w:rsid w:val="00B9147C"/>
    <w:rsid w:val="00BD1C92"/>
    <w:rsid w:val="00C039FB"/>
    <w:rsid w:val="00C15A60"/>
    <w:rsid w:val="00C46409"/>
    <w:rsid w:val="00CA34A5"/>
    <w:rsid w:val="00CB34F0"/>
    <w:rsid w:val="00CB5B19"/>
    <w:rsid w:val="00CE5E19"/>
    <w:rsid w:val="00D27C3F"/>
    <w:rsid w:val="00D939A7"/>
    <w:rsid w:val="00DA3DC2"/>
    <w:rsid w:val="00DC3E1E"/>
    <w:rsid w:val="00E666C2"/>
    <w:rsid w:val="00E73874"/>
    <w:rsid w:val="00E8288D"/>
    <w:rsid w:val="00EA7CE6"/>
    <w:rsid w:val="00EC3D50"/>
    <w:rsid w:val="00F72676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1EEB"/>
    <w:pPr>
      <w:ind w:left="720"/>
      <w:contextualSpacing/>
    </w:pPr>
  </w:style>
  <w:style w:type="table" w:styleId="a5">
    <w:name w:val="Table Grid"/>
    <w:basedOn w:val="a1"/>
    <w:uiPriority w:val="59"/>
    <w:rsid w:val="002C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C5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1EEB"/>
    <w:pPr>
      <w:ind w:left="720"/>
      <w:contextualSpacing/>
    </w:pPr>
  </w:style>
  <w:style w:type="table" w:styleId="a5">
    <w:name w:val="Table Grid"/>
    <w:basedOn w:val="a1"/>
    <w:uiPriority w:val="59"/>
    <w:rsid w:val="002C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C5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151</cp:revision>
  <dcterms:created xsi:type="dcterms:W3CDTF">2017-08-07T09:32:00Z</dcterms:created>
  <dcterms:modified xsi:type="dcterms:W3CDTF">2017-12-04T07:52:00Z</dcterms:modified>
</cp:coreProperties>
</file>