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C0" w:rsidRPr="00E41E72" w:rsidRDefault="00823DC0" w:rsidP="00E41E7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Метаданныепоказателя ЦУР</w:t>
      </w:r>
    </w:p>
    <w:p w:rsidR="006C4BFD" w:rsidRPr="00E41E72" w:rsidRDefault="00823DC0" w:rsidP="00E41E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ru-RU" w:eastAsia="en-GB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(Гармонизированный шаблон метаданных - версия формата 1.0)</w:t>
      </w:r>
    </w:p>
    <w:p w:rsidR="00823DC0" w:rsidRPr="00E41E72" w:rsidRDefault="00823DC0" w:rsidP="00E41E72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Информация о показателе</w:t>
      </w: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a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Цель</w:t>
      </w:r>
    </w:p>
    <w:p w:rsidR="00CB7C5F" w:rsidRPr="00E41E72" w:rsidRDefault="00823DC0" w:rsidP="00E41E72">
      <w:pPr>
        <w:pStyle w:val="MIndHeader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</w:t>
      </w:r>
      <w:r w:rsidR="00CB7C5F" w:rsidRPr="00E41E72">
        <w:rPr>
          <w:rFonts w:ascii="Times New Roman" w:hAnsi="Times New Roman"/>
          <w:color w:val="333333"/>
          <w:sz w:val="24"/>
          <w:szCs w:val="24"/>
          <w:lang w:val="ru-RU"/>
        </w:rPr>
        <w:t xml:space="preserve">11: </w:t>
      </w: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>Обеспечение открытости, безопасности, жизнестойкости и экологической устойчивости городов и населенных пунктов</w:t>
      </w: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b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Задача</w:t>
      </w:r>
    </w:p>
    <w:p w:rsidR="00CB7C5F" w:rsidRPr="00E41E72" w:rsidRDefault="00D47CD6" w:rsidP="00E41E72">
      <w:pPr>
        <w:pStyle w:val="MIndHeader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>Задача</w:t>
      </w:r>
      <w:r w:rsidR="00CB7C5F" w:rsidRPr="00E41E72">
        <w:rPr>
          <w:rFonts w:ascii="Times New Roman" w:hAnsi="Times New Roman"/>
          <w:color w:val="333333"/>
          <w:sz w:val="24"/>
          <w:szCs w:val="24"/>
          <w:lang w:val="ru-RU"/>
        </w:rPr>
        <w:t xml:space="preserve"> 11.7: </w:t>
      </w: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>К 2030 году обеспечить всеобщий доступ к безопасным, доступным и открытым для всех зеленым зонам и общественным местам, особенно для женщин и детей, пожилых людей и инвалидов</w:t>
      </w: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0.с. Показатель</w:t>
      </w:r>
    </w:p>
    <w:p w:rsidR="00CB7C5F" w:rsidRPr="00E41E72" w:rsidRDefault="00D47CD6" w:rsidP="00E41E72">
      <w:pPr>
        <w:pStyle w:val="MIndHeader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>Показатель</w:t>
      </w:r>
      <w:r w:rsidR="00CB7C5F" w:rsidRPr="00E41E72">
        <w:rPr>
          <w:rFonts w:ascii="Times New Roman" w:hAnsi="Times New Roman"/>
          <w:color w:val="333333"/>
          <w:sz w:val="24"/>
          <w:szCs w:val="24"/>
          <w:lang w:val="ru-RU"/>
        </w:rPr>
        <w:t xml:space="preserve"> 11.7.2: </w:t>
      </w:r>
      <w:r w:rsidRPr="00E41E72">
        <w:rPr>
          <w:rFonts w:ascii="Times New Roman" w:hAnsi="Times New Roman"/>
          <w:color w:val="333333"/>
          <w:sz w:val="24"/>
          <w:szCs w:val="24"/>
          <w:lang w:val="ru-RU"/>
        </w:rPr>
        <w:t>Доля лиц, подвергшихся физическим или сексуальным домогательствам, в разбивке по полу, возрасту, признаку инвалидности и месту происшествия за последние 12 месяцев</w:t>
      </w:r>
    </w:p>
    <w:p w:rsidR="00823DC0" w:rsidRPr="00E41E72" w:rsidRDefault="00823DC0" w:rsidP="00E41E72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d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. Ряд данных</w:t>
      </w:r>
    </w:p>
    <w:p w:rsidR="003A4D42" w:rsidRPr="00E41E72" w:rsidRDefault="003A4D42" w:rsidP="00E41E72">
      <w:pPr>
        <w:pStyle w:val="MIndHeader"/>
        <w:jc w:val="both"/>
        <w:rPr>
          <w:rFonts w:ascii="Times New Roman" w:hAnsi="Times New Roman"/>
          <w:color w:val="auto"/>
          <w:sz w:val="24"/>
          <w:szCs w:val="24"/>
          <w:lang w:val="es-ES"/>
        </w:rPr>
      </w:pP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e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 xml:space="preserve">. Обновление данных </w:t>
      </w:r>
    </w:p>
    <w:p w:rsidR="00D24330" w:rsidRPr="00E41E72" w:rsidRDefault="00D47CD6" w:rsidP="00E41E72">
      <w:pPr>
        <w:pStyle w:val="MGTHeader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28.11.2018</w:t>
      </w: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f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 xml:space="preserve">. Связанные показатели </w:t>
      </w:r>
    </w:p>
    <w:p w:rsidR="009A15FF" w:rsidRPr="00E41E72" w:rsidRDefault="009A15FF" w:rsidP="00E41E72">
      <w:pPr>
        <w:pStyle w:val="MGTHeader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5.2.1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Доля когда-либо имевших партнера женщин и девочек в возрасте 15 лет и старше, подвергавшихся физическому, сексуальному или психологическому насилию со стороны нынешнего или бывшего интимного партнера в последние 12 месяцев, в разбивке по формам насилия и возрасту</w:t>
      </w:r>
    </w:p>
    <w:p w:rsidR="009A15FF" w:rsidRPr="00E41E72" w:rsidRDefault="009A15FF" w:rsidP="00E41E72">
      <w:pPr>
        <w:pStyle w:val="MGTHeader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5.2.2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Доля женщин и девочек в возрасте 15 лет и старше, подвергавшихся сексуальному насилию со стороны кого-либо, кроме интимных партнеров, в последние 12 месяцев, в разбивке по возрасту и месту происшествия</w:t>
      </w:r>
    </w:p>
    <w:p w:rsidR="009A15FF" w:rsidRPr="00E41E72" w:rsidRDefault="009A15FF" w:rsidP="00E41E72">
      <w:pPr>
        <w:pStyle w:val="MGTHeader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16.1.3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Доля населения, в последние 12 месяцев подвергшегося </w:t>
      </w:r>
      <w:r w:rsidR="00D47CD6" w:rsidRPr="00E41E72">
        <w:rPr>
          <w:rFonts w:ascii="Times New Roman" w:hAnsi="Times New Roman"/>
          <w:color w:val="auto"/>
          <w:sz w:val="24"/>
          <w:szCs w:val="24"/>
        </w:rPr>
        <w:t>a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) физическому, </w:t>
      </w:r>
      <w:r w:rsidR="00D47CD6" w:rsidRPr="00E41E72">
        <w:rPr>
          <w:rFonts w:ascii="Times New Roman" w:hAnsi="Times New Roman"/>
          <w:color w:val="auto"/>
          <w:sz w:val="24"/>
          <w:szCs w:val="24"/>
        </w:rPr>
        <w:t>b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) психологическому и </w:t>
      </w:r>
      <w:r w:rsidR="00D47CD6" w:rsidRPr="00E41E72">
        <w:rPr>
          <w:rFonts w:ascii="Times New Roman" w:hAnsi="Times New Roman"/>
          <w:color w:val="auto"/>
          <w:sz w:val="24"/>
          <w:szCs w:val="24"/>
        </w:rPr>
        <w:t>c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>) сексуальному насилию</w:t>
      </w:r>
    </w:p>
    <w:p w:rsidR="009A15FF" w:rsidRPr="00E41E72" w:rsidRDefault="009A15FF" w:rsidP="00E41E72">
      <w:pPr>
        <w:pStyle w:val="MGTHeader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16.2.3</w:t>
      </w:r>
      <w:r w:rsidR="00D47CD6"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Доля молодых женщин и мужчин в возрасте от 18 до 29 лет, подвергшихся сексуальному насилию до достижения ими 18-летнего возраста</w:t>
      </w:r>
    </w:p>
    <w:p w:rsidR="00823DC0" w:rsidRPr="00E41E72" w:rsidRDefault="00823DC0" w:rsidP="00E41E72">
      <w:p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0.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g</w:t>
      </w:r>
      <w:r w:rsidRPr="00E41E7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. Международные организации, ответственные за глобальный мониторинг</w:t>
      </w:r>
    </w:p>
    <w:p w:rsidR="00CB7C5F" w:rsidRPr="00E41E72" w:rsidRDefault="00D47CD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Организация Объединенных Наций по наркотикам и преступности (УНП ООН)</w:t>
      </w:r>
    </w:p>
    <w:p w:rsidR="00823DC0" w:rsidRPr="00E41E72" w:rsidRDefault="00823DC0" w:rsidP="00E41E72">
      <w:pPr>
        <w:pBdr>
          <w:bottom w:val="single" w:sz="12" w:space="4" w:color="DDDDDD"/>
        </w:pBd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1E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1. </w:t>
      </w: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Поставщик данных</w:t>
      </w:r>
    </w:p>
    <w:p w:rsidR="00823DC0" w:rsidRPr="00E41E72" w:rsidRDefault="00823DC0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eastAsia="Calibri" w:hAnsi="Times New Roman"/>
          <w:b/>
          <w:color w:val="auto"/>
          <w:sz w:val="24"/>
          <w:szCs w:val="24"/>
        </w:rPr>
        <w:t>1.a. Организация</w:t>
      </w:r>
    </w:p>
    <w:p w:rsidR="00CB7C5F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Организация Объединенных Наций по наркотикам и преступности (УНП ООН)</w:t>
      </w:r>
    </w:p>
    <w:p w:rsidR="00823DC0" w:rsidRPr="00E41E72" w:rsidRDefault="00823DC0" w:rsidP="00E41E72">
      <w:pPr>
        <w:pBdr>
          <w:bottom w:val="single" w:sz="12" w:space="4" w:color="DDDDDD"/>
        </w:pBd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2. Определения, понятия и классификации</w:t>
      </w:r>
    </w:p>
    <w:p w:rsidR="00823DC0" w:rsidRPr="00E41E72" w:rsidRDefault="00823DC0" w:rsidP="00E41E72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2.</w:t>
      </w:r>
      <w:r w:rsidRPr="00E41E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. Определения и понятия</w:t>
      </w:r>
    </w:p>
    <w:p w:rsidR="00CB7C5F" w:rsidRPr="00E41E72" w:rsidRDefault="00823DC0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Определение:</w:t>
      </w:r>
    </w:p>
    <w:p w:rsidR="00CB7C5F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Число лиц, ставших жертвами физических домогательств и/или сексуальных домогательств, в процентах от общей численности населения соответствующего района.</w:t>
      </w:r>
    </w:p>
    <w:p w:rsidR="00E41E72" w:rsidRPr="00E41E72" w:rsidRDefault="00E41E72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lastRenderedPageBreak/>
        <w:t>Основныепонятия: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основе Международной классификации преступлений для статистических целей (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ICCS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 было разработано оперативное определение физических и сексуальных домогательств. В то время как сексуальное домогательство относится к поведению с сексуальным подтекстом, которое подходит для запугивания их жертв, физическое домогательство относится ко всем другим видам домогательского поведения, которые могут вызвать страх за физическую неприкосновенность и /или эмоциональное расстройство. Для использования в опросе необходимо дополнительно ввести концепцию в действие и более точно определить набор форм поведения и их обстоятельств, которые следует рассматривать как домогательства. На основе прошлых опросов, обсуждений с экспертами и при участии сети национальных координационных центров СТС ООН был определен и сформулирован набор соответствующих моделей поведения для тестирования в рамках экспериментального модуля обследования. Первые испытания модуля обследования были проведены в 2019 году в Нигерии и Сент-Люсии, а пересмотренный модуль обследования был включен в крупное репрезентативное обследование домашних хозяйств в Нигерии (выборка 33 000 интервью) в июне 2019 года, проведенное Национальным бюро статистики Нигерии. Модуль также будет включен в пилотное обследование 2019 года, проведенное Национальным статистическим управлением Мексики (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INEGI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), и в полное обследование домашних хозяйств в Сент-Люсии в 2019 году.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CB7C5F" w:rsidRPr="009B641F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 то время как точная формулировка и формулировки соответствующих вопросов опроса могут нуждаться в национальной адаптации, основной набор моделей поведения был определен как формы </w:t>
      </w:r>
      <w:r w:rsidR="009B64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домогательства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применяемые по отношению к лицу (см. </w:t>
      </w:r>
      <w:r w:rsidRPr="009B64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Приложение А к </w:t>
      </w:r>
      <w:r w:rsid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9B64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писанию разработки методологии).</w:t>
      </w:r>
    </w:p>
    <w:p w:rsidR="00EC2915" w:rsidRPr="009B641F" w:rsidRDefault="00EC2915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2.</w:t>
      </w:r>
      <w:r w:rsidRPr="00E41E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</w:t>
      </w: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. Единицы измерения</w:t>
      </w: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2.с. Классификации</w:t>
      </w:r>
    </w:p>
    <w:p w:rsidR="00EC2915" w:rsidRPr="00E41E72" w:rsidRDefault="00EC2915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719A8" w:rsidRPr="00E41E72" w:rsidRDefault="00F719A8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Тип источников данных и метод сбора данных 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3.а. Источники данных</w:t>
      </w:r>
    </w:p>
    <w:p w:rsidR="008B0AC7" w:rsidRPr="00E41E72" w:rsidRDefault="008B0AC7" w:rsidP="00E41E72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F7106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Показатель основан на восьми вопросах, которые должны быть включены в обследование домашних хозяйств. Эти вопросы могут быть частью дополнительного модуля по физическим и сексуальным домогательствам, которые будут включены в 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другие текущие общие обследования населения (такие как обследования качества жизни, общественного мнения или опросы по другим темам) или быть частью специальных обследований по виктимизации преступлений.</w:t>
      </w:r>
    </w:p>
    <w:p w:rsidR="00EC2915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Данные должны собираться в рамках национальной репрезентативной вероятностной выборки взрослого населения, проживающего в стране, независимо от статуса законного проживания. Структура выборки и структура выборки должны обеспечивать возможность дезагрегирования результатов на субнациональном уровне. Размер выборки должен быть достаточно большим, чтобы охватить соответствующие события и рассчитать необходимые дезагрегации.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41E72">
        <w:rPr>
          <w:rFonts w:ascii="Times New Roman" w:hAnsi="Times New Roman" w:cs="Times New Roman"/>
          <w:b/>
          <w:sz w:val="24"/>
          <w:szCs w:val="24"/>
        </w:rPr>
        <w:t>. Процесссбора</w:t>
      </w:r>
    </w:p>
    <w:p w:rsidR="009A15FF" w:rsidRPr="00E41E72" w:rsidRDefault="007F7106" w:rsidP="00E41E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Международный процесс сбора данных</w:t>
      </w:r>
      <w:bookmarkStart w:id="0" w:name="_GoBack"/>
      <w:bookmarkEnd w:id="0"/>
    </w:p>
    <w:p w:rsidR="007F7106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Данные собираются с помощью стандартизированного вопросника , рассылаемого странам . Этот вопросник содержит конкретные определения собираемых данных и собирает набор метаданных для выявления возможных расхождений со стандартными определениями и оценки общего качества данных (например, размер выборки, целевая группа населения, учреждение, ответственное за сбор данных и т.д.).</w:t>
      </w:r>
    </w:p>
    <w:p w:rsidR="007F7106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При необходимости запрашиваются представляющие интерес данные и соответствующие дезагрегированные данные</w:t>
      </w:r>
    </w:p>
    <w:p w:rsidR="007F7106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Данные за несколько лет собираются для оценки согласованности данных во времени</w:t>
      </w:r>
    </w:p>
    <w:p w:rsidR="007F7106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Странам предлагается назначить национальных координаторов (в том числе из НСУ) по различным темам данных для обеспечения технического надзора за собранными данными на страновом уровне.</w:t>
      </w:r>
    </w:p>
    <w:p w:rsidR="007F7106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При обработке данных Управлением для оценки их согласованности и соответствия стандартам применяются автоматизированные процедуры проверки по существу.</w:t>
      </w:r>
    </w:p>
    <w:p w:rsidR="00823DC0" w:rsidRPr="00E41E72" w:rsidRDefault="007F7106" w:rsidP="00E41E72">
      <w:pPr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• Когда данные из национальных официальных источников отсутствуют или не соответствуют методологическим стандартам, данные из других источников также рассматриваются и обрабатываются с использованием тех же процедур обеспечения качества.</w:t>
      </w:r>
    </w:p>
    <w:p w:rsidR="00E46D96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Календарь сбора данных</w:t>
      </w:r>
    </w:p>
    <w:p w:rsidR="007F7106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Показатель будет собираться ежегодно в рамках Обследования тенденций в области преступности Организации Объединенных Наций (</w:t>
      </w:r>
      <w:r w:rsidRPr="00E41E72">
        <w:rPr>
          <w:rFonts w:ascii="Times New Roman" w:hAnsi="Times New Roman"/>
          <w:color w:val="auto"/>
          <w:sz w:val="24"/>
          <w:szCs w:val="24"/>
        </w:rPr>
        <w:t>UN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Pr="00E41E72">
        <w:rPr>
          <w:rFonts w:ascii="Times New Roman" w:hAnsi="Times New Roman"/>
          <w:color w:val="auto"/>
          <w:sz w:val="24"/>
          <w:szCs w:val="24"/>
        </w:rPr>
        <w:t>CTS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), регулярного сбора данных, используемого ЮНОДК для сбора данных от государств - членов ООН (на основе сети национальных координационных центров ООН-</w:t>
      </w:r>
      <w:r w:rsidRPr="00E41E72">
        <w:rPr>
          <w:rFonts w:ascii="Times New Roman" w:hAnsi="Times New Roman"/>
          <w:color w:val="auto"/>
          <w:sz w:val="24"/>
          <w:szCs w:val="24"/>
        </w:rPr>
        <w:t>CTS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).</w:t>
      </w:r>
    </w:p>
    <w:p w:rsidR="00EC2915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Странам рекомендуется регулярно проводить опросы о домогательствах с помощью предлагаемого модуля, но не реже одного раза в четыре года, чтобы отразить прогресс между каждым из четырехгодичных обзоров достижения Цели 11 на Политическом форуме высокого уровня (ПФВУ).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41E72">
        <w:rPr>
          <w:rFonts w:ascii="Times New Roman" w:hAnsi="Times New Roman" w:cs="Times New Roman"/>
          <w:b/>
          <w:sz w:val="24"/>
          <w:szCs w:val="24"/>
        </w:rPr>
        <w:t>. Календарьсбораданных</w:t>
      </w:r>
    </w:p>
    <w:p w:rsidR="00EC2915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Данные по соответствующим показателям ЦУР собираются, обобщаются и ежегодно направляются обратно в страны для анализа данных. </w:t>
      </w:r>
      <w:r w:rsidRPr="00E41E72">
        <w:rPr>
          <w:rFonts w:ascii="Times New Roman" w:hAnsi="Times New Roman"/>
          <w:color w:val="auto"/>
          <w:sz w:val="24"/>
          <w:szCs w:val="24"/>
        </w:rPr>
        <w:t>Затемданныеежегоднопредставляются СОООН по обычнымканаламотчетности.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41E72">
        <w:rPr>
          <w:rFonts w:ascii="Times New Roman" w:hAnsi="Times New Roman" w:cs="Times New Roman"/>
          <w:b/>
          <w:sz w:val="24"/>
          <w:szCs w:val="24"/>
        </w:rPr>
        <w:t>. Поставщикиданных</w:t>
      </w:r>
    </w:p>
    <w:p w:rsidR="009A15FF" w:rsidRPr="00E41E72" w:rsidRDefault="007F7106" w:rsidP="00E41E72">
      <w:pPr>
        <w:shd w:val="clear" w:color="auto" w:fill="FFFFFF"/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Данные собираются с помощью официальных национальных репрезентативных опросов. В большинстве стран и в большинстве случаев такие обследования проводятся Национальными статистическими управлениями (НСУ). В некоторых случаях другие национальные учреждения или другие структуры могут проводить обследования по вопросам доступа к правосудию в соответствии с теми же методологическими стандартами.</w:t>
      </w:r>
    </w:p>
    <w:p w:rsidR="00EC2915" w:rsidRPr="00E41E72" w:rsidRDefault="00EC2915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f.</w:t>
      </w:r>
      <w:r w:rsidRPr="00E41E72">
        <w:rPr>
          <w:rFonts w:ascii="Times New Roman" w:hAnsi="Times New Roman" w:cs="Times New Roman"/>
          <w:b/>
          <w:sz w:val="24"/>
          <w:szCs w:val="24"/>
        </w:rPr>
        <w:t>Составителиданных</w:t>
      </w:r>
    </w:p>
    <w:p w:rsidR="00EC2915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Данные будут собраны хранителем этого показателя (УНП ООН).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Институциональный мандат</w:t>
      </w:r>
    </w:p>
    <w:p w:rsidR="00EC2915" w:rsidRPr="00E41E72" w:rsidRDefault="00EC2915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719A8" w:rsidRPr="00E41E72" w:rsidRDefault="00F719A8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4. Другие методологические соображения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4.а. Обоснование</w:t>
      </w:r>
    </w:p>
    <w:p w:rsidR="00576CFA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Опыт физического и сексуального домогательства может иметь далеко идущие негативные последствия для жертв. Помимо причиняемого эмоционального и психологического вреда, домогательства могут иметь негативные последствия для способности их жертв полноценно участвовать в общественной жизни, участвовать в развитии своих сообществ и вносить в них свой вклад. Например, широкое распространение сексуальных домогательств на рабочем месте может привести к снижению доли женщин в рабочей силе, особенно в профессиях, где преобладают мужчины, и снижению их способности приносить доход.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41E72">
        <w:rPr>
          <w:rFonts w:ascii="Times New Roman" w:hAnsi="Times New Roman" w:cs="Times New Roman"/>
          <w:b/>
          <w:sz w:val="24"/>
          <w:szCs w:val="24"/>
        </w:rPr>
        <w:t>. Комментарии и ограничения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Как и другие основанные на опыте показатели виктимизации, этот показатель отражает опыт с точки зрения жертвы. Таким образом, ответ, предоставленный жертвами, отражает их опыт, а также их субъективное ощущение виктимизации, независимо от 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того, был ли нанесен реальный вред намеренно или нет. Субъективное ощущение виктимизации является важным компонентом безопасности в пространстве и времени (например, в городах или в домашней сфере), а более высокая распространенность физических или сексуальных домогательств указывает на негативную среду, которая требует соответствующих ответных мер и вмешательств.</w:t>
      </w:r>
    </w:p>
    <w:p w:rsidR="00CB7C5F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Как и другие показатели, основанные на обследовании, сфера охвата показателя также зависит от структуры и стратегии выборки обследования. Например, большинство обследований устанавливают низкий возрастной ценз по практическим и этическим соображениям (например, 18 лет и старше), что означает, что данные являются репрезентативными для молодежи в возрасте до 18 лет</w:t>
      </w:r>
      <w:r w:rsidR="00CB7C5F"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CB7C5F" w:rsidRPr="00E41E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footnoteReference w:id="3"/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Домогательства, конкретно связанные с инвалидностью, требуют относительно больших размеров выборки, чтобы получить достаточно большое число инвалидов в выборке.</w:t>
      </w:r>
    </w:p>
    <w:p w:rsidR="00CB7C5F" w:rsidRPr="00E41E72" w:rsidRDefault="00CB7C5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EC2915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Одно и то же поведение может иметь разное значение и, следовательно, оказывать разное влияние в разных культурных контекстах и группах населения. По этой причине выбор "домогательского" поведения был сделан также с целью выявления ситуаций домогательства, которые могут восприниматься как таковые в различных социальных и культурных контекстах.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41E72">
        <w:rPr>
          <w:rFonts w:ascii="Times New Roman" w:hAnsi="Times New Roman" w:cs="Times New Roman"/>
          <w:b/>
          <w:sz w:val="24"/>
          <w:szCs w:val="24"/>
        </w:rPr>
        <w:t>. Методрасчёта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Число лиц, подвергшихся физическим домогательствам и/или сексуальным домогательствам в той или иной форме, деленное на общую численность населения. Результат будет умножен на 100.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Это основанный на опросе показатель, который измеряет опыт любого из набора видов поведения, которые в совокупности называются физическими домогательствами и сексуальными домогательствами. Вопросы о физических и сексуальных домогательствах должны оцениваться отдельно. Затем результаты могут быть объединены. Как числитель, так и знаменатель измеряются с помощью выборочных обследований населения в целом.</w:t>
      </w:r>
    </w:p>
    <w:p w:rsidR="00CB7C5F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Расчет этого показателя требует включения короткого модуля из восьми вопросов в репрезентативный опрос населения. 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Следующаятаблицаиллюстрируетсодержаниевопросов, необходимыхдлярасчетапоказателя.</w:t>
      </w:r>
    </w:p>
    <w:p w:rsidR="007F7106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3539"/>
      </w:tblGrid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CB7C5F" w:rsidRPr="00B82BDF" w:rsidRDefault="007F7106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Содержаниевопроса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CB7C5F" w:rsidRPr="00B82BDF" w:rsidRDefault="007F7106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Инструкции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1. Опыт сексуальных домогательств за </w:t>
            </w: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последние три года в разбивке по видам домогательств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Если никаких сексуальных </w:t>
            </w: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домогательств не было, перейдите к пункту 5, в противном случае перейдите к пункту 2.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Самый последний тип домогательств, с которым сталкивались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Перейдите к пункту 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Периодвременипоследнего</w:t>
            </w: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домогательства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Перейдите к пункту 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Место последнего домогательства в разбивке по типу местонахождения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Перейдите к пункту 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Опыт физического домогательства за последние три года в разбивке по видам домогательств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Если физического домогательства не было, перейдите к КОНЦУ, в противном случае перейдите к пункту 6.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Самый последний тип домогательств, с которым сталкивались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Перейдите к пункту 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Периодвременипоследнего</w:t>
            </w: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домогательства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Перейдите к пункту 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</w:t>
            </w:r>
          </w:p>
        </w:tc>
      </w:tr>
      <w:tr w:rsidR="00E41E72" w:rsidRPr="00B82BDF" w:rsidTr="00B82BD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Место последнего домогательства в разбивке по типу местонахождения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B7C5F" w:rsidRPr="00B82BDF" w:rsidRDefault="00E41E72" w:rsidP="00B8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2BD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Перейдите к концу опросника</w:t>
            </w:r>
            <w:r w:rsidR="00CB7C5F" w:rsidRPr="00B82B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CB7C5F" w:rsidRPr="00E41E72" w:rsidRDefault="00CB7C5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7C5F" w:rsidRPr="00E41E72" w:rsidRDefault="007F7106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основе ответов на вопросы могут быть рассчитаны следующие показатели:</w:t>
      </w:r>
    </w:p>
    <w:p w:rsidR="00CB7C5F" w:rsidRPr="00E41E72" w:rsidRDefault="00CB7C5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F7106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Показатель распространенности сексуальных домогательств: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Число лиц, подвергшихся по крайней мере одной форме сексуальных домогательств, деленное на общую численность населения. Результат будет умножен на 100.</w:t>
      </w:r>
    </w:p>
    <w:p w:rsidR="007F7106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</w:rPr>
      </w:pPr>
      <w:r w:rsidRPr="00E41E72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Показатель распространенности физического домогательства: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Число лиц, подвергшихся по крайней мере одной форме физического домогательства, деленное на общую численность населения. </w:t>
      </w:r>
      <w:r w:rsidRPr="00E41E72">
        <w:rPr>
          <w:rFonts w:ascii="Times New Roman" w:hAnsi="Times New Roman"/>
          <w:color w:val="auto"/>
          <w:sz w:val="24"/>
          <w:szCs w:val="24"/>
        </w:rPr>
        <w:t>Результатбудетумноженна 100.</w:t>
      </w:r>
    </w:p>
    <w:p w:rsidR="00576CFA" w:rsidRPr="00E41E72" w:rsidRDefault="007F7106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</w:rPr>
      </w:pPr>
      <w:r w:rsidRPr="00E41E72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Показатель распространенности физических или сексуальных домогательств (показатель ЦУР 11.7.2):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 Число лиц, подвергшихся либо сексуальным домогательствам, либо физическим домогательствам в той или иной форме, деленное на общую численность населения. </w:t>
      </w:r>
      <w:r w:rsidRPr="00E41E72">
        <w:rPr>
          <w:rFonts w:ascii="Times New Roman" w:hAnsi="Times New Roman"/>
          <w:color w:val="auto"/>
          <w:sz w:val="24"/>
          <w:szCs w:val="24"/>
        </w:rPr>
        <w:t>Результатбудетумноженна 100.</w:t>
      </w:r>
    </w:p>
    <w:p w:rsidR="00823DC0" w:rsidRPr="00823DC0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3DC0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4.</w:t>
      </w:r>
      <w:r w:rsidRPr="00823DC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</w:t>
      </w:r>
      <w:r w:rsidRPr="00823DC0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. Валидация</w:t>
      </w:r>
    </w:p>
    <w:p w:rsidR="00823DC0" w:rsidRPr="00823DC0" w:rsidRDefault="00823DC0" w:rsidP="00E41E7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23DC0" w:rsidRPr="00823DC0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823DC0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4.</w:t>
      </w:r>
      <w:r w:rsidRPr="00823DC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</w:t>
      </w:r>
      <w:r w:rsidRPr="00823DC0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. Корректировки</w:t>
      </w:r>
    </w:p>
    <w:p w:rsidR="00823DC0" w:rsidRPr="00823DC0" w:rsidRDefault="00823DC0" w:rsidP="00E41E7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E1050F" w:rsidRPr="00E41E72" w:rsidRDefault="00823DC0" w:rsidP="00E41E72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eastAsia="Calibri" w:hAnsi="Times New Roman"/>
          <w:b/>
          <w:color w:val="auto"/>
          <w:sz w:val="24"/>
          <w:szCs w:val="24"/>
          <w:lang w:val="ru-RU" w:eastAsia="en-US"/>
        </w:rPr>
        <w:t>4.</w:t>
      </w:r>
      <w:r w:rsidRPr="00E41E72">
        <w:rPr>
          <w:rFonts w:ascii="Times New Roman" w:eastAsia="Calibri" w:hAnsi="Times New Roman"/>
          <w:b/>
          <w:color w:val="auto"/>
          <w:sz w:val="24"/>
          <w:szCs w:val="24"/>
          <w:lang w:val="en-US" w:eastAsia="en-US"/>
        </w:rPr>
        <w:t>f</w:t>
      </w:r>
      <w:r w:rsidRPr="00E41E72">
        <w:rPr>
          <w:rFonts w:ascii="Times New Roman" w:eastAsia="Calibri" w:hAnsi="Times New Roman"/>
          <w:b/>
          <w:color w:val="auto"/>
          <w:sz w:val="24"/>
          <w:szCs w:val="24"/>
          <w:lang w:val="ru-RU" w:eastAsia="en-US"/>
        </w:rPr>
        <w:t>. Обработка отсутствующих значений (i) на уровне страны и (ii) на региональном уровне</w:t>
      </w:r>
    </w:p>
    <w:p w:rsidR="00CB7C5F" w:rsidRPr="00E41E72" w:rsidRDefault="00E41E72" w:rsidP="00E41E7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Национальные данные не оцениваются, если отсутствуют данные, полученные в результате обследований, проведенных на страновом уровне.</w:t>
      </w:r>
    </w:p>
    <w:p w:rsidR="00823DC0" w:rsidRPr="00823DC0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23DC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 xml:space="preserve">4.g. </w:t>
      </w:r>
      <w:r w:rsidRPr="00823DC0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Региональныеагрегированныепоказатели</w:t>
      </w:r>
    </w:p>
    <w:p w:rsidR="00EC2915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Региональные агрегированные данные составляются только в том случае, если имеющиеся данные охватывают по крайней мере определенный процент стран региона и население этих стран составляет определенный процент населения региона.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Методы и руководящие указания, доступные странам для сбора данных на национальном уровне</w:t>
      </w:r>
    </w:p>
    <w:p w:rsidR="00E41E72" w:rsidRPr="00E41E72" w:rsidRDefault="00E41E72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Имеется методологическая документация по результатам обследований, проведенных на национальном уровне (например, обследование домашних хозяйств в Нигерии, проведенное Национальным бюро статистики (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NBS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и УНП ООН; различные обследования, проведенные НСУ Мексики, 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INEGI</w:t>
      </w: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). УНП ООН готовит подробные руководящие принципы по модулю обследования.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Управление качеством</w:t>
      </w: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050F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Контроль качества</w:t>
      </w:r>
    </w:p>
    <w:p w:rsidR="00E41E72" w:rsidRPr="00E41E72" w:rsidRDefault="00E41E72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УНП ООН приняты меры по обеспечению качества для сбора, обработки и распространения статистических данных. Они основаны на ‘Принципах, регулирующих международную статистическую деятельность", и регулируют сбор, обработку, публикацию и распространение данных.</w:t>
      </w:r>
    </w:p>
    <w:p w:rsidR="00E41E72" w:rsidRPr="00E41E72" w:rsidRDefault="00E41E72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Все данные по показателям ЦУР, собранные Управлением, затем направляются странам (через соответствующие национальные координационные центры) для их рассмотрения до официального опубликования статистических данных УНП ООН. Когда страны предоставляют отзывы/комментарии по данным, проводится техническое обсуждение для определения общей позиции.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41E72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. Оценка качества</w:t>
      </w: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5. Доступность и дезагрегирование данных</w:t>
      </w:r>
    </w:p>
    <w:p w:rsidR="00576CFA" w:rsidRPr="00E41E72" w:rsidRDefault="00823DC0" w:rsidP="00E41E72">
      <w:pPr>
        <w:pStyle w:val="M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Доступность данных:</w:t>
      </w:r>
    </w:p>
    <w:p w:rsidR="00E41E72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Измерение физических и сексуальных домогательств является относительно недавним явлением. В недавнем обзоре 50 обследований виктимизации, проведенных по всему миру за несколько десятилетий, только 6 включали вопросы, касающиеся физических или сексуальных домогательств (и только одно было проверено на оба типа поведения); все они были проведены в период с 2013 по 2016 год. В шести опросах 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(проведенных Канадой, Францией, Израилем, Италией, Мексикой и Швецией), в которых оценивались физические и/или сексуальные домогательства, использовались разные методологии и формулировки вопросов, поэтому результаты напрямую не сопоставимы.</w:t>
      </w:r>
    </w:p>
    <w:p w:rsidR="00E41E72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Другим важным источником данных о сексуальных домогательствах является опрос о насилии в отношении женщин, проведенный Агентством Европейского союза по основным правам во всех 28 государствах - членах ЕС в 2013 году (объем выборки 42 000 опрошенных). Измерение сексуальных домогательств было основано на 11 типах поведения (элементах), которые также использовались для разработки модуля опроса для показателя ЦУР 11.7.2.</w:t>
      </w:r>
    </w:p>
    <w:p w:rsidR="00D51E7C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Наконец, в ходе недавнего опроса в Нигерии были протестированы различные модули, посвященные физическим и сексуальным домогательствам. После пилотного тестирования и пересмотра модуля предлагаемый модуль был включен в крупномасштабное обследование домашних хозяйств в июне 2019 года (выборка из 33 000 интервью) и признан полезным и осуществимым (см. </w:t>
      </w:r>
      <w:r w:rsidRPr="00E41E72">
        <w:rPr>
          <w:rFonts w:ascii="Times New Roman" w:hAnsi="Times New Roman"/>
          <w:color w:val="auto"/>
          <w:sz w:val="24"/>
          <w:szCs w:val="24"/>
        </w:rPr>
        <w:t>Приложения A и B к Описаниюразработкиметодологии).</w:t>
      </w: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Временныеряды:</w:t>
      </w:r>
    </w:p>
    <w:p w:rsidR="00D51E7C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Этот показатель недавно был включен в ежегодный обзор тенденций в области преступности Организации Объединенных Наций (</w:t>
      </w:r>
      <w:r w:rsidRPr="00E41E72">
        <w:rPr>
          <w:rFonts w:ascii="Times New Roman" w:hAnsi="Times New Roman"/>
          <w:color w:val="auto"/>
          <w:sz w:val="24"/>
          <w:szCs w:val="24"/>
        </w:rPr>
        <w:t>CTS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), регулярный сбор данных, используемый УНП ООН для сбора данных от государств - членов ООН. Первый сбор данных только начался, и ожидается, что страны будут постепенно сообщать об этом показателе, как только методология будет распространена и соответствующие элементы будут включены в национальные обследования.</w:t>
      </w:r>
    </w:p>
    <w:p w:rsidR="00823DC0" w:rsidRPr="00E41E72" w:rsidRDefault="00823DC0" w:rsidP="00E41E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Дезагрегирование:</w:t>
      </w:r>
    </w:p>
    <w:p w:rsidR="00CB7C5F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>Когда предлагаемый модуль по физическим и сексуальным домогательствам является частью более масштабного обследования населения, соответствующие дезагрегированные данные (например, доход, пол, возрастная группа, географическое положение, статус инвалидности и т.д.), возможно, не нужно включать в модуль, поскольку они обычно являются частью крупных социально-экономических обследований. . Напротив, разбивка по месту происшествия должна быть включена в сам модуль вопросов (например, у вас дома, на улице или на рынке, на нашей работе или в учебном заведении и т.д.).</w:t>
      </w: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hAnsi="Times New Roman" w:cs="Times New Roman"/>
          <w:b/>
          <w:sz w:val="24"/>
          <w:szCs w:val="24"/>
          <w:lang w:val="ru-RU"/>
        </w:rPr>
        <w:t>6. Сопоставимость/ отклонение от международных стандартов</w:t>
      </w:r>
    </w:p>
    <w:p w:rsidR="00D51E7C" w:rsidRPr="00E41E72" w:rsidRDefault="00823DC0" w:rsidP="00E41E72">
      <w:pPr>
        <w:pStyle w:val="MText"/>
        <w:jc w:val="both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b/>
          <w:color w:val="auto"/>
          <w:sz w:val="24"/>
          <w:szCs w:val="24"/>
          <w:lang w:val="ru-RU"/>
        </w:rPr>
        <w:t>Источники расхождений:</w:t>
      </w:r>
    </w:p>
    <w:p w:rsidR="00F719A8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t xml:space="preserve">Данные по этому показателю основаны на восьми стандартизированных вопросах опроса. Если для одной и той же страны доступны данные более чем одного опроса, расхождения могут быть вызваны различными формулировками вопросов, различной структурой вопросника, различными методами и операциями опроса, различным </w:t>
      </w:r>
      <w:r w:rsidRPr="00E41E7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дизайном выборки и размером выборки. Как правило, при их наличии используются данные национальных обследований, соответствующие рекомендуемым стандартам.</w:t>
      </w:r>
    </w:p>
    <w:p w:rsidR="00E41E72" w:rsidRPr="00E41E72" w:rsidRDefault="00E41E72" w:rsidP="00E41E72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23DC0" w:rsidRPr="00E41E72" w:rsidRDefault="00823DC0" w:rsidP="00E41E7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41E72">
        <w:rPr>
          <w:rFonts w:ascii="Times New Roman" w:hAnsi="Times New Roman" w:cs="Times New Roman"/>
          <w:b/>
          <w:sz w:val="24"/>
          <w:szCs w:val="24"/>
        </w:rPr>
        <w:t>7. Ссылки и документация</w:t>
      </w:r>
    </w:p>
    <w:p w:rsidR="009A15FF" w:rsidRPr="00E41E72" w:rsidRDefault="009A15F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E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URL:</w:t>
      </w:r>
    </w:p>
    <w:p w:rsidR="009A15FF" w:rsidRPr="00E41E72" w:rsidRDefault="00072044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9A15FF" w:rsidRPr="00E41E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https://www.unodc.org/documents/data-and-analysis/Crime-statistics/Manual_on_Victimization_surveys_2009_web.pdf</w:t>
        </w:r>
      </w:hyperlink>
    </w:p>
    <w:p w:rsidR="009A15FF" w:rsidRPr="00E41E72" w:rsidRDefault="009A15F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15FF" w:rsidRPr="00E41E72" w:rsidRDefault="00072044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9A15FF" w:rsidRPr="00E41E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https://fra.europa.eu/en/publication/2014/violence-against-women-eu-wide-survey-main-results-report</w:t>
        </w:r>
      </w:hyperlink>
    </w:p>
    <w:p w:rsidR="009A15FF" w:rsidRPr="00E41E72" w:rsidRDefault="009A15FF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15FF" w:rsidRPr="00E41E72" w:rsidRDefault="00823DC0" w:rsidP="00E41E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Ссылки</w:t>
      </w:r>
      <w:r w:rsidR="009A15FF" w:rsidRPr="00E41E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:</w:t>
      </w:r>
    </w:p>
    <w:p w:rsidR="00E41E72" w:rsidRPr="00E41E72" w:rsidRDefault="00E41E72" w:rsidP="00E41E7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УНП ООН-ЕЭК ООН, Руководство по обследованиям виктимизации (2010)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;</w:t>
      </w:r>
    </w:p>
    <w:p w:rsidR="00186795" w:rsidRPr="00E41E72" w:rsidRDefault="00E41E72" w:rsidP="00E41E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7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Агентство ЕС по основным правам, Насилие в отношении женщин: общеевропейский опрос. </w:t>
      </w:r>
      <w:r w:rsidRPr="00E41E72">
        <w:rPr>
          <w:rFonts w:ascii="Times New Roman" w:eastAsia="Times New Roman" w:hAnsi="Times New Roman" w:cs="Times New Roman"/>
          <w:sz w:val="24"/>
          <w:szCs w:val="24"/>
          <w:lang w:eastAsia="en-GB"/>
        </w:rPr>
        <w:t>Отчетобосновныхрезультатах (2014)</w:t>
      </w:r>
    </w:p>
    <w:sectPr w:rsidR="00186795" w:rsidRPr="00E41E72" w:rsidSect="0007204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95" w:rsidRDefault="00D72C95" w:rsidP="00573C0B">
      <w:pPr>
        <w:spacing w:after="0" w:line="240" w:lineRule="auto"/>
      </w:pPr>
      <w:r>
        <w:separator/>
      </w:r>
    </w:p>
  </w:endnote>
  <w:endnote w:type="continuationSeparator" w:id="1">
    <w:p w:rsidR="00D72C95" w:rsidRDefault="00D72C95" w:rsidP="00573C0B">
      <w:pPr>
        <w:spacing w:after="0" w:line="240" w:lineRule="auto"/>
      </w:pPr>
      <w:r>
        <w:continuationSeparator/>
      </w:r>
    </w:p>
  </w:endnote>
  <w:endnote w:type="continuationNotice" w:id="2">
    <w:p w:rsidR="00D72C95" w:rsidRDefault="00D72C9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5"/>
      <w:gridCol w:w="3005"/>
      <w:gridCol w:w="3005"/>
    </w:tblGrid>
    <w:tr w:rsidR="6ABB06C2" w:rsidRPr="00B82BDF" w:rsidTr="6ABB06C2">
      <w:tc>
        <w:tcPr>
          <w:tcW w:w="3005" w:type="dxa"/>
        </w:tcPr>
        <w:p w:rsidR="6ABB06C2" w:rsidRPr="00B82BDF" w:rsidRDefault="6ABB06C2" w:rsidP="6ABB06C2">
          <w:pPr>
            <w:pStyle w:val="ac"/>
            <w:ind w:left="-115"/>
          </w:pPr>
        </w:p>
      </w:tc>
      <w:tc>
        <w:tcPr>
          <w:tcW w:w="3005" w:type="dxa"/>
        </w:tcPr>
        <w:p w:rsidR="6ABB06C2" w:rsidRPr="00B82BDF" w:rsidRDefault="6ABB06C2" w:rsidP="6ABB06C2">
          <w:pPr>
            <w:pStyle w:val="ac"/>
            <w:jc w:val="center"/>
          </w:pPr>
        </w:p>
      </w:tc>
      <w:tc>
        <w:tcPr>
          <w:tcW w:w="3005" w:type="dxa"/>
        </w:tcPr>
        <w:p w:rsidR="6ABB06C2" w:rsidRPr="00B82BDF" w:rsidRDefault="6ABB06C2" w:rsidP="6ABB06C2">
          <w:pPr>
            <w:pStyle w:val="ac"/>
            <w:ind w:right="-115"/>
            <w:jc w:val="right"/>
          </w:pPr>
        </w:p>
      </w:tc>
    </w:tr>
  </w:tbl>
  <w:p w:rsidR="6ABB06C2" w:rsidRDefault="6ABB06C2" w:rsidP="6ABB06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95" w:rsidRDefault="00D72C95" w:rsidP="00573C0B">
      <w:pPr>
        <w:spacing w:after="0" w:line="240" w:lineRule="auto"/>
      </w:pPr>
      <w:r>
        <w:separator/>
      </w:r>
    </w:p>
  </w:footnote>
  <w:footnote w:type="continuationSeparator" w:id="1">
    <w:p w:rsidR="00D72C95" w:rsidRDefault="00D72C95" w:rsidP="00573C0B">
      <w:pPr>
        <w:spacing w:after="0" w:line="240" w:lineRule="auto"/>
      </w:pPr>
      <w:r>
        <w:continuationSeparator/>
      </w:r>
    </w:p>
  </w:footnote>
  <w:footnote w:type="continuationNotice" w:id="2">
    <w:p w:rsidR="00D72C95" w:rsidRDefault="00D72C95">
      <w:pPr>
        <w:spacing w:after="0" w:line="240" w:lineRule="auto"/>
      </w:pPr>
    </w:p>
  </w:footnote>
  <w:footnote w:id="3">
    <w:p w:rsidR="00CB7C5F" w:rsidRPr="007F7106" w:rsidRDefault="00CB7C5F" w:rsidP="00E41E72">
      <w:pPr>
        <w:pStyle w:val="af5"/>
        <w:jc w:val="both"/>
        <w:rPr>
          <w:lang w:val="ru-RU"/>
        </w:rPr>
      </w:pPr>
      <w:r>
        <w:rPr>
          <w:rStyle w:val="af6"/>
        </w:rPr>
        <w:footnoteRef/>
      </w:r>
      <w:r w:rsidR="007F7106" w:rsidRPr="007F7106">
        <w:rPr>
          <w:lang w:val="ru-RU"/>
        </w:rPr>
        <w:t>Могут применяться другие возрастные ограничения (например, 15 лет и старше), если это соответствует национальной практике. Некоторые обследования также специально разработаны для охвата молодежи и подростков, например, Обследование социальной сплоченности в целях предотвращения насилия и преступности (</w:t>
      </w:r>
      <w:r w:rsidR="007F7106" w:rsidRPr="007F7106">
        <w:t>ECOPRED</w:t>
      </w:r>
      <w:r w:rsidR="007F7106" w:rsidRPr="007F7106">
        <w:rPr>
          <w:lang w:val="ru-RU"/>
        </w:rPr>
        <w:t>), проводимое Национальным статистическим управлением Мексики (</w:t>
      </w:r>
      <w:r w:rsidR="007F7106" w:rsidRPr="007F7106">
        <w:t>INEGI</w:t>
      </w:r>
      <w:r w:rsidR="007F7106" w:rsidRPr="007F7106">
        <w:rPr>
          <w:lang w:val="ru-RU"/>
        </w:rPr>
        <w:t>), ориентировано на молодежь в возрасте 12 лет и старше.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C0" w:rsidRPr="00823DC0" w:rsidRDefault="00823DC0" w:rsidP="00077F46">
    <w:pPr>
      <w:pStyle w:val="ac"/>
      <w:jc w:val="right"/>
      <w:rPr>
        <w:rFonts w:ascii="Times New Roman" w:hAnsi="Times New Roman" w:cs="Times New Roman"/>
        <w:i/>
        <w:color w:val="404040"/>
        <w:sz w:val="24"/>
        <w:szCs w:val="24"/>
        <w:lang w:val="ru-RU"/>
      </w:rPr>
    </w:pPr>
    <w:bookmarkStart w:id="1" w:name="_Hlk506197003"/>
    <w:bookmarkStart w:id="2" w:name="_Hlk506197004"/>
    <w:bookmarkStart w:id="3" w:name="_Hlk506197005"/>
    <w:bookmarkStart w:id="4" w:name="_Hlk516233502"/>
    <w:bookmarkStart w:id="5" w:name="_Hlk516233503"/>
    <w:bookmarkStart w:id="6" w:name="_Hlk516233504"/>
    <w:r w:rsidRPr="00823DC0">
      <w:rPr>
        <w:rFonts w:ascii="Times New Roman" w:hAnsi="Times New Roman" w:cs="Times New Roman"/>
        <w:i/>
        <w:color w:val="404040"/>
        <w:sz w:val="24"/>
        <w:szCs w:val="24"/>
        <w:lang w:val="ru-RU"/>
      </w:rPr>
      <w:t xml:space="preserve">Неофициальный перевод </w:t>
    </w:r>
  </w:p>
  <w:p w:rsidR="00077F46" w:rsidRPr="00823DC0" w:rsidRDefault="00823DC0" w:rsidP="00077F46">
    <w:pPr>
      <w:pStyle w:val="ac"/>
      <w:jc w:val="right"/>
      <w:rPr>
        <w:rFonts w:ascii="Times New Roman" w:hAnsi="Times New Roman" w:cs="Times New Roman"/>
        <w:color w:val="404040"/>
        <w:sz w:val="24"/>
        <w:szCs w:val="24"/>
        <w:lang w:val="ru-RU"/>
      </w:rPr>
    </w:pPr>
    <w:r w:rsidRPr="00823DC0">
      <w:rPr>
        <w:rFonts w:ascii="Times New Roman" w:hAnsi="Times New Roman" w:cs="Times New Roman"/>
        <w:color w:val="404040"/>
        <w:sz w:val="24"/>
        <w:szCs w:val="24"/>
        <w:lang w:val="ru-RU"/>
      </w:rPr>
      <w:t xml:space="preserve">Последнее обновление: </w:t>
    </w:r>
    <w:bookmarkEnd w:id="1"/>
    <w:bookmarkEnd w:id="2"/>
    <w:bookmarkEnd w:id="3"/>
    <w:bookmarkEnd w:id="4"/>
    <w:bookmarkEnd w:id="5"/>
    <w:bookmarkEnd w:id="6"/>
    <w:r w:rsidRPr="00823DC0">
      <w:rPr>
        <w:rFonts w:ascii="Times New Roman" w:hAnsi="Times New Roman" w:cs="Times New Roman"/>
        <w:color w:val="404040"/>
        <w:sz w:val="24"/>
        <w:szCs w:val="24"/>
        <w:lang w:val="ru-RU"/>
      </w:rPr>
      <w:t>ноябрь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563E"/>
    <w:multiLevelType w:val="hybridMultilevel"/>
    <w:tmpl w:val="E0E09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1861"/>
    <w:multiLevelType w:val="hybridMultilevel"/>
    <w:tmpl w:val="D89A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58556D"/>
    <w:rsid w:val="000070BA"/>
    <w:rsid w:val="000173F9"/>
    <w:rsid w:val="00036F75"/>
    <w:rsid w:val="000412A0"/>
    <w:rsid w:val="00047DDA"/>
    <w:rsid w:val="00052E54"/>
    <w:rsid w:val="0005455A"/>
    <w:rsid w:val="00071F07"/>
    <w:rsid w:val="00072044"/>
    <w:rsid w:val="0007759D"/>
    <w:rsid w:val="000777AB"/>
    <w:rsid w:val="00077F46"/>
    <w:rsid w:val="00090FB1"/>
    <w:rsid w:val="00096186"/>
    <w:rsid w:val="000A72E4"/>
    <w:rsid w:val="000B0E2F"/>
    <w:rsid w:val="000B2430"/>
    <w:rsid w:val="000D0B30"/>
    <w:rsid w:val="000E21F1"/>
    <w:rsid w:val="000F703E"/>
    <w:rsid w:val="00120E86"/>
    <w:rsid w:val="00125DE9"/>
    <w:rsid w:val="001332E0"/>
    <w:rsid w:val="00134DE7"/>
    <w:rsid w:val="00185354"/>
    <w:rsid w:val="001854DC"/>
    <w:rsid w:val="00186795"/>
    <w:rsid w:val="00194D09"/>
    <w:rsid w:val="001A7D5C"/>
    <w:rsid w:val="001B60AA"/>
    <w:rsid w:val="001B63C8"/>
    <w:rsid w:val="001C1972"/>
    <w:rsid w:val="001C421F"/>
    <w:rsid w:val="001D360D"/>
    <w:rsid w:val="00261A8D"/>
    <w:rsid w:val="0026366C"/>
    <w:rsid w:val="00283C1C"/>
    <w:rsid w:val="00291A00"/>
    <w:rsid w:val="00291A11"/>
    <w:rsid w:val="002A315C"/>
    <w:rsid w:val="002A3342"/>
    <w:rsid w:val="002A64BA"/>
    <w:rsid w:val="002B4989"/>
    <w:rsid w:val="002C2510"/>
    <w:rsid w:val="002D714E"/>
    <w:rsid w:val="002E53C3"/>
    <w:rsid w:val="002F1468"/>
    <w:rsid w:val="002F5F0C"/>
    <w:rsid w:val="00311F3E"/>
    <w:rsid w:val="003265EB"/>
    <w:rsid w:val="0034329E"/>
    <w:rsid w:val="00343FAA"/>
    <w:rsid w:val="00347F5E"/>
    <w:rsid w:val="00353C98"/>
    <w:rsid w:val="00371A20"/>
    <w:rsid w:val="003821B4"/>
    <w:rsid w:val="00382CF3"/>
    <w:rsid w:val="00387D52"/>
    <w:rsid w:val="003A4D42"/>
    <w:rsid w:val="003A7CEA"/>
    <w:rsid w:val="003F0BD3"/>
    <w:rsid w:val="003F278A"/>
    <w:rsid w:val="003F7A02"/>
    <w:rsid w:val="00422EA5"/>
    <w:rsid w:val="00422EFA"/>
    <w:rsid w:val="0042791F"/>
    <w:rsid w:val="004456ED"/>
    <w:rsid w:val="0048045A"/>
    <w:rsid w:val="004841B8"/>
    <w:rsid w:val="004930F2"/>
    <w:rsid w:val="004B0F1C"/>
    <w:rsid w:val="004F2EE6"/>
    <w:rsid w:val="00502DBA"/>
    <w:rsid w:val="005040C4"/>
    <w:rsid w:val="00507637"/>
    <w:rsid w:val="00507852"/>
    <w:rsid w:val="00514DBF"/>
    <w:rsid w:val="00550921"/>
    <w:rsid w:val="00563712"/>
    <w:rsid w:val="00573631"/>
    <w:rsid w:val="00573C0B"/>
    <w:rsid w:val="005768D7"/>
    <w:rsid w:val="00576CFA"/>
    <w:rsid w:val="0058556D"/>
    <w:rsid w:val="00592AF2"/>
    <w:rsid w:val="005947AD"/>
    <w:rsid w:val="00597748"/>
    <w:rsid w:val="005979E8"/>
    <w:rsid w:val="005D0AF4"/>
    <w:rsid w:val="005E54BD"/>
    <w:rsid w:val="005F6CCA"/>
    <w:rsid w:val="006104AF"/>
    <w:rsid w:val="00621893"/>
    <w:rsid w:val="006351E1"/>
    <w:rsid w:val="006447B1"/>
    <w:rsid w:val="00662775"/>
    <w:rsid w:val="006852FC"/>
    <w:rsid w:val="006B40AB"/>
    <w:rsid w:val="006B5DC5"/>
    <w:rsid w:val="006C4BFD"/>
    <w:rsid w:val="006C7D30"/>
    <w:rsid w:val="006E3C08"/>
    <w:rsid w:val="00700ACF"/>
    <w:rsid w:val="00712487"/>
    <w:rsid w:val="007530CA"/>
    <w:rsid w:val="0075609E"/>
    <w:rsid w:val="00756D68"/>
    <w:rsid w:val="007578D9"/>
    <w:rsid w:val="00757E8A"/>
    <w:rsid w:val="00763E43"/>
    <w:rsid w:val="00764EB5"/>
    <w:rsid w:val="00777A95"/>
    <w:rsid w:val="00782416"/>
    <w:rsid w:val="007B0364"/>
    <w:rsid w:val="007D0981"/>
    <w:rsid w:val="007D1929"/>
    <w:rsid w:val="007F7106"/>
    <w:rsid w:val="00802527"/>
    <w:rsid w:val="00803CF1"/>
    <w:rsid w:val="008104BB"/>
    <w:rsid w:val="00823DC0"/>
    <w:rsid w:val="008249C5"/>
    <w:rsid w:val="008526F9"/>
    <w:rsid w:val="0085285E"/>
    <w:rsid w:val="00853023"/>
    <w:rsid w:val="008534D4"/>
    <w:rsid w:val="008729FA"/>
    <w:rsid w:val="00881E28"/>
    <w:rsid w:val="00894C4B"/>
    <w:rsid w:val="008A12E3"/>
    <w:rsid w:val="008A42FA"/>
    <w:rsid w:val="008B0AC7"/>
    <w:rsid w:val="008C2335"/>
    <w:rsid w:val="008C67C1"/>
    <w:rsid w:val="008D1D39"/>
    <w:rsid w:val="008F07D2"/>
    <w:rsid w:val="00917851"/>
    <w:rsid w:val="00917F65"/>
    <w:rsid w:val="009311E7"/>
    <w:rsid w:val="00942694"/>
    <w:rsid w:val="009A15FF"/>
    <w:rsid w:val="009A7E3A"/>
    <w:rsid w:val="009B1265"/>
    <w:rsid w:val="009B4A15"/>
    <w:rsid w:val="009B5693"/>
    <w:rsid w:val="009B641F"/>
    <w:rsid w:val="009C61A2"/>
    <w:rsid w:val="009C78E4"/>
    <w:rsid w:val="009D687E"/>
    <w:rsid w:val="009F6DE7"/>
    <w:rsid w:val="00A10583"/>
    <w:rsid w:val="00A37FCB"/>
    <w:rsid w:val="00A54863"/>
    <w:rsid w:val="00A61D74"/>
    <w:rsid w:val="00A8688B"/>
    <w:rsid w:val="00A91163"/>
    <w:rsid w:val="00A9286F"/>
    <w:rsid w:val="00A96255"/>
    <w:rsid w:val="00AB285B"/>
    <w:rsid w:val="00AE72D4"/>
    <w:rsid w:val="00AF5552"/>
    <w:rsid w:val="00AF5CB4"/>
    <w:rsid w:val="00AF5ED1"/>
    <w:rsid w:val="00AF71D6"/>
    <w:rsid w:val="00B216EE"/>
    <w:rsid w:val="00B3175F"/>
    <w:rsid w:val="00B31E2C"/>
    <w:rsid w:val="00B329B0"/>
    <w:rsid w:val="00B402D8"/>
    <w:rsid w:val="00B4237C"/>
    <w:rsid w:val="00B42FE8"/>
    <w:rsid w:val="00B434D3"/>
    <w:rsid w:val="00B51A93"/>
    <w:rsid w:val="00B52AFD"/>
    <w:rsid w:val="00B54077"/>
    <w:rsid w:val="00B8087E"/>
    <w:rsid w:val="00B82BDF"/>
    <w:rsid w:val="00BB646E"/>
    <w:rsid w:val="00BD1BA1"/>
    <w:rsid w:val="00C019E5"/>
    <w:rsid w:val="00C35BC4"/>
    <w:rsid w:val="00C43F5B"/>
    <w:rsid w:val="00C50FE5"/>
    <w:rsid w:val="00CB4371"/>
    <w:rsid w:val="00CB7C5F"/>
    <w:rsid w:val="00CC516D"/>
    <w:rsid w:val="00D24330"/>
    <w:rsid w:val="00D40056"/>
    <w:rsid w:val="00D47CD6"/>
    <w:rsid w:val="00D51E7C"/>
    <w:rsid w:val="00D54F29"/>
    <w:rsid w:val="00D7020C"/>
    <w:rsid w:val="00D70AD9"/>
    <w:rsid w:val="00D72152"/>
    <w:rsid w:val="00D72C95"/>
    <w:rsid w:val="00D94BA5"/>
    <w:rsid w:val="00D9510F"/>
    <w:rsid w:val="00DA615C"/>
    <w:rsid w:val="00DD1BC6"/>
    <w:rsid w:val="00DE5DC3"/>
    <w:rsid w:val="00E00D8A"/>
    <w:rsid w:val="00E1050F"/>
    <w:rsid w:val="00E11604"/>
    <w:rsid w:val="00E11D92"/>
    <w:rsid w:val="00E130A0"/>
    <w:rsid w:val="00E210C4"/>
    <w:rsid w:val="00E23DB7"/>
    <w:rsid w:val="00E41E72"/>
    <w:rsid w:val="00E46D96"/>
    <w:rsid w:val="00E52CCA"/>
    <w:rsid w:val="00E65EEC"/>
    <w:rsid w:val="00E66409"/>
    <w:rsid w:val="00E81D5B"/>
    <w:rsid w:val="00E976B9"/>
    <w:rsid w:val="00EA05D3"/>
    <w:rsid w:val="00EB19AD"/>
    <w:rsid w:val="00EB2F31"/>
    <w:rsid w:val="00EB6493"/>
    <w:rsid w:val="00EC2915"/>
    <w:rsid w:val="00ED05A9"/>
    <w:rsid w:val="00ED1BA0"/>
    <w:rsid w:val="00ED25D0"/>
    <w:rsid w:val="00EE62AE"/>
    <w:rsid w:val="00F17257"/>
    <w:rsid w:val="00F34D24"/>
    <w:rsid w:val="00F4130B"/>
    <w:rsid w:val="00F556A2"/>
    <w:rsid w:val="00F719A8"/>
    <w:rsid w:val="00F878B9"/>
    <w:rsid w:val="00FB24E8"/>
    <w:rsid w:val="00FB3B2B"/>
    <w:rsid w:val="00FC18DA"/>
    <w:rsid w:val="00FC3917"/>
    <w:rsid w:val="00FD60DA"/>
    <w:rsid w:val="00FF07B4"/>
    <w:rsid w:val="5542F4BE"/>
    <w:rsid w:val="6ABB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  <w:pPr>
      <w:spacing w:after="200" w:line="276" w:lineRule="auto"/>
    </w:pPr>
    <w:rPr>
      <w:sz w:val="22"/>
      <w:szCs w:val="22"/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573C0B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573C0B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GTHeader">
    <w:name w:val="M.G+T.Header"/>
    <w:basedOn w:val="a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="Calibr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character" w:customStyle="1" w:styleId="af4">
    <w:name w:val="Текст сноски Знак"/>
    <w:aliases w:val="5_G Знак"/>
    <w:basedOn w:val="a0"/>
    <w:link w:val="af5"/>
    <w:uiPriority w:val="99"/>
    <w:semiHidden/>
    <w:locked/>
    <w:rsid w:val="00CB7C5F"/>
    <w:rPr>
      <w:sz w:val="20"/>
      <w:szCs w:val="20"/>
    </w:rPr>
  </w:style>
  <w:style w:type="paragraph" w:styleId="af5">
    <w:name w:val="footnote text"/>
    <w:aliases w:val="5_G"/>
    <w:basedOn w:val="a"/>
    <w:link w:val="af4"/>
    <w:uiPriority w:val="99"/>
    <w:semiHidden/>
    <w:unhideWhenUsed/>
    <w:rsid w:val="00CB7C5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CB7C5F"/>
    <w:rPr>
      <w:sz w:val="20"/>
      <w:szCs w:val="20"/>
    </w:rPr>
  </w:style>
  <w:style w:type="character" w:styleId="af6">
    <w:name w:val="footnote reference"/>
    <w:aliases w:val="4_G"/>
    <w:basedOn w:val="a0"/>
    <w:uiPriority w:val="99"/>
    <w:semiHidden/>
    <w:unhideWhenUsed/>
    <w:rsid w:val="00CB7C5F"/>
    <w:rPr>
      <w:vertAlign w:val="superscript"/>
    </w:rPr>
  </w:style>
  <w:style w:type="table" w:customStyle="1" w:styleId="TableGrid1">
    <w:name w:val="Table Grid1"/>
    <w:basedOn w:val="a1"/>
    <w:next w:val="af1"/>
    <w:uiPriority w:val="59"/>
    <w:rsid w:val="00CB7C5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a.europa.eu/en/publication/2014/violence-against-women-eu-wide-survey-main-results-repo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odc.org/documents/data-and-analysis/Crime-statistics/Manual_on_Victimization_surveys_2009_web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7F21911161940AE65962A8E75FD0D" ma:contentTypeVersion="13" ma:contentTypeDescription="Create a new document." ma:contentTypeScope="" ma:versionID="54927095fba6da4b52aeabac7d48d121">
  <xsd:schema xmlns:xsd="http://www.w3.org/2001/XMLSchema" xmlns:xs="http://www.w3.org/2001/XMLSchema" xmlns:p="http://schemas.microsoft.com/office/2006/metadata/properties" xmlns:ns3="d114b01d-ae01-4749-b845-9d88e7ef5c0e" xmlns:ns4="f2d2d782-0088-4826-96df-71eba56e6d2e" targetNamespace="http://schemas.microsoft.com/office/2006/metadata/properties" ma:root="true" ma:fieldsID="f1b768a7440a8c3395834a71ccb7a817" ns3:_="" ns4:_="">
    <xsd:import namespace="d114b01d-ae01-4749-b845-9d88e7ef5c0e"/>
    <xsd:import namespace="f2d2d782-0088-4826-96df-71eba56e6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b01d-ae01-4749-b845-9d88e7ef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d782-0088-4826-96df-71eba56e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94E3E28-AA33-41F9-8761-47F8137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b01d-ae01-4749-b845-9d88e7ef5c0e"/>
    <ds:schemaRef ds:uri="f2d2d782-0088-4826-96df-71eba56e6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65BB6-4EB4-43BF-A5AC-C7DB237E5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F90CF-526C-4DE1-9F22-083A3EEE190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17145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https://fra.europa.eu/en/publication/2014/violence-against-women-eu-wide-survey-main-results-report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https://www.unodc.org/documents/data-and-analysis/Crime-statistics/Manual_on_Victimization_surveys_2009_web.pdf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 Lin</dc:creator>
  <cp:lastModifiedBy>a.abraeva</cp:lastModifiedBy>
  <cp:revision>2</cp:revision>
  <cp:lastPrinted>2016-07-16T14:25:00Z</cp:lastPrinted>
  <dcterms:created xsi:type="dcterms:W3CDTF">2023-02-02T04:21:00Z</dcterms:created>
  <dcterms:modified xsi:type="dcterms:W3CDTF">2023-02-02T04:21:00Z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0x0101008EE7F21911161940AE65962A8E75FD0D</vt:lpwstr>
  </property>
</Properties>
</file>