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856D67">
        <w:rPr>
          <w:rFonts w:eastAsia="Arial Unicode MS" w:cs="Times New Roman"/>
          <w:szCs w:val="24"/>
          <w:bdr w:val="nil"/>
          <w:lang w:eastAsia="ru-RU"/>
        </w:rPr>
        <w:t>4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856D67" w:rsidRPr="00856D67">
        <w:t>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856D67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 xml:space="preserve">.  </w:t>
      </w:r>
      <w:r w:rsidRPr="00856D67">
        <w:t>К 2030 году обеспечить, чтобы все девочки и мальчики завершали получение бесплатного, равноправного и качественного начального и среднего образования, позволяющего добиться востребованных и эффективных результатов обучения.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856D67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856D67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856D67">
        <w:rPr>
          <w:rFonts w:cs="Times New Roman"/>
          <w:szCs w:val="24"/>
        </w:rPr>
        <w:t>1</w:t>
      </w:r>
      <w:r w:rsidR="002064C4">
        <w:rPr>
          <w:rFonts w:cs="Times New Roman"/>
          <w:szCs w:val="24"/>
        </w:rPr>
        <w:t>.</w:t>
      </w:r>
      <w:r w:rsidR="002064C4" w:rsidRPr="002064C4">
        <w:rPr>
          <w:rFonts w:cs="Times New Roman"/>
          <w:szCs w:val="24"/>
        </w:rPr>
        <w:t>2</w:t>
      </w:r>
      <w:r w:rsidR="00780F08" w:rsidRPr="00BD29EC">
        <w:rPr>
          <w:rFonts w:cs="Times New Roman"/>
          <w:szCs w:val="24"/>
        </w:rPr>
        <w:t xml:space="preserve"> </w:t>
      </w:r>
      <w:r w:rsidR="00856D67" w:rsidRPr="00856D67">
        <w:t>Процент завершения (начальное образование, неполное и полное среднее образование).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8E6579" w:rsidRPr="00BD29EC" w:rsidRDefault="008E6579" w:rsidP="008E6579">
      <w:pPr>
        <w:rPr>
          <w:bdr w:val="nil"/>
          <w:lang w:eastAsia="ru-RU"/>
        </w:rPr>
      </w:pPr>
      <w:r>
        <w:rPr>
          <w:bdr w:val="nil"/>
          <w:lang w:eastAsia="ru-RU"/>
        </w:rPr>
        <w:t xml:space="preserve">Не применимо. 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8E6579" w:rsidRPr="00BD29EC" w:rsidRDefault="008E6579" w:rsidP="008E6579">
      <w:pPr>
        <w:rPr>
          <w:bdr w:val="nil"/>
          <w:lang w:eastAsia="ru-RU"/>
        </w:rPr>
      </w:pPr>
      <w:r>
        <w:rPr>
          <w:bdr w:val="nil"/>
          <w:lang w:eastAsia="ru-RU"/>
        </w:rPr>
        <w:t xml:space="preserve">01.07.2021. 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8E6579" w:rsidRPr="00C75BFA" w:rsidRDefault="008E6579" w:rsidP="008E6579">
      <w:pPr>
        <w:tabs>
          <w:tab w:val="left" w:pos="8647"/>
        </w:tabs>
        <w:spacing w:after="0"/>
        <w:ind w:right="-1"/>
        <w:rPr>
          <w:rFonts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В сочетании с показателем ЦУР 4.1.1 – «Доля детей и молодежи, приходящаяся на a) учащихся 2 и 3 классов, b) выпускников начальной школы и c) выпускников неполной средней школы, которые </w:t>
      </w:r>
      <w:proofErr w:type="gramStart"/>
      <w:r w:rsidRPr="00C75BFA">
        <w:rPr>
          <w:rFonts w:eastAsia="Times New Roman" w:cs="Times New Roman"/>
          <w:szCs w:val="24"/>
        </w:rPr>
        <w:t>достигли</w:t>
      </w:r>
      <w:proofErr w:type="gramEnd"/>
      <w:r w:rsidRPr="00C75BFA">
        <w:rPr>
          <w:rFonts w:eastAsia="Times New Roman" w:cs="Times New Roman"/>
          <w:szCs w:val="24"/>
        </w:rPr>
        <w:t xml:space="preserve"> по меньшей мере минимального уровня владения навыками i) грамотности чтения и </w:t>
      </w:r>
      <w:proofErr w:type="spellStart"/>
      <w:r w:rsidRPr="00C75BFA">
        <w:rPr>
          <w:rFonts w:eastAsia="Times New Roman" w:cs="Times New Roman"/>
          <w:szCs w:val="24"/>
        </w:rPr>
        <w:t>ii</w:t>
      </w:r>
      <w:proofErr w:type="spellEnd"/>
      <w:r w:rsidRPr="00C75BFA">
        <w:rPr>
          <w:rFonts w:eastAsia="Times New Roman" w:cs="Times New Roman"/>
          <w:szCs w:val="24"/>
        </w:rPr>
        <w:t xml:space="preserve">) математики навыков счета, в разбивке по полу» - процент завершения может предоставить информацию о проценте детей в данной когорте, которые достигают минимального владения </w:t>
      </w:r>
      <w:r>
        <w:rPr>
          <w:rFonts w:eastAsia="Times New Roman" w:cs="Times New Roman"/>
          <w:szCs w:val="24"/>
        </w:rPr>
        <w:t xml:space="preserve">навыками </w:t>
      </w:r>
      <w:r w:rsidRPr="00C75BFA">
        <w:rPr>
          <w:rFonts w:eastAsia="Times New Roman" w:cs="Times New Roman"/>
          <w:szCs w:val="24"/>
        </w:rPr>
        <w:t>чтени</w:t>
      </w:r>
      <w:r>
        <w:rPr>
          <w:rFonts w:eastAsia="Times New Roman" w:cs="Times New Roman"/>
          <w:szCs w:val="24"/>
        </w:rPr>
        <w:t>я</w:t>
      </w:r>
      <w:r w:rsidRPr="00C75BFA">
        <w:rPr>
          <w:rFonts w:eastAsia="Times New Roman" w:cs="Times New Roman"/>
          <w:szCs w:val="24"/>
        </w:rPr>
        <w:t xml:space="preserve"> и математик</w:t>
      </w:r>
      <w:r>
        <w:rPr>
          <w:rFonts w:eastAsia="Times New Roman" w:cs="Times New Roman"/>
          <w:szCs w:val="24"/>
        </w:rPr>
        <w:t>и</w:t>
      </w:r>
      <w:r w:rsidRPr="00C75BFA">
        <w:rPr>
          <w:rFonts w:eastAsia="Times New Roman" w:cs="Times New Roman"/>
          <w:szCs w:val="24"/>
        </w:rPr>
        <w:t>.</w:t>
      </w:r>
    </w:p>
    <w:p w:rsidR="008E6579" w:rsidRPr="00DA19D7" w:rsidRDefault="008E6579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BD29EC" w:rsidRDefault="00151061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151061">
        <w:rPr>
          <w:rFonts w:cs="Times New Roman"/>
          <w:szCs w:val="24"/>
        </w:rPr>
        <w:t>Статистический институт ЮНЕСКО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57A62" w:rsidRPr="00BD29EC" w:rsidRDefault="00151061" w:rsidP="0075371E">
      <w:pPr>
        <w:pStyle w:val="MText"/>
        <w:rPr>
          <w:color w:val="auto"/>
          <w:sz w:val="24"/>
          <w:szCs w:val="24"/>
          <w:lang w:val="ru-RU"/>
        </w:rPr>
      </w:pPr>
      <w:r w:rsidRPr="00151061">
        <w:rPr>
          <w:color w:val="auto"/>
          <w:sz w:val="24"/>
          <w:szCs w:val="24"/>
          <w:lang w:val="ru-RU"/>
        </w:rPr>
        <w:t>Статистический институт ЮНЕСКО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Определение:</w:t>
      </w:r>
    </w:p>
    <w:p w:rsidR="00486498" w:rsidRPr="00C75BFA" w:rsidRDefault="00486498" w:rsidP="0048649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Процентная доля когорты детей или молодых людей в возрасте от 3 до 5 лет, выше предполагаемого возраста для последнего класса каждого уровня образования, которые закончили этот класс.</w:t>
      </w:r>
    </w:p>
    <w:p w:rsidR="00486498" w:rsidRDefault="00486498" w:rsidP="00DA19D7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DA19D7" w:rsidRDefault="003859BD" w:rsidP="00DA19D7">
      <w:pPr>
        <w:pStyle w:val="M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Основные понятия</w:t>
      </w:r>
    </w:p>
    <w:p w:rsidR="00486498" w:rsidRPr="00C75BFA" w:rsidRDefault="00486498" w:rsidP="0048649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Предполагаемый возраст для последнего класса каждого уровня образования - это возраст, в котором ученики будут поступать в класс, если они начали ходить в школу в </w:t>
      </w:r>
      <w:r w:rsidRPr="00C75BFA">
        <w:rPr>
          <w:rFonts w:eastAsia="Times New Roman" w:cs="Times New Roman"/>
          <w:szCs w:val="24"/>
        </w:rPr>
        <w:lastRenderedPageBreak/>
        <w:t xml:space="preserve">официальном возрасте поступления в начальную школу, </w:t>
      </w:r>
      <w:proofErr w:type="gramStart"/>
      <w:r w:rsidRPr="00C75BFA">
        <w:rPr>
          <w:rFonts w:eastAsia="Times New Roman" w:cs="Times New Roman"/>
          <w:szCs w:val="24"/>
        </w:rPr>
        <w:t>учились полный день</w:t>
      </w:r>
      <w:proofErr w:type="gramEnd"/>
      <w:r w:rsidRPr="00C75BFA">
        <w:rPr>
          <w:rFonts w:eastAsia="Times New Roman" w:cs="Times New Roman"/>
          <w:szCs w:val="24"/>
        </w:rPr>
        <w:t xml:space="preserve"> и достигли прогресса, не оставаясь на второй год и не пропуская классы.</w:t>
      </w:r>
    </w:p>
    <w:p w:rsidR="00486498" w:rsidRPr="00C75BFA" w:rsidRDefault="00486498" w:rsidP="0048649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</w:p>
    <w:p w:rsidR="00486498" w:rsidRPr="00C75BFA" w:rsidRDefault="00486498" w:rsidP="0048649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Например, если официальный возраст поступления в начальную школу составляет 6 лет, и, если начальное образование состоит из 6 классов, предполагаемый возраст для последнего класса начального образования составляет 11 лет. В этом случае возраст 14-16 лет (11 + 3 = 14 и 11 + 5 = 16) будет исходной возрастной группой для расчета процента завершения начального обучения.</w:t>
      </w:r>
    </w:p>
    <w:p w:rsidR="00486498" w:rsidRPr="00DA19D7" w:rsidRDefault="00486498" w:rsidP="00DA19D7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2A34F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2A34F9">
        <w:rPr>
          <w:rFonts w:cs="Times New Roman"/>
          <w:szCs w:val="24"/>
        </w:rPr>
        <w:t>Процент. Этот показатель выражается в процентной доле когорты детей в возрасте на 3-5 лет старше предполагаемого возраста для последнего класса уровня образования, окончивших этот класс.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2A34F9" w:rsidP="0075371E">
      <w:pPr>
        <w:pStyle w:val="MText"/>
        <w:rPr>
          <w:color w:val="auto"/>
          <w:sz w:val="24"/>
          <w:szCs w:val="24"/>
          <w:lang w:val="ru-RU"/>
        </w:rPr>
      </w:pPr>
      <w:r w:rsidRPr="002A34F9">
        <w:rPr>
          <w:color w:val="auto"/>
          <w:sz w:val="24"/>
          <w:szCs w:val="24"/>
          <w:lang w:val="ru-RU"/>
        </w:rPr>
        <w:t>Международная стандартная классификация образования (МСКО) используется для определения начального, неполного среднего и полного среднего образования.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DC58D3" w:rsidRPr="00C75BFA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Данные могут быть получены из переписей населения и обследований домашних хозяйств, которые собирают информацию о самом высоком уровне образования, полученном детьми и молодыми людьми в домашнем хозяйстве. Типичные вопросы в опросе для сбора данных об образовательном уровне:</w:t>
      </w:r>
    </w:p>
    <w:p w:rsidR="00DC58D3" w:rsidRPr="00C75BFA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</w:p>
    <w:p w:rsidR="00DC58D3" w:rsidRPr="00C75BFA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• Какой самый высокий уровень образования получал [имя члена домохозяйства]?</w:t>
      </w:r>
    </w:p>
    <w:p w:rsidR="00DC58D3" w:rsidRPr="00C75BFA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• Какой самый высокий класс образования [имя члена домохозяйства] завершил на этом уровне?</w:t>
      </w:r>
    </w:p>
    <w:p w:rsidR="00DC58D3" w:rsidRPr="00C75BFA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</w:p>
    <w:p w:rsidR="00DC58D3" w:rsidRPr="00DC58D3" w:rsidRDefault="00DC58D3" w:rsidP="00DC58D3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Источники включают в себя общедоступные данные из демографических и медицинских обследований (DHS), обследований по многим показателям с применением гнездовой выборки (MICS), </w:t>
      </w:r>
      <w:hyperlink r:id="rId9" w:history="1">
        <w:r w:rsidRPr="00C75BFA">
          <w:rPr>
            <w:rStyle w:val="ac"/>
            <w:rFonts w:cs="Times New Roman"/>
            <w:szCs w:val="24"/>
          </w:rPr>
          <w:t>Статистики ЕС по уровню дохода и материально-бытовых условий</w:t>
        </w:r>
      </w:hyperlink>
      <w:r w:rsidRPr="00C75BFA">
        <w:rPr>
          <w:rFonts w:eastAsia="Times New Roman" w:cs="Times New Roman"/>
          <w:szCs w:val="24"/>
        </w:rPr>
        <w:t xml:space="preserve"> (EU-SILC), </w:t>
      </w:r>
      <w:r w:rsidRPr="00C75BFA">
        <w:rPr>
          <w:rFonts w:cs="Times New Roman"/>
          <w:szCs w:val="24"/>
          <w:shd w:val="clear" w:color="auto" w:fill="FFFFFF"/>
        </w:rPr>
        <w:t xml:space="preserve">Рядов </w:t>
      </w:r>
      <w:proofErr w:type="spellStart"/>
      <w:r w:rsidRPr="00C75BFA">
        <w:rPr>
          <w:rFonts w:cs="Times New Roman"/>
          <w:szCs w:val="24"/>
          <w:shd w:val="clear" w:color="auto" w:fill="FFFFFF"/>
        </w:rPr>
        <w:t>микроданных</w:t>
      </w:r>
      <w:proofErr w:type="spellEnd"/>
      <w:r w:rsidRPr="00C75BFA">
        <w:rPr>
          <w:rFonts w:cs="Times New Roman"/>
          <w:szCs w:val="24"/>
          <w:shd w:val="clear" w:color="auto" w:fill="FFFFFF"/>
        </w:rPr>
        <w:t xml:space="preserve"> для комплексного использования общественностью</w:t>
      </w:r>
      <w:r w:rsidRPr="00C75BFA">
        <w:rPr>
          <w:rFonts w:eastAsia="Times New Roman" w:cs="Times New Roman"/>
          <w:szCs w:val="24"/>
        </w:rPr>
        <w:t xml:space="preserve"> (IPUMS) и национальных обследований домашних хозяйств и переписей.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BC491C" w:rsidRPr="00C75BFA" w:rsidRDefault="00BC491C" w:rsidP="00BC491C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Данные всех общедоступных обследований домашних хозяйств и переписей с необходимой информацией составляются и используются для расчета процента завершенности. Для международной сопоставимости национальные данные сопоставляются с Международной стандартной классификацией образования (МСКО) до расчета показателя.</w:t>
      </w:r>
    </w:p>
    <w:p w:rsidR="00BC491C" w:rsidRPr="00C75BFA" w:rsidRDefault="00BC491C" w:rsidP="00BC491C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</w:p>
    <w:p w:rsidR="00BC491C" w:rsidRPr="00BC491C" w:rsidRDefault="00BC491C" w:rsidP="00BC491C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Значения показателей, предназначенные для распространения и добавления в глобальную базу данных показателей ЦУР, предоставляются Статистическим институтом ЮНЕСКО </w:t>
      </w:r>
      <w:r w:rsidRPr="00C75BFA">
        <w:rPr>
          <w:rFonts w:eastAsia="Times New Roman" w:cs="Times New Roman"/>
          <w:szCs w:val="24"/>
        </w:rPr>
        <w:lastRenderedPageBreak/>
        <w:t>национальным статистическим управлениям, министерствам образования или другим соответствующим учреждениям в отдельных странах для обзора и обратной связи.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BC491C" w:rsidRDefault="00BC491C" w:rsidP="00BC491C">
      <w:r w:rsidRPr="00BC491C">
        <w:t>Наборы данных обследований домохозяйств и переписи находятся в открытом доступе из источников, описанных выше, и не соответствуют какому-либо конкретному календарю выпуска.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BC491C" w:rsidRPr="00BD29EC" w:rsidRDefault="00BC491C" w:rsidP="00BC491C">
      <w:r w:rsidRPr="00BC491C">
        <w:t>Наборы данных обследований домохозяйств и переписи находятся в открытом доступе из источников, описанных выше, и не соответствуют какому-либо конкретному календарю выпуска.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AA3E2F" w:rsidRPr="00A71EC6" w:rsidRDefault="00AA3E2F" w:rsidP="00AA3E2F">
      <w:r w:rsidRPr="00AA3E2F">
        <w:t>Наборы данных обследований домохозяйств и переписей общедоступны из описанных выше источников и национальных статистических агентств.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C2545D" w:rsidRPr="00BD29EC" w:rsidRDefault="00C2545D" w:rsidP="00C2545D">
      <w:r w:rsidRPr="00C2545D">
        <w:t>Статистический институт ЮНЕСКО.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EF4CF4" w:rsidRPr="00EF4CF4" w:rsidRDefault="00EF4CF4" w:rsidP="00EF4CF4">
      <w:r w:rsidRPr="00EF4CF4">
        <w:t>Статистический институт ЮНЕСКО (СИЮ) является статистическим подразделением Организации Объединенных Наций по вопросам образования, науки и культуры (ЮНЕСКО). Институт производит сопоставимые на международном уровне данные и методологии в области образования, науки, культуры и коммуникации для стран на всех этапах развития.</w:t>
      </w:r>
    </w:p>
    <w:p w:rsidR="00EF4CF4" w:rsidRPr="00EF4CF4" w:rsidRDefault="00EF4CF4" w:rsidP="00EF4CF4">
      <w:hyperlink r:id="rId10" w:history="1">
        <w:r w:rsidRPr="00EF4CF4">
          <w:rPr>
            <w:rStyle w:val="ac"/>
          </w:rPr>
          <w:t>В Рамочной программе действий «Образование-2030»</w:t>
        </w:r>
      </w:hyperlink>
      <w:r w:rsidRPr="00EF4CF4">
        <w:t xml:space="preserve"> четко указывается, что: «Признавая важность гармонизации мониторинга и отчетности, СИЮ останется официальным источником сопоставимых данных по образованию на международном уровне. Он продолжит разработку показателей международного мониторинга на основе своего ежегодного обследования образования и других источников данных, которые гарантируют международную сопоставимость </w:t>
      </w:r>
      <w:proofErr w:type="gramStart"/>
      <w:r w:rsidRPr="00EF4CF4">
        <w:t>для</w:t>
      </w:r>
      <w:proofErr w:type="gramEnd"/>
      <w:r w:rsidRPr="00EF4CF4">
        <w:t xml:space="preserve"> более </w:t>
      </w:r>
      <w:proofErr w:type="gramStart"/>
      <w:r w:rsidRPr="00EF4CF4">
        <w:t>чем</w:t>
      </w:r>
      <w:proofErr w:type="gramEnd"/>
      <w:r w:rsidRPr="00EF4CF4">
        <w:t xml:space="preserve"> 200 стран и территорий. Помимо сбора данных СИЮ будет работать с партнерами над разработкой новых показателей, статистических подходов и инструментов мониторинга для более точной оценки прогресса в достижении целей, связанных с мандатом ЮНЕСКО, взаимодействия с Координационным Комитетом по «ЦУР - Образование 2030».</w:t>
      </w:r>
    </w:p>
    <w:p w:rsidR="00980F79" w:rsidRPr="00BD29EC" w:rsidRDefault="00980F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E139D9" w:rsidRPr="00E139D9" w:rsidRDefault="00E139D9" w:rsidP="00E139D9">
      <w:r w:rsidRPr="00E139D9">
        <w:t>Этот показатель непосредственно упоминается в тексте задачи 4.1: «обеспечить, чтобы все девочки и мальчики завершали получение</w:t>
      </w:r>
      <w:proofErr w:type="gramStart"/>
      <w:r w:rsidRPr="00E139D9">
        <w:t xml:space="preserve"> […] </w:t>
      </w:r>
      <w:proofErr w:type="gramEnd"/>
      <w:r w:rsidRPr="00E139D9">
        <w:t xml:space="preserve">начального и среднего образования». Уровень завершения обучения, равный или близкий к 100%, указывает на то, что все или </w:t>
      </w:r>
      <w:proofErr w:type="gramStart"/>
      <w:r w:rsidRPr="00E139D9">
        <w:lastRenderedPageBreak/>
        <w:t>большинство детей и подростков завершили уровень образования к тому времени, когда</w:t>
      </w:r>
      <w:proofErr w:type="gramEnd"/>
      <w:r w:rsidRPr="00E139D9">
        <w:t xml:space="preserve"> они стали на 3–5 лет старше официального возраста поступления в последний класс этого уровня образования. Низкий уровень завершения означает низкий уровень или задержку с поступлением на данный уровень образования, высокий уровень отсева, высокий процент второгодников, позднее завершение или комбинацию этих факторов.</w:t>
      </w:r>
    </w:p>
    <w:p w:rsidR="002E15F9" w:rsidRPr="00BD29EC" w:rsidRDefault="00E139D9" w:rsidP="00E139D9">
      <w:proofErr w:type="gramStart"/>
      <w:r w:rsidRPr="00E139D9">
        <w:t xml:space="preserve">Процент завершения обучения может использоваться либо в качестве самостоятельного показателя, либо в сочетании с показателем ЦУР 4.1.1 «Доля детей и молодежи: a) во 2-м/ 3-м классе, b) выпускников начальной школы и c) выпускников средней школы, достигших, по меньшей мере, минимального уровня i) грамотности и </w:t>
      </w:r>
      <w:proofErr w:type="spellStart"/>
      <w:r w:rsidRPr="00E139D9">
        <w:t>ii</w:t>
      </w:r>
      <w:proofErr w:type="spellEnd"/>
      <w:r w:rsidRPr="00E139D9">
        <w:t>) навыков счета, в разбивке по полу».</w:t>
      </w:r>
      <w:proofErr w:type="gramEnd"/>
      <w:r w:rsidRPr="00E139D9">
        <w:t xml:space="preserve"> Сочетание процента завершенности с показателем 4.1.1 дает информацию о проценте детей или молодых людей в когорте, которые достигли минимального уровня знаний, а не только о проценте детей, посещающих школу, которые достигают минимального уровня знаний.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E139D9" w:rsidRPr="00E139D9" w:rsidRDefault="00E139D9" w:rsidP="00E139D9">
      <w:r w:rsidRPr="00E139D9">
        <w:t>Возрастная группа на 3-5 лет выше официального возраста поступления в последний класс для данного уровня образования была выбрана для расчета процента завершения, чтобы учесть некоторые задержки с поступлением или оставления на второй год. В странах, где поступление может происходить очень поздно или, когда оставление на второй год является обычным явлением, некоторые дети или подростки в исследуемой возрастной группе все еще могут посещать школу, и, следовательно, окончательный процент завершения обучения может быть занижен.</w:t>
      </w:r>
    </w:p>
    <w:p w:rsidR="00E139D9" w:rsidRPr="00BD29EC" w:rsidRDefault="00E139D9" w:rsidP="00E139D9">
      <w:r w:rsidRPr="00E139D9">
        <w:t>Показатель рассчитывается на основе данных обследования домашних хозяйств и зависит от времени доступности данных. Когда доступно несколько обследований, они могут предоставить противоречивую информацию из-за возможного наличия ошибок выборки и ошибок, не связанных с выборкой, в данных обследования. Группа технического сотрудничества по показателям ЦУР 4 - Образование до 2030 года (TCG) просила усовершенствовать методологию для моделирования оценок процента завершения, следуя подходу, аналогичному тому, который используется для оценки показателей детской смертности. Эта модель обеспечит решение общих проблем с данными обследований домашних хозяйств, таких как своевременность и ошибки выборки или ошибки, не связанные с выборкой, для предоставления обновленных и более надежных данных.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EE204C" w:rsidRPr="00EE204C" w:rsidRDefault="00EE204C" w:rsidP="00EE204C">
      <w:pPr>
        <w:rPr>
          <w:lang w:eastAsia="ru-RU"/>
        </w:rPr>
      </w:pPr>
      <w:r w:rsidRPr="00EE204C">
        <w:rPr>
          <w:lang w:eastAsia="ru-RU"/>
        </w:rPr>
        <w:t>Число лиц в соответствующей возрастной группе, которые завершили последний класс данного уровня образования, делится на общую численность населения (в выборке обследования) той же возрастной группы.</w:t>
      </w:r>
    </w:p>
    <w:p w:rsidR="00EE204C" w:rsidRPr="00EE204C" w:rsidRDefault="00EE204C" w:rsidP="00EE204C">
      <w:pPr>
        <w:rPr>
          <w:lang w:eastAsia="ru-RU"/>
        </w:rPr>
      </w:pPr>
      <w:r>
        <w:rPr>
          <w:lang w:eastAsia="ru-RU"/>
        </w:rPr>
        <w:t>Формула:</w:t>
      </w:r>
    </w:p>
    <w:p w:rsidR="00EE204C" w:rsidRPr="00EE204C" w:rsidRDefault="00EE204C" w:rsidP="00EE204C">
      <w:pPr>
        <w:rPr>
          <w:rFonts w:eastAsiaTheme="minorEastAsia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mbria" w:hAnsi="Cambria Math"/>
                  <w:lang w:eastAsia="ru-RU"/>
                </w:rPr>
              </m:ctrlPr>
            </m:sSubPr>
            <m:e>
              <m:r>
                <w:rPr>
                  <w:rFonts w:ascii="Cambria Math" w:eastAsia="Cambria" w:hAnsi="Cambria Math"/>
                  <w:lang w:eastAsia="ru-RU"/>
                </w:rPr>
                <m:t>CR</m:t>
              </m:r>
            </m:e>
            <m:sub>
              <m:r>
                <w:rPr>
                  <w:rFonts w:ascii="Cambria Math" w:eastAsia="Cambria" w:hAnsi="Cambria Math"/>
                  <w:lang w:eastAsia="ru-RU"/>
                </w:rPr>
                <m:t>n</m:t>
              </m:r>
            </m:sub>
          </m:sSub>
          <m:r>
            <w:rPr>
              <w:rFonts w:ascii="Cambria Math" w:eastAsia="Cambria" w:hAnsi="Cambria Math"/>
              <w:lang w:eastAsia="ru-RU"/>
            </w:rPr>
            <m:t>=</m:t>
          </m:r>
          <m:f>
            <m:fPr>
              <m:ctrlPr>
                <w:rPr>
                  <w:rFonts w:ascii="Cambria Math" w:eastAsia="Cambria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Cambria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lang w:eastAsia="ru-RU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Cambria" w:hAnsi="Cambria Math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" w:hAnsi="Cambria Math"/>
                      <w:lang w:eastAsia="ru-RU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AG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a+3t5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="Cambria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lang w:eastAsia="ru-RU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Cambria" w:hAnsi="Cambria Math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AG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lang w:eastAsia="ru-RU"/>
                        </w:rPr>
                        <m:t>a+3t5</m:t>
                      </m:r>
                    </m:sub>
                  </m:sSub>
                </m:sub>
              </m:sSub>
            </m:den>
          </m:f>
        </m:oMath>
      </m:oMathPara>
    </w:p>
    <w:p w:rsidR="00EE204C" w:rsidRPr="00EE204C" w:rsidRDefault="00EE204C" w:rsidP="00EE204C">
      <w:pPr>
        <w:rPr>
          <w:lang w:eastAsia="ru-RU"/>
        </w:rPr>
      </w:pPr>
      <w:r w:rsidRPr="00EE204C">
        <w:rPr>
          <w:lang w:eastAsia="ru-RU"/>
        </w:rPr>
        <w:t>где:</w:t>
      </w:r>
    </w:p>
    <w:p w:rsidR="00EE204C" w:rsidRPr="00EE204C" w:rsidRDefault="00EE204C" w:rsidP="00EE204C">
      <w:pPr>
        <w:rPr>
          <w:lang w:eastAsia="ru-RU"/>
        </w:rPr>
      </w:pPr>
    </w:p>
    <w:p w:rsidR="00EE204C" w:rsidRPr="00EE204C" w:rsidRDefault="00EE204C" w:rsidP="00EE204C">
      <w:pPr>
        <w:rPr>
          <w:lang w:eastAsia="ru-RU"/>
        </w:rPr>
      </w:pPr>
      <m:oMath>
        <m:sSub>
          <m:sSubPr>
            <m:ctrlPr>
              <w:rPr>
                <w:rFonts w:ascii="Cambria Math" w:eastAsia="Cambria" w:hAnsi="Cambria Math"/>
                <w:lang w:eastAsia="ru-RU"/>
              </w:rPr>
            </m:ctrlPr>
          </m:sSubPr>
          <m:e>
            <m:r>
              <w:rPr>
                <w:rFonts w:ascii="Cambria Math" w:eastAsia="Cambria" w:hAnsi="Cambria Math"/>
                <w:lang w:eastAsia="ru-RU"/>
              </w:rPr>
              <m:t>CR</m:t>
            </m:r>
          </m:e>
          <m:sub>
            <m:r>
              <w:rPr>
                <w:rFonts w:ascii="Cambria Math" w:eastAsia="Cambria" w:hAnsi="Cambria Math"/>
                <w:lang w:eastAsia="ru-RU"/>
              </w:rPr>
              <m:t>n</m:t>
            </m:r>
          </m:sub>
        </m:sSub>
        <m:r>
          <w:rPr>
            <w:rFonts w:ascii="Cambria Math" w:eastAsia="Cambria" w:hAnsi="Cambria Math"/>
            <w:lang w:eastAsia="ru-RU"/>
          </w:rPr>
          <m:t>=</m:t>
        </m:r>
      </m:oMath>
      <w:r w:rsidRPr="00EE204C">
        <w:rPr>
          <w:lang w:eastAsia="ru-RU"/>
        </w:rPr>
        <w:t xml:space="preserve"> процент завершения для уровня образования n</w:t>
      </w:r>
    </w:p>
    <w:p w:rsidR="00EE204C" w:rsidRPr="00EE204C" w:rsidRDefault="00EE204C" w:rsidP="00EE204C">
      <w:pPr>
        <w:rPr>
          <w:lang w:eastAsia="ru-RU"/>
        </w:rPr>
      </w:pPr>
      <m:oMath>
        <m:sSub>
          <m:sSubPr>
            <m:ctrlPr>
              <w:rPr>
                <w:rFonts w:ascii="Cambria Math" w:eastAsia="Cambria" w:hAnsi="Cambria Math"/>
                <w:lang w:eastAsia="ru-RU"/>
              </w:rPr>
            </m:ctrlPr>
          </m:sSubPr>
          <m:e>
            <m:r>
              <w:rPr>
                <w:rFonts w:ascii="Cambria Math" w:eastAsia="Cambria" w:hAnsi="Cambria Math"/>
                <w:lang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mbria" w:hAnsi="Cambria Math"/>
                    <w:lang w:eastAsia="ru-RU"/>
                  </w:rPr>
                </m:ctrlPr>
              </m:sSubPr>
              <m:e>
                <m:r>
                  <w:rPr>
                    <w:rFonts w:ascii="Cambria Math" w:eastAsia="Cambria" w:hAnsi="Cambria Math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Cambria" w:hAnsi="Cambria Math"/>
                    <w:lang w:eastAsia="ru-RU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Cambria" w:hAnsi="Cambria Math"/>
                    <w:lang w:eastAsia="ru-RU"/>
                  </w:rPr>
                </m:ctrlPr>
              </m:sSubPr>
              <m:e>
                <m:r>
                  <w:rPr>
                    <w:rFonts w:ascii="Cambria Math" w:eastAsia="Cambria" w:hAnsi="Cambria Math"/>
                    <w:lang w:eastAsia="ru-RU"/>
                  </w:rPr>
                  <m:t>Age</m:t>
                </m:r>
              </m:e>
              <m:sub>
                <m:r>
                  <w:rPr>
                    <w:rFonts w:ascii="Cambria Math" w:eastAsia="Cambria" w:hAnsi="Cambria Math"/>
                    <w:lang w:eastAsia="ru-RU"/>
                  </w:rPr>
                  <m:t>a+3t5</m:t>
                </m:r>
              </m:sub>
            </m:sSub>
          </m:sub>
        </m:sSub>
        <m:r>
          <w:rPr>
            <w:rFonts w:ascii="Cambria Math" w:eastAsia="Cambria" w:hAnsi="Cambria Math"/>
            <w:lang w:eastAsia="ru-RU"/>
          </w:rPr>
          <m:t>=</m:t>
        </m:r>
      </m:oMath>
      <w:r w:rsidRPr="00EE204C">
        <w:rPr>
          <w:rFonts w:eastAsiaTheme="minorEastAsia"/>
          <w:lang w:eastAsia="ru-RU"/>
        </w:rPr>
        <w:t xml:space="preserve"> </w:t>
      </w:r>
      <w:r w:rsidRPr="00EE204C">
        <w:rPr>
          <w:lang w:eastAsia="ru-RU"/>
        </w:rPr>
        <w:t xml:space="preserve">население в возрасте от 3 до 5 лет старше официального вступительного возраста </w:t>
      </w:r>
      <w:r w:rsidRPr="00EE204C">
        <w:rPr>
          <w:i/>
          <w:lang w:eastAsia="ru-RU"/>
        </w:rPr>
        <w:t xml:space="preserve">a </w:t>
      </w:r>
      <w:r w:rsidRPr="00EE204C">
        <w:rPr>
          <w:lang w:eastAsia="ru-RU"/>
        </w:rPr>
        <w:t>в последний класс уровня образования n, которое завершило уровень n</w:t>
      </w:r>
    </w:p>
    <w:p w:rsidR="00EE204C" w:rsidRPr="00EE204C" w:rsidRDefault="00EE204C" w:rsidP="00EE204C">
      <w:pPr>
        <w:rPr>
          <w:lang w:eastAsia="ru-RU"/>
        </w:rPr>
      </w:pPr>
      <m:oMath>
        <m:sSub>
          <m:sSubPr>
            <m:ctrlPr>
              <w:rPr>
                <w:rFonts w:ascii="Cambria Math" w:eastAsia="Cambria" w:hAnsi="Cambria Math"/>
                <w:lang w:eastAsia="ru-RU"/>
              </w:rPr>
            </m:ctrlPr>
          </m:sSubPr>
          <m:e>
            <m:r>
              <w:rPr>
                <w:rFonts w:ascii="Cambria Math" w:eastAsia="Cambria" w:hAnsi="Cambria Math"/>
                <w:lang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mbria" w:hAnsi="Cambria Math"/>
                    <w:lang w:eastAsia="ru-RU"/>
                  </w:rPr>
                </m:ctrlPr>
              </m:sSubPr>
              <m:e>
                <m:r>
                  <w:rPr>
                    <w:rFonts w:ascii="Cambria Math" w:eastAsia="Cambria" w:hAnsi="Cambria Math"/>
                    <w:lang w:eastAsia="ru-RU"/>
                  </w:rPr>
                  <m:t>Age</m:t>
                </m:r>
              </m:e>
              <m:sub>
                <m:r>
                  <w:rPr>
                    <w:rFonts w:ascii="Cambria Math" w:eastAsia="Cambria" w:hAnsi="Cambria Math"/>
                    <w:lang w:eastAsia="ru-RU"/>
                  </w:rPr>
                  <m:t>a+3t5</m:t>
                </m:r>
              </m:sub>
            </m:sSub>
          </m:sub>
        </m:sSub>
        <m:r>
          <w:rPr>
            <w:rFonts w:ascii="Cambria Math" w:eastAsia="Cambria" w:hAnsi="Cambria Math"/>
            <w:lang w:eastAsia="ru-RU"/>
          </w:rPr>
          <m:t>=</m:t>
        </m:r>
      </m:oMath>
      <w:r w:rsidRPr="00EE204C">
        <w:rPr>
          <w:lang w:eastAsia="ru-RU"/>
        </w:rPr>
        <w:t xml:space="preserve"> население в возрасте от 3 до 5 лет старше официального возраста поступления </w:t>
      </w:r>
      <w:r w:rsidRPr="00EE204C">
        <w:rPr>
          <w:i/>
          <w:lang w:eastAsia="ru-RU"/>
        </w:rPr>
        <w:t>a</w:t>
      </w:r>
      <w:r w:rsidRPr="00EE204C">
        <w:rPr>
          <w:lang w:eastAsia="ru-RU"/>
        </w:rPr>
        <w:t xml:space="preserve"> в последний класс уровня образования n</w:t>
      </w:r>
    </w:p>
    <w:p w:rsidR="00EE204C" w:rsidRPr="00382DDF" w:rsidRDefault="00EE204C" w:rsidP="00382DDF">
      <w:pPr>
        <w:rPr>
          <w:lang w:eastAsia="ru-RU"/>
        </w:rPr>
      </w:pPr>
      <m:oMath>
        <m:r>
          <w:rPr>
            <w:rFonts w:ascii="Cambria Math" w:eastAsia="Cambria" w:hAnsi="Cambria Math"/>
            <w:lang w:eastAsia="ru-RU"/>
          </w:rPr>
          <m:t>n=</m:t>
        </m:r>
      </m:oMath>
      <w:r w:rsidRPr="00EE204C">
        <w:rPr>
          <w:lang w:eastAsia="ru-RU"/>
        </w:rPr>
        <w:t xml:space="preserve"> уровень 1 МСКО (начальное образование), 2 (неполное среднее образование) или 3 (старшее среднее образование)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382DDF" w:rsidRDefault="00382DDF" w:rsidP="00382DDF">
      <w:r w:rsidRPr="00382DDF">
        <w:t>Статистический институт ЮНЕСКО передает все значения показателей и примечания по методологии национальным статистическим управлениям, министерствам образования или другим соответствующим учреждениям в отдельных странах для их обзора, обратной связи и проверки перед публикацией данных.</w:t>
      </w:r>
    </w:p>
    <w:p w:rsidR="00382DDF" w:rsidRDefault="00382DDF" w:rsidP="00382DDF">
      <w:r w:rsidRPr="00382DDF">
        <w:t xml:space="preserve">В рамках другого мероприятия по </w:t>
      </w:r>
      <w:proofErr w:type="spellStart"/>
      <w:r w:rsidRPr="00382DDF">
        <w:t>валидации</w:t>
      </w:r>
      <w:proofErr w:type="spellEnd"/>
      <w:r w:rsidRPr="00382DDF">
        <w:t xml:space="preserve"> и наращиванию потенциала со странами будут проведены консультации с оценками модели степени завершенности. Этот ежегодный консультационный процесс даст министерству образования и национальному статистическому управлению каждой страны возможность рассмотреть и предоставить отзывы обо всех введенных данных, методологии оценки и предварительных оценках.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3B7823" w:rsidRDefault="003B7823" w:rsidP="003B7823">
      <w:r w:rsidRPr="003B7823">
        <w:t xml:space="preserve">Описание любых поправок, касающихся использования стандартных классификаций и согласования разбивки по возрастным группам и другим параметрам, или поправок, сделанных для соответствия конкретным международным или национальным определениям. </w:t>
      </w:r>
      <w:r>
        <w:t>Чтобы п</w:t>
      </w:r>
      <w:r w:rsidRPr="003B7823">
        <w:t>ринять во внимание</w:t>
      </w:r>
      <w:r>
        <w:t xml:space="preserve"> </w:t>
      </w:r>
      <w:r w:rsidRPr="003B7823">
        <w:t>страны, где окончательный уровень завершения занижен, поскольку поступление происходит очень поздно или распространено повторение</w:t>
      </w:r>
      <w:r>
        <w:t xml:space="preserve"> классов</w:t>
      </w:r>
      <w:r w:rsidRPr="003B7823">
        <w:t>, оценочные показатели завершения также доступны для когорт детей или молодых людей в возрасте до 8 лет старше предполагаемого возраста для последнего класса каждого уровня образования.</w:t>
      </w:r>
    </w:p>
    <w:p w:rsidR="002E15F9" w:rsidRPr="00BD29EC" w:rsidRDefault="002E15F9" w:rsidP="003B7823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уровне страны</w:t>
      </w:r>
    </w:p>
    <w:p w:rsidR="002E15F9" w:rsidRPr="001A046B" w:rsidRDefault="001A046B" w:rsidP="001A046B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Процент завершения можно рассчитать по старшим когортам, которые находятся за пределами возрастной группы, указанной в определении показателя, для получения оценок для разных лет. Пробелы в национальных временных рядах также могут быть рассчитаны с использованием вышеупомянутой модели для оценки процента завершения.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региональном и глобальном уровнях</w:t>
      </w:r>
    </w:p>
    <w:p w:rsidR="00694160" w:rsidRDefault="001A046B" w:rsidP="00814D61">
      <w:r>
        <w:t>См. выше</w:t>
      </w:r>
      <w:r w:rsidR="003507BB">
        <w:t>.</w:t>
      </w:r>
    </w:p>
    <w:p w:rsidR="00814D61" w:rsidRPr="00BD29EC" w:rsidRDefault="00814D61" w:rsidP="00814D61"/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814D61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Глобальные и региональные оценки процента завершения начального, младшего среднего и старшего среднего уровня образования получаются путем использования населения страны в соответствующих возрастных группах в качестве весов для агрегирования национальных значений.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814D61" w:rsidRPr="00814D61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Страны могут рассчитать процент завершения, используя методологию, описанную в этом документе. Сопоставления МСКО, которые помогают странам представлять свои данные в сопоставимых на международном уровне рамках, доступны на веб-сайте Института статистики ЮНЕСКО (</w:t>
      </w:r>
      <w:hyperlink r:id="rId11" w:history="1">
        <w:r w:rsidRPr="00C75BFA">
          <w:rPr>
            <w:rStyle w:val="ac"/>
            <w:rFonts w:eastAsia="Times New Roman" w:cs="Times New Roman"/>
            <w:szCs w:val="24"/>
            <w:lang w:eastAsia="en-GB"/>
          </w:rPr>
          <w:t>http://uis.unesco.org/en/isced-mappings</w:t>
        </w:r>
      </w:hyperlink>
      <w:r w:rsidRPr="00C75BFA">
        <w:rPr>
          <w:rFonts w:eastAsia="Times New Roman" w:cs="Times New Roman"/>
          <w:szCs w:val="24"/>
        </w:rPr>
        <w:t>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14D61" w:rsidRPr="00BD29EC" w:rsidRDefault="00814D61" w:rsidP="00814D61">
      <w:r w:rsidRPr="00814D61">
        <w:t xml:space="preserve">Глобальная база данных с показателями </w:t>
      </w:r>
      <w:r>
        <w:t xml:space="preserve">завершения </w:t>
      </w:r>
      <w:r w:rsidRPr="00814D61">
        <w:t xml:space="preserve">ведется </w:t>
      </w:r>
      <w:proofErr w:type="gramStart"/>
      <w:r w:rsidRPr="00814D61">
        <w:t>СИЮ</w:t>
      </w:r>
      <w:proofErr w:type="gramEnd"/>
      <w:r w:rsidRPr="00814D61">
        <w:t xml:space="preserve"> и Докладом о глобальном мониторинге образования. СИЮ устанавливает стандарты, разрабатывает вопросники и протоколы контроля качества для представления данных по странам и поддерживает глобальную базу данных о структуре национальных систем образования.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814D61" w:rsidRPr="00C75BFA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Процесс обеспечения качества включает в себя обзор документации обследования, расчет показателей надежности, проверку согласованности значений показателей, полученных из разных источников, и, при необходимости, консультации с поставщиками данных.</w:t>
      </w:r>
    </w:p>
    <w:p w:rsidR="00814D61" w:rsidRPr="00814D61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Перед ежегодным выпуском данных и добавлением в глобальную базу данных показателей ЦУР Институт статистики ЮНЕСКО представляет все значения показателей и примечания по методологии в национальные статистические управления, министерства образования или другие соответствующие учреждения в отдельных странах для обзора и обратной связи.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814D61" w:rsidRPr="00C75BFA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Для расчета этого показателя необходимы точные данные о структуре национальной системы образования и об уровне образования в разбивке по годам. </w:t>
      </w:r>
      <w:r w:rsidRPr="00C75BFA">
        <w:rPr>
          <w:rFonts w:eastAsia="Times New Roman" w:cs="Times New Roman"/>
          <w:szCs w:val="24"/>
          <w:u w:val="single"/>
        </w:rPr>
        <w:t>Критерии оценки качества следующие:</w:t>
      </w:r>
      <w:r w:rsidRPr="00C75BFA">
        <w:rPr>
          <w:rFonts w:eastAsia="Times New Roman" w:cs="Times New Roman"/>
          <w:szCs w:val="24"/>
        </w:rPr>
        <w:t xml:space="preserve"> </w:t>
      </w:r>
    </w:p>
    <w:p w:rsidR="00814D61" w:rsidRPr="00C75BFA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источники данных должны включать надлежащую документацию; </w:t>
      </w:r>
    </w:p>
    <w:p w:rsidR="00814D61" w:rsidRPr="00C75BFA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значения данных должны быть репрезентативными на национальном уровне населения а, если нет, об этом должно быть указано в сносках; </w:t>
      </w:r>
    </w:p>
    <w:p w:rsidR="00814D61" w:rsidRPr="00C75BFA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значения данных должны быть основаны на достаточно большой выборке; </w:t>
      </w:r>
    </w:p>
    <w:p w:rsidR="00814D61" w:rsidRPr="00814D61" w:rsidRDefault="00814D61" w:rsidP="00814D61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данные должны быть достоверными и не должны расходиться с ранее опубликованными / сообщенными значениями показателя.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1F7588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F7588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1F7588" w:rsidRPr="001F7588" w:rsidRDefault="001F7588" w:rsidP="001F758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 xml:space="preserve">Процент завершения начального образования в настоящее время доступен для 150 стран, что составляет 77% от всех стран мира. Процент завершения неполного среднего образования доступен для 155 стран, что составляет 80% от всех стран. Охват процента завершения полного среднего образования аналогично включает данные по 155 странам, </w:t>
      </w:r>
      <w:r w:rsidRPr="00C75BFA">
        <w:rPr>
          <w:rFonts w:eastAsia="Times New Roman" w:cs="Times New Roman"/>
          <w:szCs w:val="24"/>
        </w:rPr>
        <w:lastRenderedPageBreak/>
        <w:t>представляющим 80% всех стран. Страны с процентом завершения обучения на дому составляет более чем 90% мирового населения.</w:t>
      </w:r>
    </w:p>
    <w:p w:rsidR="0075371E" w:rsidRPr="001F7588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F7588">
        <w:rPr>
          <w:b/>
          <w:color w:val="auto"/>
          <w:sz w:val="24"/>
          <w:szCs w:val="24"/>
          <w:lang w:val="ru-RU"/>
        </w:rPr>
        <w:t>Временные ряды:</w:t>
      </w:r>
    </w:p>
    <w:p w:rsidR="001F7588" w:rsidRPr="001F7588" w:rsidRDefault="001F7588" w:rsidP="001F7588">
      <w:pPr>
        <w:shd w:val="clear" w:color="auto" w:fill="FFFFFF"/>
        <w:tabs>
          <w:tab w:val="left" w:pos="8647"/>
        </w:tabs>
        <w:spacing w:after="0"/>
        <w:ind w:right="-1"/>
        <w:textAlignment w:val="bottom"/>
        <w:rPr>
          <w:rFonts w:eastAsia="Times New Roman" w:cs="Times New Roman"/>
          <w:szCs w:val="24"/>
        </w:rPr>
      </w:pPr>
      <w:r w:rsidRPr="00C75BFA">
        <w:rPr>
          <w:rFonts w:eastAsia="Times New Roman" w:cs="Times New Roman"/>
          <w:szCs w:val="24"/>
        </w:rPr>
        <w:t>Данные по проценту завершения доступны за годы после 2000 года. Национальные временные ряды являются неполными из-за нечастого проведения обследований домашних хозяйств и переписей, но, возможно, могут быть реконструированы с использованием вышеупомянутой модели для оценки процента завершения.</w:t>
      </w:r>
    </w:p>
    <w:p w:rsidR="0075371E" w:rsidRPr="001F7588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F7588">
        <w:rPr>
          <w:b/>
          <w:color w:val="auto"/>
          <w:sz w:val="24"/>
          <w:szCs w:val="24"/>
          <w:lang w:val="ru-RU"/>
        </w:rPr>
        <w:t>Разбивка:</w:t>
      </w:r>
    </w:p>
    <w:p w:rsidR="001F7588" w:rsidRPr="00BD29EC" w:rsidRDefault="001F7588" w:rsidP="0075371E">
      <w:pPr>
        <w:pStyle w:val="MText"/>
        <w:rPr>
          <w:color w:val="auto"/>
          <w:sz w:val="24"/>
          <w:szCs w:val="24"/>
          <w:lang w:val="ru-RU"/>
        </w:rPr>
      </w:pPr>
      <w:r w:rsidRPr="001F7588">
        <w:rPr>
          <w:color w:val="auto"/>
          <w:sz w:val="24"/>
          <w:szCs w:val="24"/>
          <w:lang w:val="ru-RU"/>
        </w:rPr>
        <w:t>Показатель дезагрегирован по полу, местоположению, благосостоянию и другим параметрам, указанным в глобальном показателе 4.5.1 (индекс паритета). Оценки на основе модели дезагрегированы по полу.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1F7588" w:rsidRDefault="001F7588" w:rsidP="001F7588">
      <w:pPr>
        <w:rPr>
          <w:lang w:eastAsia="en-GB"/>
        </w:rPr>
      </w:pPr>
      <w:r w:rsidRPr="001F7588">
        <w:rPr>
          <w:lang w:eastAsia="en-GB"/>
        </w:rPr>
        <w:t>Процент. Этот показатель выражается в процентной доле когорты детей в возрасте на 3-5 лет старше предполагаемого возраста для последнего класса уровня образования, окончивших этот класс.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1F7588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1F7588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1F7588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1F7588" w:rsidRPr="00C75BFA" w:rsidRDefault="001F7588" w:rsidP="001F7588">
      <w:r w:rsidRPr="00C75BFA">
        <w:t>Институт статистики ЮНЕСКО</w:t>
      </w:r>
      <w:r w:rsidRPr="00C75BFA">
        <w:rPr>
          <w:lang w:eastAsia="en-GB"/>
        </w:rPr>
        <w:t xml:space="preserve"> (</w:t>
      </w:r>
      <w:r w:rsidRPr="00C75BFA">
        <w:rPr>
          <w:lang w:val="en-US" w:eastAsia="en-GB"/>
        </w:rPr>
        <w:t>UIS</w:t>
      </w:r>
      <w:r w:rsidRPr="00C75BFA">
        <w:rPr>
          <w:lang w:eastAsia="en-GB"/>
        </w:rPr>
        <w:t xml:space="preserve">). 2019. Онлайн база данных </w:t>
      </w:r>
      <w:r w:rsidRPr="00C75BFA">
        <w:t>Института статистики ЮНЕСКО.</w:t>
      </w:r>
    </w:p>
    <w:p w:rsidR="001F7588" w:rsidRPr="00C75BFA" w:rsidRDefault="001F7588" w:rsidP="001F7588">
      <w:pPr>
        <w:rPr>
          <w:lang w:eastAsia="en-GB"/>
        </w:rPr>
      </w:pPr>
      <w:r w:rsidRPr="00C75BFA">
        <w:t>Процент завершения начального образования</w:t>
      </w:r>
      <w:r w:rsidRPr="00C75BFA">
        <w:rPr>
          <w:lang w:eastAsia="en-GB"/>
        </w:rPr>
        <w:t xml:space="preserve">: </w:t>
      </w:r>
      <w:hyperlink r:id="rId12" w:history="1">
        <w:r w:rsidRPr="00C75BFA">
          <w:rPr>
            <w:rStyle w:val="ac"/>
            <w:rFonts w:cs="Times New Roman"/>
            <w:szCs w:val="24"/>
            <w:lang w:val="en-US"/>
          </w:rPr>
          <w:t>http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data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uis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unesco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index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aspx</w:t>
        </w:r>
        <w:proofErr w:type="spellEnd"/>
        <w:r w:rsidRPr="00C75BFA">
          <w:rPr>
            <w:rStyle w:val="ac"/>
            <w:rFonts w:cs="Times New Roman"/>
            <w:szCs w:val="24"/>
          </w:rPr>
          <w:t>?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queryid</w:t>
        </w:r>
        <w:proofErr w:type="spellEnd"/>
        <w:r w:rsidRPr="00C75BFA">
          <w:rPr>
            <w:rStyle w:val="ac"/>
            <w:rFonts w:cs="Times New Roman"/>
            <w:szCs w:val="24"/>
          </w:rPr>
          <w:t>=3417</w:t>
        </w:r>
      </w:hyperlink>
    </w:p>
    <w:p w:rsidR="001F7588" w:rsidRPr="00C75BFA" w:rsidRDefault="001F7588" w:rsidP="001F7588">
      <w:pPr>
        <w:rPr>
          <w:lang w:eastAsia="en-GB"/>
        </w:rPr>
      </w:pPr>
      <w:r w:rsidRPr="00C75BFA">
        <w:t>Процент завершения неполного среднего образования</w:t>
      </w:r>
      <w:r w:rsidRPr="00C75BFA">
        <w:rPr>
          <w:lang w:eastAsia="en-GB"/>
        </w:rPr>
        <w:t xml:space="preserve">: </w:t>
      </w:r>
      <w:hyperlink r:id="rId13" w:history="1">
        <w:r w:rsidRPr="00C75BFA">
          <w:rPr>
            <w:rStyle w:val="ac"/>
            <w:rFonts w:cs="Times New Roman"/>
            <w:szCs w:val="24"/>
            <w:lang w:val="en-US"/>
          </w:rPr>
          <w:t>http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data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uis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unesco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index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aspx</w:t>
        </w:r>
        <w:proofErr w:type="spellEnd"/>
        <w:r w:rsidRPr="00C75BFA">
          <w:rPr>
            <w:rStyle w:val="ac"/>
            <w:rFonts w:cs="Times New Roman"/>
            <w:szCs w:val="24"/>
          </w:rPr>
          <w:t>?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queryid</w:t>
        </w:r>
        <w:proofErr w:type="spellEnd"/>
        <w:r w:rsidRPr="00C75BFA">
          <w:rPr>
            <w:rStyle w:val="ac"/>
            <w:rFonts w:cs="Times New Roman"/>
            <w:szCs w:val="24"/>
          </w:rPr>
          <w:t>=3420</w:t>
        </w:r>
      </w:hyperlink>
    </w:p>
    <w:p w:rsidR="001F7588" w:rsidRPr="00C75BFA" w:rsidRDefault="001F7588" w:rsidP="001F7588">
      <w:pPr>
        <w:rPr>
          <w:lang w:eastAsia="en-GB"/>
        </w:rPr>
      </w:pPr>
      <w:r w:rsidRPr="00C75BFA">
        <w:t>Процент завершения полного среднего образования</w:t>
      </w:r>
      <w:r w:rsidRPr="00C75BFA">
        <w:rPr>
          <w:lang w:eastAsia="en-GB"/>
        </w:rPr>
        <w:t xml:space="preserve">: </w:t>
      </w:r>
      <w:hyperlink r:id="rId14" w:history="1">
        <w:r w:rsidRPr="00C75BFA">
          <w:rPr>
            <w:rStyle w:val="ac"/>
            <w:rFonts w:cs="Times New Roman"/>
            <w:szCs w:val="24"/>
            <w:lang w:val="en-US"/>
          </w:rPr>
          <w:t>http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data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uis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unesco</w:t>
        </w:r>
        <w:proofErr w:type="spellEnd"/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index</w:t>
        </w:r>
        <w:r w:rsidRPr="00C75BFA">
          <w:rPr>
            <w:rStyle w:val="ac"/>
            <w:rFonts w:cs="Times New Roman"/>
            <w:szCs w:val="24"/>
          </w:rPr>
          <w:t>.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aspx</w:t>
        </w:r>
        <w:proofErr w:type="spellEnd"/>
        <w:r w:rsidRPr="00C75BFA">
          <w:rPr>
            <w:rStyle w:val="ac"/>
            <w:rFonts w:cs="Times New Roman"/>
            <w:szCs w:val="24"/>
          </w:rPr>
          <w:t>?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queryid</w:t>
        </w:r>
        <w:proofErr w:type="spellEnd"/>
        <w:r w:rsidRPr="00C75BFA">
          <w:rPr>
            <w:rStyle w:val="ac"/>
            <w:rFonts w:cs="Times New Roman"/>
            <w:szCs w:val="24"/>
          </w:rPr>
          <w:t>=3423</w:t>
        </w:r>
      </w:hyperlink>
      <w:bookmarkStart w:id="5" w:name="_GoBack"/>
      <w:bookmarkEnd w:id="5"/>
    </w:p>
    <w:p w:rsidR="001F7588" w:rsidRPr="001F7588" w:rsidRDefault="001F7588" w:rsidP="001F7588">
      <w:pPr>
        <w:rPr>
          <w:lang w:eastAsia="en-GB"/>
        </w:rPr>
      </w:pPr>
      <w:r w:rsidRPr="00C75BFA">
        <w:t>Институт статистики ЮНЕСКО</w:t>
      </w:r>
      <w:r w:rsidRPr="00C75BFA">
        <w:rPr>
          <w:lang w:eastAsia="en-GB"/>
        </w:rPr>
        <w:t xml:space="preserve"> (</w:t>
      </w:r>
      <w:r w:rsidRPr="00C75BFA">
        <w:rPr>
          <w:lang w:val="en-US" w:eastAsia="en-GB"/>
        </w:rPr>
        <w:t>UIS</w:t>
      </w:r>
      <w:r w:rsidRPr="00C75BFA">
        <w:rPr>
          <w:lang w:eastAsia="en-GB"/>
        </w:rPr>
        <w:t xml:space="preserve">) и </w:t>
      </w:r>
      <w:r w:rsidRPr="00C75BFA">
        <w:rPr>
          <w:color w:val="000000"/>
          <w:shd w:val="clear" w:color="auto" w:fill="FFFFFF"/>
        </w:rPr>
        <w:t>Доклад о мониторинге глобального образования</w:t>
      </w:r>
      <w:r w:rsidRPr="00C75BFA">
        <w:rPr>
          <w:lang w:eastAsia="en-GB"/>
        </w:rPr>
        <w:t xml:space="preserve">. </w:t>
      </w:r>
      <w:r w:rsidRPr="001F7588">
        <w:rPr>
          <w:lang w:eastAsia="en-GB"/>
        </w:rPr>
        <w:t xml:space="preserve">2019. </w:t>
      </w:r>
      <w:r w:rsidRPr="00C75BFA">
        <w:rPr>
          <w:color w:val="000000"/>
          <w:shd w:val="clear" w:color="auto" w:fill="FFFFFF"/>
        </w:rPr>
        <w:t>База данных о мировом неравенстве в области образования</w:t>
      </w:r>
      <w:r w:rsidRPr="001F7588">
        <w:rPr>
          <w:lang w:eastAsia="en-GB"/>
        </w:rPr>
        <w:t xml:space="preserve"> (</w:t>
      </w:r>
      <w:r w:rsidRPr="00C75BFA">
        <w:rPr>
          <w:lang w:val="en-US" w:eastAsia="en-GB"/>
        </w:rPr>
        <w:t>WIDE</w:t>
      </w:r>
      <w:r w:rsidRPr="001F7588">
        <w:rPr>
          <w:lang w:eastAsia="en-GB"/>
        </w:rPr>
        <w:t>).</w:t>
      </w:r>
    </w:p>
    <w:p w:rsidR="001F7588" w:rsidRPr="00C75BFA" w:rsidRDefault="001F7588" w:rsidP="001F7588">
      <w:r w:rsidRPr="00C75BFA">
        <w:t xml:space="preserve">Процент завершения начального образования: </w:t>
      </w:r>
    </w:p>
    <w:p w:rsidR="001F7588" w:rsidRPr="00C75BFA" w:rsidRDefault="001F7588" w:rsidP="001F7588">
      <w:hyperlink r:id="rId15" w:history="1">
        <w:r w:rsidRPr="00C75BFA">
          <w:rPr>
            <w:rStyle w:val="ac"/>
            <w:rFonts w:cs="Times New Roman"/>
            <w:szCs w:val="24"/>
            <w:lang w:val="en-US"/>
          </w:rPr>
          <w:t>https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www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education</w:t>
        </w:r>
        <w:r w:rsidRPr="00C75BFA">
          <w:rPr>
            <w:rStyle w:val="ac"/>
            <w:rFonts w:cs="Times New Roman"/>
            <w:szCs w:val="24"/>
          </w:rPr>
          <w:t>-</w:t>
        </w:r>
        <w:r w:rsidRPr="00C75BFA">
          <w:rPr>
            <w:rStyle w:val="ac"/>
            <w:rFonts w:cs="Times New Roman"/>
            <w:szCs w:val="24"/>
            <w:lang w:val="en-US"/>
          </w:rPr>
          <w:t>inequalities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indicators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comp</w:t>
        </w:r>
        <w:r w:rsidRPr="00C75BFA">
          <w:rPr>
            <w:rStyle w:val="ac"/>
            <w:rFonts w:cs="Times New Roman"/>
            <w:szCs w:val="24"/>
          </w:rPr>
          <w:t>_</w:t>
        </w:r>
        <w:r w:rsidRPr="00C75BFA">
          <w:rPr>
            <w:rStyle w:val="ac"/>
            <w:rFonts w:cs="Times New Roman"/>
            <w:szCs w:val="24"/>
            <w:lang w:val="en-US"/>
          </w:rPr>
          <w:t>prim</w:t>
        </w:r>
        <w:r w:rsidRPr="00C75BFA">
          <w:rPr>
            <w:rStyle w:val="ac"/>
            <w:rFonts w:cs="Times New Roman"/>
            <w:szCs w:val="24"/>
          </w:rPr>
          <w:t>_</w:t>
        </w:r>
        <w:r w:rsidRPr="00C75BFA">
          <w:rPr>
            <w:rStyle w:val="ac"/>
            <w:rFonts w:cs="Times New Roman"/>
            <w:szCs w:val="24"/>
            <w:lang w:val="en-US"/>
          </w:rPr>
          <w:t>v</w:t>
        </w:r>
        <w:r w:rsidRPr="00C75BFA">
          <w:rPr>
            <w:rStyle w:val="ac"/>
            <w:rFonts w:cs="Times New Roman"/>
            <w:szCs w:val="24"/>
          </w:rPr>
          <w:t>2</w:t>
        </w:r>
      </w:hyperlink>
    </w:p>
    <w:p w:rsidR="001F7588" w:rsidRPr="00C75BFA" w:rsidRDefault="001F7588" w:rsidP="001F7588">
      <w:r w:rsidRPr="00C75BFA">
        <w:t xml:space="preserve">Процент завершения неполного среднего образования: </w:t>
      </w:r>
    </w:p>
    <w:p w:rsidR="001F7588" w:rsidRPr="00C75BFA" w:rsidRDefault="001F7588" w:rsidP="001F7588">
      <w:hyperlink r:id="rId16" w:history="1">
        <w:r w:rsidRPr="00C75BFA">
          <w:rPr>
            <w:rStyle w:val="ac"/>
            <w:rFonts w:cs="Times New Roman"/>
            <w:szCs w:val="24"/>
            <w:lang w:val="en-US"/>
          </w:rPr>
          <w:t>https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www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education</w:t>
        </w:r>
        <w:r w:rsidRPr="00C75BFA">
          <w:rPr>
            <w:rStyle w:val="ac"/>
            <w:rFonts w:cs="Times New Roman"/>
            <w:szCs w:val="24"/>
          </w:rPr>
          <w:t>-</w:t>
        </w:r>
        <w:r w:rsidRPr="00C75BFA">
          <w:rPr>
            <w:rStyle w:val="ac"/>
            <w:rFonts w:cs="Times New Roman"/>
            <w:szCs w:val="24"/>
            <w:lang w:val="en-US"/>
          </w:rPr>
          <w:t>inequalities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indicators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comp</w:t>
        </w:r>
        <w:r w:rsidRPr="00C75BFA">
          <w:rPr>
            <w:rStyle w:val="ac"/>
            <w:rFonts w:cs="Times New Roman"/>
            <w:szCs w:val="24"/>
          </w:rPr>
          <w:t>_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lowsec</w:t>
        </w:r>
        <w:proofErr w:type="spellEnd"/>
        <w:r w:rsidRPr="00C75BFA">
          <w:rPr>
            <w:rStyle w:val="ac"/>
            <w:rFonts w:cs="Times New Roman"/>
            <w:szCs w:val="24"/>
          </w:rPr>
          <w:t>_</w:t>
        </w:r>
        <w:r w:rsidRPr="00C75BFA">
          <w:rPr>
            <w:rStyle w:val="ac"/>
            <w:rFonts w:cs="Times New Roman"/>
            <w:szCs w:val="24"/>
            <w:lang w:val="en-US"/>
          </w:rPr>
          <w:t>v</w:t>
        </w:r>
        <w:r w:rsidRPr="00C75BFA">
          <w:rPr>
            <w:rStyle w:val="ac"/>
            <w:rFonts w:cs="Times New Roman"/>
            <w:szCs w:val="24"/>
          </w:rPr>
          <w:t>2</w:t>
        </w:r>
      </w:hyperlink>
    </w:p>
    <w:p w:rsidR="001F7588" w:rsidRPr="00C75BFA" w:rsidRDefault="001F7588" w:rsidP="001F7588">
      <w:r w:rsidRPr="00C75BFA">
        <w:t>Процент завершения полного среднего образования:</w:t>
      </w:r>
    </w:p>
    <w:p w:rsidR="001F7588" w:rsidRPr="001F7588" w:rsidRDefault="001F7588" w:rsidP="001F7588">
      <w:hyperlink r:id="rId17" w:history="1">
        <w:r w:rsidRPr="00C75BFA">
          <w:rPr>
            <w:rStyle w:val="ac"/>
            <w:rFonts w:cs="Times New Roman"/>
            <w:szCs w:val="24"/>
            <w:lang w:val="en-US"/>
          </w:rPr>
          <w:t>https</w:t>
        </w:r>
        <w:r w:rsidRPr="00C75BFA">
          <w:rPr>
            <w:rStyle w:val="ac"/>
            <w:rFonts w:cs="Times New Roman"/>
            <w:szCs w:val="24"/>
          </w:rPr>
          <w:t>://</w:t>
        </w:r>
        <w:r w:rsidRPr="00C75BFA">
          <w:rPr>
            <w:rStyle w:val="ac"/>
            <w:rFonts w:cs="Times New Roman"/>
            <w:szCs w:val="24"/>
            <w:lang w:val="en-US"/>
          </w:rPr>
          <w:t>www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education</w:t>
        </w:r>
        <w:r w:rsidRPr="00C75BFA">
          <w:rPr>
            <w:rStyle w:val="ac"/>
            <w:rFonts w:cs="Times New Roman"/>
            <w:szCs w:val="24"/>
          </w:rPr>
          <w:t>-</w:t>
        </w:r>
        <w:r w:rsidRPr="00C75BFA">
          <w:rPr>
            <w:rStyle w:val="ac"/>
            <w:rFonts w:cs="Times New Roman"/>
            <w:szCs w:val="24"/>
            <w:lang w:val="en-US"/>
          </w:rPr>
          <w:t>inequalities</w:t>
        </w:r>
        <w:r w:rsidRPr="00C75BFA">
          <w:rPr>
            <w:rStyle w:val="ac"/>
            <w:rFonts w:cs="Times New Roman"/>
            <w:szCs w:val="24"/>
          </w:rPr>
          <w:t>.</w:t>
        </w:r>
        <w:r w:rsidRPr="00C75BFA">
          <w:rPr>
            <w:rStyle w:val="ac"/>
            <w:rFonts w:cs="Times New Roman"/>
            <w:szCs w:val="24"/>
            <w:lang w:val="en-US"/>
          </w:rPr>
          <w:t>org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indicators</w:t>
        </w:r>
        <w:r w:rsidRPr="00C75BFA">
          <w:rPr>
            <w:rStyle w:val="ac"/>
            <w:rFonts w:cs="Times New Roman"/>
            <w:szCs w:val="24"/>
          </w:rPr>
          <w:t>/</w:t>
        </w:r>
        <w:r w:rsidRPr="00C75BFA">
          <w:rPr>
            <w:rStyle w:val="ac"/>
            <w:rFonts w:cs="Times New Roman"/>
            <w:szCs w:val="24"/>
            <w:lang w:val="en-US"/>
          </w:rPr>
          <w:t>comp</w:t>
        </w:r>
        <w:r w:rsidRPr="00C75BFA">
          <w:rPr>
            <w:rStyle w:val="ac"/>
            <w:rFonts w:cs="Times New Roman"/>
            <w:szCs w:val="24"/>
          </w:rPr>
          <w:t>_</w:t>
        </w:r>
        <w:proofErr w:type="spellStart"/>
        <w:r w:rsidRPr="00C75BFA">
          <w:rPr>
            <w:rStyle w:val="ac"/>
            <w:rFonts w:cs="Times New Roman"/>
            <w:szCs w:val="24"/>
            <w:lang w:val="en-US"/>
          </w:rPr>
          <w:t>upsec</w:t>
        </w:r>
        <w:proofErr w:type="spellEnd"/>
        <w:r w:rsidRPr="00C75BFA">
          <w:rPr>
            <w:rStyle w:val="ac"/>
            <w:rFonts w:cs="Times New Roman"/>
            <w:szCs w:val="24"/>
          </w:rPr>
          <w:t>_</w:t>
        </w:r>
        <w:r w:rsidRPr="00C75BFA">
          <w:rPr>
            <w:rStyle w:val="ac"/>
            <w:rFonts w:cs="Times New Roman"/>
            <w:szCs w:val="24"/>
            <w:lang w:val="en-US"/>
          </w:rPr>
          <w:t>v</w:t>
        </w:r>
        <w:r w:rsidRPr="00C75BFA">
          <w:rPr>
            <w:rStyle w:val="ac"/>
            <w:rFonts w:cs="Times New Roman"/>
            <w:szCs w:val="24"/>
          </w:rPr>
          <w:t>2</w:t>
        </w:r>
      </w:hyperlink>
      <w:r w:rsidRPr="00C75BFA">
        <w:t xml:space="preserve"> </w:t>
      </w:r>
    </w:p>
    <w:sectPr w:rsidR="001F7588" w:rsidRPr="001F758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AA" w:rsidRDefault="00DC18AA" w:rsidP="00F73DBC">
      <w:pPr>
        <w:spacing w:after="0" w:line="240" w:lineRule="auto"/>
      </w:pPr>
      <w:r>
        <w:separator/>
      </w:r>
    </w:p>
  </w:endnote>
  <w:endnote w:type="continuationSeparator" w:id="0">
    <w:p w:rsidR="00DC18AA" w:rsidRDefault="00DC18AA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AA" w:rsidRDefault="00DC18AA" w:rsidP="00F73DBC">
      <w:pPr>
        <w:spacing w:after="0" w:line="240" w:lineRule="auto"/>
      </w:pPr>
      <w:r>
        <w:separator/>
      </w:r>
    </w:p>
  </w:footnote>
  <w:footnote w:type="continuationSeparator" w:id="0">
    <w:p w:rsidR="00DC18AA" w:rsidRDefault="00DC18AA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5F2C0B">
      <w:t>февраль</w:t>
    </w:r>
    <w:r w:rsidR="00781DE7">
      <w:t xml:space="preserve"> 2022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E8"/>
    <w:multiLevelType w:val="hybridMultilevel"/>
    <w:tmpl w:val="68B2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B4947"/>
    <w:multiLevelType w:val="hybridMultilevel"/>
    <w:tmpl w:val="F322E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C5EF5"/>
    <w:rsid w:val="00116248"/>
    <w:rsid w:val="001470A2"/>
    <w:rsid w:val="00151061"/>
    <w:rsid w:val="00165896"/>
    <w:rsid w:val="001A046B"/>
    <w:rsid w:val="001A163A"/>
    <w:rsid w:val="001E2FC9"/>
    <w:rsid w:val="001F7588"/>
    <w:rsid w:val="002064C4"/>
    <w:rsid w:val="00291FA0"/>
    <w:rsid w:val="002A34F9"/>
    <w:rsid w:val="002E122C"/>
    <w:rsid w:val="002E15F9"/>
    <w:rsid w:val="002F63E5"/>
    <w:rsid w:val="00303D71"/>
    <w:rsid w:val="003143BC"/>
    <w:rsid w:val="003507BB"/>
    <w:rsid w:val="003746BC"/>
    <w:rsid w:val="00382DDF"/>
    <w:rsid w:val="003859BD"/>
    <w:rsid w:val="003B7823"/>
    <w:rsid w:val="003D58DC"/>
    <w:rsid w:val="00407E4E"/>
    <w:rsid w:val="004143B4"/>
    <w:rsid w:val="00421928"/>
    <w:rsid w:val="00486498"/>
    <w:rsid w:val="004E087E"/>
    <w:rsid w:val="005E47BD"/>
    <w:rsid w:val="005F2C0B"/>
    <w:rsid w:val="006704C2"/>
    <w:rsid w:val="00694160"/>
    <w:rsid w:val="006B260E"/>
    <w:rsid w:val="006B3939"/>
    <w:rsid w:val="006D6525"/>
    <w:rsid w:val="006D7049"/>
    <w:rsid w:val="00702333"/>
    <w:rsid w:val="00705161"/>
    <w:rsid w:val="0075371E"/>
    <w:rsid w:val="00780F08"/>
    <w:rsid w:val="00781DE7"/>
    <w:rsid w:val="007B0CFD"/>
    <w:rsid w:val="007C27E0"/>
    <w:rsid w:val="007D1185"/>
    <w:rsid w:val="007F06DF"/>
    <w:rsid w:val="00814D61"/>
    <w:rsid w:val="00836F3E"/>
    <w:rsid w:val="00853C09"/>
    <w:rsid w:val="00856D67"/>
    <w:rsid w:val="008E6579"/>
    <w:rsid w:val="009508D1"/>
    <w:rsid w:val="00957A62"/>
    <w:rsid w:val="00980F79"/>
    <w:rsid w:val="00982FE8"/>
    <w:rsid w:val="009C064B"/>
    <w:rsid w:val="00A53D4B"/>
    <w:rsid w:val="00A618FC"/>
    <w:rsid w:val="00A71EC6"/>
    <w:rsid w:val="00A82CD3"/>
    <w:rsid w:val="00A91FDE"/>
    <w:rsid w:val="00AA3E2F"/>
    <w:rsid w:val="00AC1A97"/>
    <w:rsid w:val="00B0378B"/>
    <w:rsid w:val="00B72F77"/>
    <w:rsid w:val="00BC491C"/>
    <w:rsid w:val="00BD29EC"/>
    <w:rsid w:val="00BE2C5D"/>
    <w:rsid w:val="00BE415C"/>
    <w:rsid w:val="00C2545D"/>
    <w:rsid w:val="00C47A4A"/>
    <w:rsid w:val="00C8596F"/>
    <w:rsid w:val="00CA1CB1"/>
    <w:rsid w:val="00D05466"/>
    <w:rsid w:val="00D2619D"/>
    <w:rsid w:val="00DA19D7"/>
    <w:rsid w:val="00DC18AA"/>
    <w:rsid w:val="00DC58D3"/>
    <w:rsid w:val="00E123F7"/>
    <w:rsid w:val="00E139D9"/>
    <w:rsid w:val="00E21B43"/>
    <w:rsid w:val="00E27922"/>
    <w:rsid w:val="00E33CA8"/>
    <w:rsid w:val="00E90BD4"/>
    <w:rsid w:val="00EB362A"/>
    <w:rsid w:val="00EB389E"/>
    <w:rsid w:val="00EE0900"/>
    <w:rsid w:val="00EE204C"/>
    <w:rsid w:val="00EF4CF4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ta.uis.unesco.org/index.aspx?queryid=34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ata.uis.unesco.org/index.aspx?queryid=3417" TargetMode="External"/><Relationship Id="rId17" Type="http://schemas.openxmlformats.org/officeDocument/2006/relationships/hyperlink" Target="https://www.education-inequalities.org/indicators/comp_upsec_v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-inequalities.org/indicators/comp_lowsec_v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s.unesco.org/en/isced-mapping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ducation-inequalities.org/indicators/comp_prim_v2" TargetMode="External"/><Relationship Id="rId10" Type="http://schemas.openxmlformats.org/officeDocument/2006/relationships/hyperlink" Target="https://www.moe.gov.bn/DocumentDownloads/Education%202030/Education2030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ultitran.com/m.exe?s=%D0%A1%D1%82%D0%B0%D1%82%D0%B8%D1%81%D1%82%D0%B8%D0%BA%D0%B0+%D0%95%D0%A1+%D0%BF%D0%BE+%D1%83%D1%80%D0%BE%D0%B2%D0%BD%D1%8E+%D0%B4%D0%BE%D1%85%D0%BE%D0%B4%D0%B0+%D0%B8+%D0%BC%D0%B0%D1%82%D0%B5%D1%80%D0%B8%D0%B0%D0%BB%D1%8C%D0%BD%D0%BE-%D0%B1%D1%8B%D1%82%D0%BE%D0%B2%D1%8B%D1%85+%D1%83%D1%81%D0%BB%D0%BE%D0%B2%D0%B8%D0%B9&amp;l1=2&amp;l2=1" TargetMode="External"/><Relationship Id="rId14" Type="http://schemas.openxmlformats.org/officeDocument/2006/relationships/hyperlink" Target="http://data.uis.unesco.org/index.aspx?queryid=3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D305-4D88-4DDE-9D04-A69CAD6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20</cp:revision>
  <dcterms:created xsi:type="dcterms:W3CDTF">2022-02-25T08:42:00Z</dcterms:created>
  <dcterms:modified xsi:type="dcterms:W3CDTF">2022-02-25T09:01:00Z</dcterms:modified>
</cp:coreProperties>
</file>