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BC" w:rsidRPr="00DB5024" w:rsidRDefault="00D768B2" w:rsidP="00D768B2">
      <w:pPr>
        <w:jc w:val="both"/>
        <w:rPr>
          <w:rFonts w:ascii="Times New Roman" w:hAnsi="Times New Roman" w:cs="Times New Roman"/>
          <w:b/>
          <w:sz w:val="24"/>
          <w:szCs w:val="24"/>
        </w:rPr>
      </w:pPr>
      <w:r w:rsidRPr="00DB5024">
        <w:rPr>
          <w:rFonts w:ascii="Times New Roman" w:hAnsi="Times New Roman" w:cs="Times New Roman"/>
          <w:b/>
          <w:sz w:val="24"/>
          <w:szCs w:val="24"/>
        </w:rPr>
        <w:t>Цель 7: Обеспечение доступа к недорогим, надежным, устойчивым и современным источникам энергии для всех</w:t>
      </w:r>
    </w:p>
    <w:p w:rsidR="00D768B2" w:rsidRPr="00DB5024" w:rsidRDefault="00D768B2" w:rsidP="00D768B2">
      <w:pPr>
        <w:jc w:val="both"/>
        <w:rPr>
          <w:rFonts w:ascii="Times New Roman" w:hAnsi="Times New Roman" w:cs="Times New Roman"/>
          <w:b/>
          <w:sz w:val="24"/>
          <w:szCs w:val="24"/>
        </w:rPr>
      </w:pPr>
      <w:r w:rsidRPr="00DB5024">
        <w:rPr>
          <w:rFonts w:ascii="Times New Roman" w:hAnsi="Times New Roman" w:cs="Times New Roman"/>
          <w:b/>
          <w:sz w:val="24"/>
          <w:szCs w:val="24"/>
        </w:rPr>
        <w:t>7.2: К 2030 году значительно увеличить долю энергии из возобновляемых источников в мировом энергетическом балансе</w:t>
      </w:r>
    </w:p>
    <w:p w:rsidR="00D768B2" w:rsidRPr="00DB5024" w:rsidRDefault="00D768B2" w:rsidP="00D768B2">
      <w:pPr>
        <w:jc w:val="both"/>
        <w:rPr>
          <w:rFonts w:ascii="Times New Roman" w:hAnsi="Times New Roman" w:cs="Times New Roman"/>
          <w:b/>
          <w:sz w:val="24"/>
          <w:szCs w:val="24"/>
        </w:rPr>
      </w:pPr>
      <w:r w:rsidRPr="00DB5024">
        <w:rPr>
          <w:rFonts w:ascii="Times New Roman" w:hAnsi="Times New Roman" w:cs="Times New Roman"/>
          <w:b/>
          <w:sz w:val="24"/>
          <w:szCs w:val="24"/>
        </w:rPr>
        <w:t>7.2.1: Доля возобновляемых источников энергии в общем объеме конечного энергопотребления</w:t>
      </w:r>
    </w:p>
    <w:p w:rsidR="00D768B2" w:rsidRPr="00D768B2" w:rsidRDefault="00D768B2" w:rsidP="00D768B2">
      <w:pPr>
        <w:jc w:val="both"/>
        <w:rPr>
          <w:rFonts w:ascii="Times New Roman" w:hAnsi="Times New Roman" w:cs="Times New Roman"/>
          <w:b/>
          <w:sz w:val="24"/>
          <w:szCs w:val="24"/>
        </w:rPr>
      </w:pPr>
      <w:r w:rsidRPr="00D768B2">
        <w:rPr>
          <w:rFonts w:ascii="Times New Roman" w:hAnsi="Times New Roman" w:cs="Times New Roman"/>
          <w:b/>
          <w:sz w:val="24"/>
          <w:szCs w:val="24"/>
        </w:rPr>
        <w:t>Институциональная информация</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 xml:space="preserve">Организация(и): </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Международное энергетическое агентство (МЭА)</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Статистический отдел ООН (СОООН)</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Межведомственный механизм Организации Объединенных Наци</w:t>
      </w:r>
      <w:r w:rsidR="00DB5024">
        <w:rPr>
          <w:rFonts w:ascii="Times New Roman" w:hAnsi="Times New Roman" w:cs="Times New Roman"/>
          <w:sz w:val="24"/>
          <w:szCs w:val="24"/>
        </w:rPr>
        <w:t>й по энергетике (</w:t>
      </w:r>
      <w:r w:rsidRPr="00D768B2">
        <w:rPr>
          <w:rFonts w:ascii="Times New Roman" w:hAnsi="Times New Roman" w:cs="Times New Roman"/>
          <w:sz w:val="24"/>
          <w:szCs w:val="24"/>
        </w:rPr>
        <w:t xml:space="preserve">UN </w:t>
      </w:r>
      <w:proofErr w:type="spellStart"/>
      <w:r w:rsidRPr="00D768B2">
        <w:rPr>
          <w:rFonts w:ascii="Times New Roman" w:hAnsi="Times New Roman" w:cs="Times New Roman"/>
          <w:sz w:val="24"/>
          <w:szCs w:val="24"/>
        </w:rPr>
        <w:t>Energy</w:t>
      </w:r>
      <w:proofErr w:type="spellEnd"/>
      <w:r w:rsidRPr="00D768B2">
        <w:rPr>
          <w:rFonts w:ascii="Times New Roman" w:hAnsi="Times New Roman" w:cs="Times New Roman"/>
          <w:sz w:val="24"/>
          <w:szCs w:val="24"/>
        </w:rPr>
        <w:t>)</w:t>
      </w:r>
    </w:p>
    <w:p w:rsidR="00D768B2" w:rsidRPr="00DB5024" w:rsidRDefault="00D768B2" w:rsidP="00D768B2">
      <w:pPr>
        <w:jc w:val="both"/>
        <w:rPr>
          <w:rFonts w:ascii="Times New Roman" w:hAnsi="Times New Roman" w:cs="Times New Roman"/>
          <w:sz w:val="24"/>
          <w:szCs w:val="24"/>
          <w:lang w:val="en-US"/>
        </w:rPr>
      </w:pPr>
      <w:r w:rsidRPr="00DB5024">
        <w:rPr>
          <w:rFonts w:ascii="Times New Roman" w:hAnsi="Times New Roman" w:cs="Times New Roman"/>
          <w:sz w:val="24"/>
          <w:szCs w:val="24"/>
          <w:lang w:val="en-US"/>
        </w:rPr>
        <w:t xml:space="preserve">SE4ALL </w:t>
      </w:r>
      <w:r w:rsidRPr="00D768B2">
        <w:rPr>
          <w:rFonts w:ascii="Times New Roman" w:hAnsi="Times New Roman" w:cs="Times New Roman"/>
          <w:sz w:val="24"/>
          <w:szCs w:val="24"/>
        </w:rPr>
        <w:t>Консорциум</w:t>
      </w:r>
      <w:r w:rsidRPr="00DB5024">
        <w:rPr>
          <w:rFonts w:ascii="Times New Roman" w:hAnsi="Times New Roman" w:cs="Times New Roman"/>
          <w:sz w:val="24"/>
          <w:szCs w:val="24"/>
          <w:lang w:val="en-US"/>
        </w:rPr>
        <w:t xml:space="preserve"> </w:t>
      </w:r>
      <w:r w:rsidRPr="00D768B2">
        <w:rPr>
          <w:rFonts w:ascii="Times New Roman" w:hAnsi="Times New Roman" w:cs="Times New Roman"/>
          <w:sz w:val="24"/>
          <w:szCs w:val="24"/>
        </w:rPr>
        <w:t>глобальной</w:t>
      </w:r>
      <w:r w:rsidRPr="00DB5024">
        <w:rPr>
          <w:rFonts w:ascii="Times New Roman" w:hAnsi="Times New Roman" w:cs="Times New Roman"/>
          <w:sz w:val="24"/>
          <w:szCs w:val="24"/>
          <w:lang w:val="en-US"/>
        </w:rPr>
        <w:t xml:space="preserve"> </w:t>
      </w:r>
      <w:r w:rsidRPr="00D768B2">
        <w:rPr>
          <w:rFonts w:ascii="Times New Roman" w:hAnsi="Times New Roman" w:cs="Times New Roman"/>
          <w:sz w:val="24"/>
          <w:szCs w:val="24"/>
        </w:rPr>
        <w:t>системы</w:t>
      </w:r>
      <w:r w:rsidRPr="00DB5024">
        <w:rPr>
          <w:rFonts w:ascii="Times New Roman" w:hAnsi="Times New Roman" w:cs="Times New Roman"/>
          <w:sz w:val="24"/>
          <w:szCs w:val="24"/>
          <w:lang w:val="en-US"/>
        </w:rPr>
        <w:t xml:space="preserve"> </w:t>
      </w:r>
      <w:r w:rsidRPr="00D768B2">
        <w:rPr>
          <w:rFonts w:ascii="Times New Roman" w:hAnsi="Times New Roman" w:cs="Times New Roman"/>
          <w:sz w:val="24"/>
          <w:szCs w:val="24"/>
        </w:rPr>
        <w:t>отслеживания</w:t>
      </w:r>
      <w:r w:rsidRPr="00DB5024">
        <w:rPr>
          <w:rFonts w:ascii="Times New Roman" w:hAnsi="Times New Roman" w:cs="Times New Roman"/>
          <w:sz w:val="24"/>
          <w:szCs w:val="24"/>
          <w:lang w:val="en-US"/>
        </w:rPr>
        <w:t xml:space="preserve"> (SE4ALL Global Tracking Framework Consortium)</w:t>
      </w:r>
    </w:p>
    <w:p w:rsidR="00D768B2" w:rsidRPr="00D768B2" w:rsidRDefault="00D768B2" w:rsidP="00D768B2">
      <w:pPr>
        <w:jc w:val="both"/>
        <w:rPr>
          <w:rFonts w:ascii="Times New Roman" w:hAnsi="Times New Roman" w:cs="Times New Roman"/>
          <w:b/>
          <w:sz w:val="24"/>
          <w:szCs w:val="24"/>
        </w:rPr>
      </w:pPr>
      <w:r w:rsidRPr="00D768B2">
        <w:rPr>
          <w:rFonts w:ascii="Times New Roman" w:hAnsi="Times New Roman" w:cs="Times New Roman"/>
          <w:b/>
          <w:sz w:val="24"/>
          <w:szCs w:val="24"/>
        </w:rPr>
        <w:t>Концепции и определения</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 xml:space="preserve">Определение: </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Доля возобновляемых источников энергии в общем объеме конечного потребления составляет процент от конечного потребления энергии, получаемой из возобновляемых источников.</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Обоснование:</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Задача "к 2030 году значительно увеличить долю энергии из возобновляемых источников в мировом энергетическом балансе" затрагивает все три аспекта устойчивого развития. Технологии использования возобновляемых источников энергии являются одним из основных элементов стратегии экологизации экономики во всем мире и решения важнейшей глобальной проблемы изменения климата. Существует ряд определений возобновляемых источников энергии; общим является тот факт, что все представленные формы энергии, несмотря на их потребление, будут доступны в будущем. К ним относятся солнечная энергия, ветер, океан, гидроэнергия, геотермальные ресурсы и биоэнергия (в случае биоэнергии, которая может быть истощена, источники биоэнергии могут быть заменены в краткосрочной и среднесрочной перспективе). Важно отметить, что этот показатель сосредоточен на количестве фактически потребляемой возобновляемой энергии, а не на мощности по производству возобновляемой энергии, которая не всегда может быть полностью использована. Фокусируясь на потреблении конечным пользователем, он избегает искажений, вызванных тем, что обычные источники энергии подвержены значительным потерям энергии вдоль производственной цепи.</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 xml:space="preserve">Основные понятия: </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 xml:space="preserve">Потребление возобновляемой энергии включает в себя потребление энергии, получаемой из: гидроэнергии, твердого биотоплива, ветра, солнца, жидкого </w:t>
      </w:r>
      <w:proofErr w:type="spellStart"/>
      <w:r w:rsidRPr="00D768B2">
        <w:rPr>
          <w:rFonts w:ascii="Times New Roman" w:hAnsi="Times New Roman" w:cs="Times New Roman"/>
          <w:sz w:val="24"/>
          <w:szCs w:val="24"/>
        </w:rPr>
        <w:t>биотоплива</w:t>
      </w:r>
      <w:proofErr w:type="spellEnd"/>
      <w:r w:rsidRPr="00D768B2">
        <w:rPr>
          <w:rFonts w:ascii="Times New Roman" w:hAnsi="Times New Roman" w:cs="Times New Roman"/>
          <w:sz w:val="24"/>
          <w:szCs w:val="24"/>
        </w:rPr>
        <w:t xml:space="preserve">, </w:t>
      </w:r>
      <w:proofErr w:type="spellStart"/>
      <w:r w:rsidRPr="00D768B2">
        <w:rPr>
          <w:rFonts w:ascii="Times New Roman" w:hAnsi="Times New Roman" w:cs="Times New Roman"/>
          <w:sz w:val="24"/>
          <w:szCs w:val="24"/>
        </w:rPr>
        <w:t>биогаза</w:t>
      </w:r>
      <w:proofErr w:type="spellEnd"/>
      <w:r w:rsidRPr="00D768B2">
        <w:rPr>
          <w:rFonts w:ascii="Times New Roman" w:hAnsi="Times New Roman" w:cs="Times New Roman"/>
          <w:sz w:val="24"/>
          <w:szCs w:val="24"/>
        </w:rPr>
        <w:t xml:space="preserve">, геотермального, морского и отходов. Итоговое потребление энергии рассчитывается на основе национальных балансов и статистики как общее конечное потребление за вычетом неэнергетического использования. </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Замечания в отношении конкретных возобновляемых источников энергии:</w:t>
      </w:r>
    </w:p>
    <w:p w:rsidR="00D768B2" w:rsidRPr="00D768B2" w:rsidRDefault="00D768B2" w:rsidP="00D768B2">
      <w:pPr>
        <w:pStyle w:val="a3"/>
        <w:numPr>
          <w:ilvl w:val="0"/>
          <w:numId w:val="1"/>
        </w:numPr>
        <w:jc w:val="both"/>
        <w:rPr>
          <w:rFonts w:ascii="Times New Roman" w:hAnsi="Times New Roman" w:cs="Times New Roman"/>
          <w:sz w:val="24"/>
          <w:szCs w:val="24"/>
        </w:rPr>
      </w:pPr>
      <w:r w:rsidRPr="00D768B2">
        <w:rPr>
          <w:rFonts w:ascii="Times New Roman" w:hAnsi="Times New Roman" w:cs="Times New Roman"/>
          <w:sz w:val="24"/>
          <w:szCs w:val="24"/>
        </w:rPr>
        <w:lastRenderedPageBreak/>
        <w:t>Потребление солнечной энергии включает в себя солнечное фотоэлектричество и солнечное тепло</w:t>
      </w:r>
      <w:r>
        <w:rPr>
          <w:rFonts w:ascii="Times New Roman" w:hAnsi="Times New Roman" w:cs="Times New Roman"/>
          <w:sz w:val="24"/>
          <w:szCs w:val="24"/>
        </w:rPr>
        <w:t>.</w:t>
      </w:r>
    </w:p>
    <w:p w:rsidR="00D768B2" w:rsidRPr="00D768B2" w:rsidRDefault="00D768B2" w:rsidP="00D768B2">
      <w:pPr>
        <w:pStyle w:val="a3"/>
        <w:numPr>
          <w:ilvl w:val="0"/>
          <w:numId w:val="1"/>
        </w:numPr>
        <w:jc w:val="both"/>
        <w:rPr>
          <w:rFonts w:ascii="Times New Roman" w:hAnsi="Times New Roman" w:cs="Times New Roman"/>
          <w:sz w:val="24"/>
          <w:szCs w:val="24"/>
        </w:rPr>
      </w:pPr>
      <w:r w:rsidRPr="00D768B2">
        <w:rPr>
          <w:rFonts w:ascii="Times New Roman" w:hAnsi="Times New Roman" w:cs="Times New Roman"/>
          <w:sz w:val="24"/>
          <w:szCs w:val="24"/>
        </w:rPr>
        <w:t xml:space="preserve">Потребление жидкой энергии включает в себя </w:t>
      </w:r>
      <w:proofErr w:type="spellStart"/>
      <w:r w:rsidRPr="00D768B2">
        <w:rPr>
          <w:rFonts w:ascii="Times New Roman" w:hAnsi="Times New Roman" w:cs="Times New Roman"/>
          <w:sz w:val="24"/>
          <w:szCs w:val="24"/>
        </w:rPr>
        <w:t>биобензин</w:t>
      </w:r>
      <w:proofErr w:type="spellEnd"/>
      <w:r w:rsidRPr="00D768B2">
        <w:rPr>
          <w:rFonts w:ascii="Times New Roman" w:hAnsi="Times New Roman" w:cs="Times New Roman"/>
          <w:sz w:val="24"/>
          <w:szCs w:val="24"/>
        </w:rPr>
        <w:t xml:space="preserve">, </w:t>
      </w:r>
      <w:proofErr w:type="spellStart"/>
      <w:r w:rsidRPr="00D768B2">
        <w:rPr>
          <w:rFonts w:ascii="Times New Roman" w:hAnsi="Times New Roman" w:cs="Times New Roman"/>
          <w:sz w:val="24"/>
          <w:szCs w:val="24"/>
        </w:rPr>
        <w:t>биодизельное</w:t>
      </w:r>
      <w:proofErr w:type="spellEnd"/>
      <w:r w:rsidRPr="00D768B2">
        <w:rPr>
          <w:rFonts w:ascii="Times New Roman" w:hAnsi="Times New Roman" w:cs="Times New Roman"/>
          <w:sz w:val="24"/>
          <w:szCs w:val="24"/>
        </w:rPr>
        <w:t xml:space="preserve"> топливо и другие виды жидкого </w:t>
      </w:r>
      <w:proofErr w:type="spellStart"/>
      <w:r w:rsidRPr="00D768B2">
        <w:rPr>
          <w:rFonts w:ascii="Times New Roman" w:hAnsi="Times New Roman" w:cs="Times New Roman"/>
          <w:sz w:val="24"/>
          <w:szCs w:val="24"/>
        </w:rPr>
        <w:t>биотоплива</w:t>
      </w:r>
      <w:proofErr w:type="spellEnd"/>
      <w:r>
        <w:rPr>
          <w:rFonts w:ascii="Times New Roman" w:hAnsi="Times New Roman" w:cs="Times New Roman"/>
          <w:sz w:val="24"/>
          <w:szCs w:val="24"/>
        </w:rPr>
        <w:t>.</w:t>
      </w:r>
    </w:p>
    <w:p w:rsidR="00D768B2" w:rsidRPr="00D768B2" w:rsidRDefault="00D768B2" w:rsidP="00D768B2">
      <w:pPr>
        <w:pStyle w:val="a3"/>
        <w:numPr>
          <w:ilvl w:val="0"/>
          <w:numId w:val="1"/>
        </w:numPr>
        <w:jc w:val="both"/>
        <w:rPr>
          <w:rFonts w:ascii="Times New Roman" w:hAnsi="Times New Roman" w:cs="Times New Roman"/>
          <w:sz w:val="24"/>
          <w:szCs w:val="24"/>
        </w:rPr>
      </w:pPr>
      <w:r w:rsidRPr="00D768B2">
        <w:rPr>
          <w:rFonts w:ascii="Times New Roman" w:hAnsi="Times New Roman" w:cs="Times New Roman"/>
          <w:sz w:val="24"/>
          <w:szCs w:val="24"/>
        </w:rPr>
        <w:t xml:space="preserve">Потребление твердого </w:t>
      </w:r>
      <w:proofErr w:type="spellStart"/>
      <w:r w:rsidRPr="00D768B2">
        <w:rPr>
          <w:rFonts w:ascii="Times New Roman" w:hAnsi="Times New Roman" w:cs="Times New Roman"/>
          <w:sz w:val="24"/>
          <w:szCs w:val="24"/>
        </w:rPr>
        <w:t>биотоплива</w:t>
      </w:r>
      <w:proofErr w:type="spellEnd"/>
      <w:r w:rsidRPr="00D768B2">
        <w:rPr>
          <w:rFonts w:ascii="Times New Roman" w:hAnsi="Times New Roman" w:cs="Times New Roman"/>
          <w:sz w:val="24"/>
          <w:szCs w:val="24"/>
        </w:rPr>
        <w:t xml:space="preserve"> включает топливную древесину, отходы животноводства, растительные отходы, черный ликер, </w:t>
      </w:r>
      <w:r w:rsidR="00DB5024">
        <w:rPr>
          <w:rFonts w:ascii="Times New Roman" w:hAnsi="Times New Roman" w:cs="Times New Roman"/>
          <w:sz w:val="24"/>
          <w:szCs w:val="24"/>
        </w:rPr>
        <w:t xml:space="preserve">жом </w:t>
      </w:r>
      <w:r w:rsidRPr="00D768B2">
        <w:rPr>
          <w:rFonts w:ascii="Times New Roman" w:hAnsi="Times New Roman" w:cs="Times New Roman"/>
          <w:sz w:val="24"/>
          <w:szCs w:val="24"/>
        </w:rPr>
        <w:t>и древесный уголь</w:t>
      </w:r>
      <w:r>
        <w:rPr>
          <w:rFonts w:ascii="Times New Roman" w:hAnsi="Times New Roman" w:cs="Times New Roman"/>
          <w:sz w:val="24"/>
          <w:szCs w:val="24"/>
        </w:rPr>
        <w:t>.</w:t>
      </w:r>
    </w:p>
    <w:p w:rsidR="00D768B2" w:rsidRPr="00D768B2" w:rsidRDefault="00D768B2" w:rsidP="00D768B2">
      <w:pPr>
        <w:pStyle w:val="a3"/>
        <w:numPr>
          <w:ilvl w:val="0"/>
          <w:numId w:val="1"/>
        </w:numPr>
        <w:jc w:val="both"/>
        <w:rPr>
          <w:rFonts w:ascii="Times New Roman" w:hAnsi="Times New Roman" w:cs="Times New Roman"/>
          <w:sz w:val="24"/>
          <w:szCs w:val="24"/>
        </w:rPr>
      </w:pPr>
      <w:r w:rsidRPr="00D768B2">
        <w:rPr>
          <w:rFonts w:ascii="Times New Roman" w:hAnsi="Times New Roman" w:cs="Times New Roman"/>
          <w:sz w:val="24"/>
          <w:szCs w:val="24"/>
        </w:rPr>
        <w:t>Потраченная энергия покрывает энергию от муниципальных отходов способного к во</w:t>
      </w:r>
      <w:r>
        <w:rPr>
          <w:rFonts w:ascii="Times New Roman" w:hAnsi="Times New Roman" w:cs="Times New Roman"/>
          <w:sz w:val="24"/>
          <w:szCs w:val="24"/>
        </w:rPr>
        <w:t>з</w:t>
      </w:r>
      <w:r w:rsidRPr="00D768B2">
        <w:rPr>
          <w:rFonts w:ascii="Times New Roman" w:hAnsi="Times New Roman" w:cs="Times New Roman"/>
          <w:sz w:val="24"/>
          <w:szCs w:val="24"/>
        </w:rPr>
        <w:t>обновлению</w:t>
      </w:r>
      <w:r>
        <w:rPr>
          <w:rFonts w:ascii="Times New Roman" w:hAnsi="Times New Roman" w:cs="Times New Roman"/>
          <w:sz w:val="24"/>
          <w:szCs w:val="24"/>
        </w:rPr>
        <w:t>.</w:t>
      </w:r>
    </w:p>
    <w:p w:rsidR="00D768B2" w:rsidRPr="00D768B2" w:rsidRDefault="00D768B2" w:rsidP="00D768B2">
      <w:pPr>
        <w:jc w:val="both"/>
        <w:rPr>
          <w:rFonts w:ascii="Times New Roman" w:hAnsi="Times New Roman" w:cs="Times New Roman"/>
          <w:b/>
          <w:sz w:val="24"/>
          <w:szCs w:val="24"/>
        </w:rPr>
      </w:pPr>
      <w:r w:rsidRPr="00D768B2">
        <w:rPr>
          <w:rFonts w:ascii="Times New Roman" w:hAnsi="Times New Roman" w:cs="Times New Roman"/>
          <w:b/>
          <w:sz w:val="24"/>
          <w:szCs w:val="24"/>
        </w:rPr>
        <w:t xml:space="preserve">Комментарии и ограничения: </w:t>
      </w:r>
    </w:p>
    <w:p w:rsidR="00D768B2" w:rsidRPr="00D768B2" w:rsidRDefault="00D768B2" w:rsidP="00D768B2">
      <w:pPr>
        <w:pStyle w:val="a3"/>
        <w:numPr>
          <w:ilvl w:val="0"/>
          <w:numId w:val="2"/>
        </w:numPr>
        <w:jc w:val="both"/>
        <w:rPr>
          <w:rFonts w:ascii="Times New Roman" w:hAnsi="Times New Roman" w:cs="Times New Roman"/>
          <w:sz w:val="24"/>
          <w:szCs w:val="24"/>
        </w:rPr>
      </w:pPr>
      <w:r w:rsidRPr="00D768B2">
        <w:rPr>
          <w:rFonts w:ascii="Times New Roman" w:hAnsi="Times New Roman" w:cs="Times New Roman"/>
          <w:sz w:val="24"/>
          <w:szCs w:val="24"/>
        </w:rPr>
        <w:t xml:space="preserve">Ограниченность существующих статистических данных по возобновляемым источникам энергии заключается в том, что они не в состоянии определить, производится ли возобновляемая энергия на устойчивой основе. Например, значительная доля современного потребления возобновляемых источников энергии обусловлена использованием древесины и древесного угля домашними хозяйствами в развивающихся странах, что иногда может быть связано с неустойчивым ведением лесного хозяйства. Предпринимаются усилия по повышению способности измерять устойчивость биоэнергетики, хотя это остается серьезной проблемой. </w:t>
      </w:r>
    </w:p>
    <w:p w:rsidR="00D768B2" w:rsidRPr="00D768B2" w:rsidRDefault="00D768B2" w:rsidP="00D768B2">
      <w:pPr>
        <w:pStyle w:val="a3"/>
        <w:numPr>
          <w:ilvl w:val="0"/>
          <w:numId w:val="2"/>
        </w:numPr>
        <w:jc w:val="both"/>
        <w:rPr>
          <w:rFonts w:ascii="Times New Roman" w:hAnsi="Times New Roman" w:cs="Times New Roman"/>
          <w:sz w:val="24"/>
          <w:szCs w:val="24"/>
        </w:rPr>
      </w:pPr>
      <w:r w:rsidRPr="00D768B2">
        <w:rPr>
          <w:rFonts w:ascii="Times New Roman" w:hAnsi="Times New Roman" w:cs="Times New Roman"/>
          <w:sz w:val="24"/>
          <w:szCs w:val="24"/>
        </w:rPr>
        <w:t>Внесетевые данные по возобновляемым источникам энергии ограничены и недостаточно отражены в статистике.</w:t>
      </w:r>
    </w:p>
    <w:p w:rsidR="00D768B2" w:rsidRPr="00D768B2" w:rsidRDefault="00D768B2" w:rsidP="00D768B2">
      <w:pPr>
        <w:pStyle w:val="a3"/>
        <w:numPr>
          <w:ilvl w:val="0"/>
          <w:numId w:val="2"/>
        </w:numPr>
        <w:jc w:val="both"/>
        <w:rPr>
          <w:rFonts w:ascii="Times New Roman" w:hAnsi="Times New Roman" w:cs="Times New Roman"/>
          <w:sz w:val="24"/>
          <w:szCs w:val="24"/>
        </w:rPr>
      </w:pPr>
      <w:r w:rsidRPr="00D768B2">
        <w:rPr>
          <w:rFonts w:ascii="Times New Roman" w:hAnsi="Times New Roman" w:cs="Times New Roman"/>
          <w:sz w:val="24"/>
          <w:szCs w:val="24"/>
        </w:rPr>
        <w:t>Метод распределения потребляемой возобновляемой энергии от электрической и тепловой энергии предполагает, что доля потерь передачи и распределения одинакова между всеми технологиями. Однако данные не всегда верны, поскольку возобновляемые источники энергии обычно расположены в более отдаленных районах от центров потребления и могут нести большие потери.</w:t>
      </w:r>
    </w:p>
    <w:p w:rsidR="00D768B2" w:rsidRPr="00D768B2" w:rsidRDefault="00D768B2" w:rsidP="00D768B2">
      <w:pPr>
        <w:pStyle w:val="a3"/>
        <w:numPr>
          <w:ilvl w:val="0"/>
          <w:numId w:val="2"/>
        </w:numPr>
        <w:jc w:val="both"/>
        <w:rPr>
          <w:rFonts w:ascii="Times New Roman" w:hAnsi="Times New Roman" w:cs="Times New Roman"/>
          <w:sz w:val="24"/>
          <w:szCs w:val="24"/>
        </w:rPr>
      </w:pPr>
      <w:r w:rsidRPr="00D768B2">
        <w:rPr>
          <w:rFonts w:ascii="Times New Roman" w:hAnsi="Times New Roman" w:cs="Times New Roman"/>
          <w:sz w:val="24"/>
          <w:szCs w:val="24"/>
        </w:rPr>
        <w:t xml:space="preserve">Аналогичным образом, импорт и экспорт электроэнергии и тепла, как предполагается, следует за долю </w:t>
      </w:r>
      <w:proofErr w:type="spellStart"/>
      <w:r w:rsidRPr="00D768B2">
        <w:rPr>
          <w:rFonts w:ascii="Times New Roman" w:hAnsi="Times New Roman" w:cs="Times New Roman"/>
          <w:sz w:val="24"/>
          <w:szCs w:val="24"/>
        </w:rPr>
        <w:t>возобновляемости</w:t>
      </w:r>
      <w:proofErr w:type="spellEnd"/>
      <w:r w:rsidRPr="00D768B2">
        <w:rPr>
          <w:rFonts w:ascii="Times New Roman" w:hAnsi="Times New Roman" w:cs="Times New Roman"/>
          <w:sz w:val="24"/>
          <w:szCs w:val="24"/>
        </w:rPr>
        <w:t xml:space="preserve"> производства электроэнергии и тепла, соответственно. Это упрощение, которое во многих случаях не повлияет на показатель слишком сильно, но это может произойти в некоторых случаях, например, когда страна производит электроэнергию только из ископаемого топлива, но импортирует большую долю электроэнергии, которую она использует на гидроэлектростанции соседней страны.</w:t>
      </w:r>
    </w:p>
    <w:p w:rsidR="00D768B2" w:rsidRPr="00D768B2" w:rsidRDefault="00D768B2" w:rsidP="00D768B2">
      <w:pPr>
        <w:pStyle w:val="a3"/>
        <w:numPr>
          <w:ilvl w:val="0"/>
          <w:numId w:val="2"/>
        </w:numPr>
        <w:jc w:val="both"/>
        <w:rPr>
          <w:rFonts w:ascii="Times New Roman" w:hAnsi="Times New Roman" w:cs="Times New Roman"/>
          <w:sz w:val="24"/>
          <w:szCs w:val="24"/>
        </w:rPr>
      </w:pPr>
      <w:r w:rsidRPr="00D768B2">
        <w:rPr>
          <w:rFonts w:ascii="Times New Roman" w:hAnsi="Times New Roman" w:cs="Times New Roman"/>
          <w:sz w:val="24"/>
          <w:szCs w:val="24"/>
        </w:rPr>
        <w:t>Методологические проблемы, связанные с определением и измерением возобновляемых источников энергии, более полно описаны в главе 4 "Глобальная система отслеживания" (2013), Раздел 1, стр. 194-200.</w:t>
      </w:r>
    </w:p>
    <w:p w:rsidR="00D768B2" w:rsidRPr="00D768B2" w:rsidRDefault="00D768B2" w:rsidP="00D768B2">
      <w:pPr>
        <w:jc w:val="both"/>
        <w:rPr>
          <w:rFonts w:ascii="Times New Roman" w:hAnsi="Times New Roman" w:cs="Times New Roman"/>
          <w:b/>
          <w:sz w:val="24"/>
          <w:szCs w:val="24"/>
        </w:rPr>
      </w:pPr>
      <w:r w:rsidRPr="00D768B2">
        <w:rPr>
          <w:rFonts w:ascii="Times New Roman" w:hAnsi="Times New Roman" w:cs="Times New Roman"/>
          <w:b/>
          <w:sz w:val="24"/>
          <w:szCs w:val="24"/>
        </w:rPr>
        <w:t>Методология</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 xml:space="preserve">Метод расчета: </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 xml:space="preserve">Он рассчитывается путем деления потребленной энергии из всех возобновляемых источников на общее количество потребленной энергии. Потребление возобновляемой энергии происходит из трех таблиц статистики и балансов мировой энергетики МЭА: общее конечное потребление, производство электроэнергии и производство тепла. Весь объем данных в итоге представлен в виде заключительной таблице потребления. Поскольку объемы электроэнергии и тепла в таблице конечного потребления не разбиваются по технологиям, вместо этого используются таблицы выработки электроэнергии и тепла для разбивки конечного потребления электроэнергии и тепла по технологиям. Распределение по технологиям осуществляется путем определения доли технологии в таблицах производства электроэнергии и тепла и умножения этой доли на конечное энергопотребление соответственно электроэнергии и тепла. </w:t>
      </w:r>
      <w:proofErr w:type="gramStart"/>
      <w:r w:rsidRPr="00D768B2">
        <w:rPr>
          <w:rFonts w:ascii="Times New Roman" w:hAnsi="Times New Roman" w:cs="Times New Roman"/>
          <w:sz w:val="24"/>
          <w:szCs w:val="24"/>
        </w:rPr>
        <w:t xml:space="preserve">Например, если общая Таблица </w:t>
      </w:r>
      <w:r w:rsidRPr="00D768B2">
        <w:rPr>
          <w:rFonts w:ascii="Times New Roman" w:hAnsi="Times New Roman" w:cs="Times New Roman"/>
          <w:sz w:val="24"/>
          <w:szCs w:val="24"/>
        </w:rPr>
        <w:lastRenderedPageBreak/>
        <w:t>конечного потреб</w:t>
      </w:r>
      <w:r w:rsidR="00DB5024">
        <w:rPr>
          <w:rFonts w:ascii="Times New Roman" w:hAnsi="Times New Roman" w:cs="Times New Roman"/>
          <w:sz w:val="24"/>
          <w:szCs w:val="24"/>
        </w:rPr>
        <w:t>ления сообщает 150 ТДж</w:t>
      </w:r>
      <w:r w:rsidRPr="00D768B2">
        <w:rPr>
          <w:rFonts w:ascii="Times New Roman" w:hAnsi="Times New Roman" w:cs="Times New Roman"/>
          <w:sz w:val="24"/>
          <w:szCs w:val="24"/>
        </w:rPr>
        <w:t xml:space="preserve"> для энергии биогаза, то пока полное конечное потребление электричества 400 ТД</w:t>
      </w:r>
      <w:r w:rsidR="00DB5024">
        <w:rPr>
          <w:rFonts w:ascii="Times New Roman" w:hAnsi="Times New Roman" w:cs="Times New Roman"/>
          <w:sz w:val="24"/>
          <w:szCs w:val="24"/>
        </w:rPr>
        <w:t>ж</w:t>
      </w:r>
      <w:r w:rsidRPr="00D768B2">
        <w:rPr>
          <w:rFonts w:ascii="Times New Roman" w:hAnsi="Times New Roman" w:cs="Times New Roman"/>
          <w:sz w:val="24"/>
          <w:szCs w:val="24"/>
        </w:rPr>
        <w:t xml:space="preserve"> и нагревает 100 ТД</w:t>
      </w:r>
      <w:r w:rsidR="00DB5024">
        <w:rPr>
          <w:rFonts w:ascii="Times New Roman" w:hAnsi="Times New Roman" w:cs="Times New Roman"/>
          <w:sz w:val="24"/>
          <w:szCs w:val="24"/>
        </w:rPr>
        <w:t>ж</w:t>
      </w:r>
      <w:r w:rsidRPr="00D768B2">
        <w:rPr>
          <w:rFonts w:ascii="Times New Roman" w:hAnsi="Times New Roman" w:cs="Times New Roman"/>
          <w:sz w:val="24"/>
          <w:szCs w:val="24"/>
        </w:rPr>
        <w:t>, и доля биогаза в общем объеме производства электроэнергии 10 процентов и 5 процентов в жаре, полное сообщенное число для потребления биогаза будет 195 ТД</w:t>
      </w:r>
      <w:r w:rsidR="00DB5024">
        <w:rPr>
          <w:rFonts w:ascii="Times New Roman" w:hAnsi="Times New Roman" w:cs="Times New Roman"/>
          <w:sz w:val="24"/>
          <w:szCs w:val="24"/>
        </w:rPr>
        <w:t>ж</w:t>
      </w:r>
      <w:r w:rsidRPr="00D768B2">
        <w:rPr>
          <w:rFonts w:ascii="Times New Roman" w:hAnsi="Times New Roman" w:cs="Times New Roman"/>
          <w:sz w:val="24"/>
          <w:szCs w:val="24"/>
        </w:rPr>
        <w:t xml:space="preserve"> (150 ТД</w:t>
      </w:r>
      <w:r w:rsidR="00DB5024">
        <w:rPr>
          <w:rFonts w:ascii="Times New Roman" w:hAnsi="Times New Roman" w:cs="Times New Roman"/>
          <w:sz w:val="24"/>
          <w:szCs w:val="24"/>
        </w:rPr>
        <w:t>ж</w:t>
      </w:r>
      <w:r w:rsidRPr="00D768B2">
        <w:rPr>
          <w:rFonts w:ascii="Times New Roman" w:hAnsi="Times New Roman" w:cs="Times New Roman"/>
          <w:sz w:val="24"/>
          <w:szCs w:val="24"/>
        </w:rPr>
        <w:t>+400ТД</w:t>
      </w:r>
      <w:r w:rsidR="00DB5024">
        <w:rPr>
          <w:rFonts w:ascii="Times New Roman" w:hAnsi="Times New Roman" w:cs="Times New Roman"/>
          <w:sz w:val="24"/>
          <w:szCs w:val="24"/>
        </w:rPr>
        <w:t>ж*10%+100ТДж</w:t>
      </w:r>
      <w:r w:rsidRPr="00D768B2">
        <w:rPr>
          <w:rFonts w:ascii="Times New Roman" w:hAnsi="Times New Roman" w:cs="Times New Roman"/>
          <w:sz w:val="24"/>
          <w:szCs w:val="24"/>
        </w:rPr>
        <w:t>*5%).</w:t>
      </w:r>
      <w:proofErr w:type="gramEnd"/>
      <w:r w:rsidRPr="00D768B2">
        <w:rPr>
          <w:rFonts w:ascii="Times New Roman" w:hAnsi="Times New Roman" w:cs="Times New Roman"/>
          <w:sz w:val="24"/>
          <w:szCs w:val="24"/>
        </w:rPr>
        <w:t xml:space="preserve"> В докладе о глобальной системе отслеживания (2013 г.) содержится более подробная информация о предлагаемой методологии определения и измерения возобновляемых источников энергии (Глава 4, Раздел 1, стр. 201-202)</w:t>
      </w:r>
    </w:p>
    <w:p w:rsidR="00D768B2" w:rsidRPr="00D768B2" w:rsidRDefault="00D768B2" w:rsidP="00D768B2">
      <w:pPr>
        <w:jc w:val="both"/>
        <w:rPr>
          <w:rFonts w:ascii="Times New Roman" w:hAnsi="Times New Roman" w:cs="Times New Roman"/>
          <w:b/>
          <w:sz w:val="24"/>
          <w:szCs w:val="24"/>
        </w:rPr>
      </w:pPr>
      <w:proofErr w:type="spellStart"/>
      <w:r w:rsidRPr="00D768B2">
        <w:rPr>
          <w:rFonts w:ascii="Times New Roman" w:hAnsi="Times New Roman" w:cs="Times New Roman"/>
          <w:b/>
          <w:sz w:val="24"/>
          <w:szCs w:val="24"/>
        </w:rPr>
        <w:t>Дезагрегация</w:t>
      </w:r>
      <w:proofErr w:type="spellEnd"/>
      <w:r w:rsidRPr="00D768B2">
        <w:rPr>
          <w:rFonts w:ascii="Times New Roman" w:hAnsi="Times New Roman" w:cs="Times New Roman"/>
          <w:b/>
          <w:sz w:val="24"/>
          <w:szCs w:val="24"/>
        </w:rPr>
        <w:t xml:space="preserve">: </w:t>
      </w:r>
    </w:p>
    <w:p w:rsidR="00D768B2" w:rsidRPr="00D768B2" w:rsidRDefault="00D768B2" w:rsidP="00D768B2">
      <w:pPr>
        <w:jc w:val="both"/>
        <w:rPr>
          <w:rFonts w:ascii="Times New Roman" w:hAnsi="Times New Roman" w:cs="Times New Roman"/>
          <w:sz w:val="24"/>
          <w:szCs w:val="24"/>
        </w:rPr>
      </w:pPr>
      <w:proofErr w:type="spellStart"/>
      <w:r w:rsidRPr="00D768B2">
        <w:rPr>
          <w:rFonts w:ascii="Times New Roman" w:hAnsi="Times New Roman" w:cs="Times New Roman"/>
          <w:sz w:val="24"/>
          <w:szCs w:val="24"/>
        </w:rPr>
        <w:t>Дезагрегирование</w:t>
      </w:r>
      <w:proofErr w:type="spellEnd"/>
      <w:r w:rsidRPr="00D768B2">
        <w:rPr>
          <w:rFonts w:ascii="Times New Roman" w:hAnsi="Times New Roman" w:cs="Times New Roman"/>
          <w:sz w:val="24"/>
          <w:szCs w:val="24"/>
        </w:rPr>
        <w:t xml:space="preserve"> данных о потреблении возобновляемых источников энергии, например, в разбивке по секторам ресурсов и конечного использования, может дать представление о других аспектах цели, таких, как доступность и надежность. Что касается солнечной энергии, то можно также представлять долю </w:t>
      </w:r>
      <w:proofErr w:type="spellStart"/>
      <w:r w:rsidRPr="00D768B2">
        <w:rPr>
          <w:rFonts w:ascii="Times New Roman" w:hAnsi="Times New Roman" w:cs="Times New Roman"/>
          <w:sz w:val="24"/>
          <w:szCs w:val="24"/>
        </w:rPr>
        <w:t>дезагрегирования</w:t>
      </w:r>
      <w:proofErr w:type="spellEnd"/>
      <w:r w:rsidRPr="00D768B2">
        <w:rPr>
          <w:rFonts w:ascii="Times New Roman" w:hAnsi="Times New Roman" w:cs="Times New Roman"/>
          <w:sz w:val="24"/>
          <w:szCs w:val="24"/>
        </w:rPr>
        <w:t xml:space="preserve"> между сетевыми и автономными мощностями.</w:t>
      </w:r>
    </w:p>
    <w:p w:rsidR="00D768B2" w:rsidRPr="00D768B2" w:rsidRDefault="00D768B2" w:rsidP="00D768B2">
      <w:pPr>
        <w:jc w:val="both"/>
        <w:rPr>
          <w:rFonts w:ascii="Times New Roman" w:hAnsi="Times New Roman" w:cs="Times New Roman"/>
          <w:b/>
          <w:sz w:val="24"/>
          <w:szCs w:val="24"/>
        </w:rPr>
      </w:pPr>
      <w:r w:rsidRPr="00D768B2">
        <w:rPr>
          <w:rFonts w:ascii="Times New Roman" w:hAnsi="Times New Roman" w:cs="Times New Roman"/>
          <w:b/>
          <w:sz w:val="24"/>
          <w:szCs w:val="24"/>
        </w:rPr>
        <w:t>Региональные показатели:</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Совокупность рассчитываются, будь то по региону или глобальному уровнях, с использованием конечного потребления энергии в качестве массы.</w:t>
      </w:r>
    </w:p>
    <w:p w:rsidR="00D768B2" w:rsidRPr="00D768B2" w:rsidRDefault="00D768B2" w:rsidP="00D768B2">
      <w:pPr>
        <w:jc w:val="both"/>
        <w:rPr>
          <w:rFonts w:ascii="Times New Roman" w:hAnsi="Times New Roman" w:cs="Times New Roman"/>
          <w:b/>
          <w:sz w:val="24"/>
          <w:szCs w:val="24"/>
        </w:rPr>
      </w:pPr>
      <w:r w:rsidRPr="00D768B2">
        <w:rPr>
          <w:rFonts w:ascii="Times New Roman" w:hAnsi="Times New Roman" w:cs="Times New Roman"/>
          <w:b/>
          <w:sz w:val="24"/>
          <w:szCs w:val="24"/>
        </w:rPr>
        <w:t>Источники данных</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Данные о потреблении возобновляемой энергии имеются в национальных энергетических балансах, подготовленных международным энергетическим агентством и статистическим отделом Организации Объединенных Наций (СОООН) для более чем 180 стран. Энергетические балансы позволяют отслеживать все различные источники и виды использования энергии на национальном уровне.</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Для улучшения этих статистических данных, особенно в случае возобновляемых источников энергии, может потребоваться определенная техническая помощь. Специализированные отраслевые обследования (например, по использованию биоэнергии или в сочетании с измерением других показателей), что привело к заполнению пробелов в данных (например, для использования дров, автономной солнечной энергии).</w:t>
      </w:r>
    </w:p>
    <w:p w:rsidR="00D768B2" w:rsidRPr="00D768B2" w:rsidRDefault="00D768B2" w:rsidP="00D768B2">
      <w:pPr>
        <w:jc w:val="both"/>
        <w:rPr>
          <w:rFonts w:ascii="Times New Roman" w:hAnsi="Times New Roman" w:cs="Times New Roman"/>
          <w:b/>
          <w:sz w:val="24"/>
          <w:szCs w:val="24"/>
        </w:rPr>
      </w:pPr>
      <w:r w:rsidRPr="00D768B2">
        <w:rPr>
          <w:rFonts w:ascii="Times New Roman" w:hAnsi="Times New Roman" w:cs="Times New Roman"/>
          <w:b/>
          <w:sz w:val="24"/>
          <w:szCs w:val="24"/>
        </w:rPr>
        <w:t>Доступность данных</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 xml:space="preserve">Описание: </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Между различными существующими источниками данных, в первую оче</w:t>
      </w:r>
      <w:r w:rsidR="00621230">
        <w:rPr>
          <w:rFonts w:ascii="Times New Roman" w:hAnsi="Times New Roman" w:cs="Times New Roman"/>
          <w:sz w:val="24"/>
          <w:szCs w:val="24"/>
        </w:rPr>
        <w:t>редь это энергетические баланс</w:t>
      </w:r>
      <w:r w:rsidRPr="00D768B2">
        <w:rPr>
          <w:rFonts w:ascii="Times New Roman" w:hAnsi="Times New Roman" w:cs="Times New Roman"/>
          <w:sz w:val="24"/>
          <w:szCs w:val="24"/>
        </w:rPr>
        <w:t xml:space="preserve">ы МЭА и базой данных энергетической статистики ООН, можно собирать данные о годовом общем потреблении и потреблении возобновляемых источников энергии для каждой страны и региона. Международное агентство по возобновляемым источникам энергии предоставил данные на глобальном уровне в период с 2010 по 2030 год. </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 xml:space="preserve">Временные ряды: </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 xml:space="preserve">С 1990 года по настоящее время. </w:t>
      </w:r>
    </w:p>
    <w:p w:rsidR="00D768B2" w:rsidRPr="00D768B2" w:rsidRDefault="00D768B2" w:rsidP="00D768B2">
      <w:pPr>
        <w:jc w:val="both"/>
        <w:rPr>
          <w:rFonts w:ascii="Times New Roman" w:hAnsi="Times New Roman" w:cs="Times New Roman"/>
          <w:b/>
          <w:sz w:val="24"/>
          <w:szCs w:val="24"/>
        </w:rPr>
      </w:pPr>
      <w:r w:rsidRPr="00D768B2">
        <w:rPr>
          <w:rFonts w:ascii="Times New Roman" w:hAnsi="Times New Roman" w:cs="Times New Roman"/>
          <w:b/>
          <w:sz w:val="24"/>
          <w:szCs w:val="24"/>
        </w:rPr>
        <w:t xml:space="preserve">Календарь </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 xml:space="preserve">Сбор данных: </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 xml:space="preserve">Данные собираются ежегодно. </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Выпуск данных:</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lastRenderedPageBreak/>
        <w:t>Энергетические балансы МЭА обновляются в начале осени (публикация информации за предыдущий календарный год).</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Энергетические балансы ООН обновляются ранней весной (опубликование информации за два календарных года назад).</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(Энергетические балансы МЭА обновляются в начале осени (публикация информации за предыдущий календарный год).</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Энергетические балансы ООН обновляются ранней весной (опубликование информации за два календарных года назад). )</w:t>
      </w:r>
    </w:p>
    <w:p w:rsidR="00D768B2" w:rsidRPr="00D768B2" w:rsidRDefault="00D768B2" w:rsidP="00D768B2">
      <w:pPr>
        <w:jc w:val="both"/>
        <w:rPr>
          <w:rFonts w:ascii="Times New Roman" w:hAnsi="Times New Roman" w:cs="Times New Roman"/>
          <w:b/>
          <w:sz w:val="24"/>
          <w:szCs w:val="24"/>
        </w:rPr>
      </w:pPr>
      <w:r w:rsidRPr="00D768B2">
        <w:rPr>
          <w:rFonts w:ascii="Times New Roman" w:hAnsi="Times New Roman" w:cs="Times New Roman"/>
          <w:b/>
          <w:sz w:val="24"/>
          <w:szCs w:val="24"/>
        </w:rPr>
        <w:t>Поставщики данных</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Государственные статистические ведомства.</w:t>
      </w:r>
    </w:p>
    <w:p w:rsidR="00D768B2" w:rsidRPr="00D768B2" w:rsidRDefault="00D768B2" w:rsidP="00D768B2">
      <w:pPr>
        <w:jc w:val="both"/>
        <w:rPr>
          <w:rFonts w:ascii="Times New Roman" w:hAnsi="Times New Roman" w:cs="Times New Roman"/>
          <w:b/>
          <w:sz w:val="24"/>
          <w:szCs w:val="24"/>
        </w:rPr>
      </w:pPr>
      <w:r w:rsidRPr="00D768B2">
        <w:rPr>
          <w:rFonts w:ascii="Times New Roman" w:hAnsi="Times New Roman" w:cs="Times New Roman"/>
          <w:b/>
          <w:sz w:val="24"/>
          <w:szCs w:val="24"/>
        </w:rPr>
        <w:t>Составители данных</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 xml:space="preserve">Название: </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МЭА и СОООН</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 xml:space="preserve">Описание: </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 xml:space="preserve">МЭА и СОООН являются основными составителями данных национальных энергетических балансов. Консорциум Se4all </w:t>
      </w:r>
      <w:proofErr w:type="spellStart"/>
      <w:r w:rsidRPr="00D768B2">
        <w:rPr>
          <w:rFonts w:ascii="Times New Roman" w:hAnsi="Times New Roman" w:cs="Times New Roman"/>
          <w:sz w:val="24"/>
          <w:szCs w:val="24"/>
        </w:rPr>
        <w:t>Global</w:t>
      </w:r>
      <w:proofErr w:type="spellEnd"/>
      <w:r w:rsidRPr="00D768B2">
        <w:rPr>
          <w:rFonts w:ascii="Times New Roman" w:hAnsi="Times New Roman" w:cs="Times New Roman"/>
          <w:sz w:val="24"/>
          <w:szCs w:val="24"/>
        </w:rPr>
        <w:t xml:space="preserve"> </w:t>
      </w:r>
      <w:proofErr w:type="spellStart"/>
      <w:r w:rsidRPr="00D768B2">
        <w:rPr>
          <w:rFonts w:ascii="Times New Roman" w:hAnsi="Times New Roman" w:cs="Times New Roman"/>
          <w:sz w:val="24"/>
          <w:szCs w:val="24"/>
        </w:rPr>
        <w:t>Tracking</w:t>
      </w:r>
      <w:proofErr w:type="spellEnd"/>
      <w:r w:rsidRPr="00D768B2">
        <w:rPr>
          <w:rFonts w:ascii="Times New Roman" w:hAnsi="Times New Roman" w:cs="Times New Roman"/>
          <w:sz w:val="24"/>
          <w:szCs w:val="24"/>
        </w:rPr>
        <w:t xml:space="preserve"> </w:t>
      </w:r>
      <w:proofErr w:type="spellStart"/>
      <w:r w:rsidRPr="00D768B2">
        <w:rPr>
          <w:rFonts w:ascii="Times New Roman" w:hAnsi="Times New Roman" w:cs="Times New Roman"/>
          <w:sz w:val="24"/>
          <w:szCs w:val="24"/>
        </w:rPr>
        <w:t>Framework</w:t>
      </w:r>
      <w:proofErr w:type="spellEnd"/>
      <w:r w:rsidRPr="00D768B2">
        <w:rPr>
          <w:rFonts w:ascii="Times New Roman" w:hAnsi="Times New Roman" w:cs="Times New Roman"/>
          <w:sz w:val="24"/>
          <w:szCs w:val="24"/>
        </w:rPr>
        <w:t xml:space="preserve"> объединяет информацию из энергетических балансов МЭА и базы статистических данных ООН для расчета этого показателя на глобальном уровне.</w:t>
      </w:r>
    </w:p>
    <w:p w:rsidR="00D768B2" w:rsidRPr="00D768B2" w:rsidRDefault="00D768B2" w:rsidP="00D768B2">
      <w:pPr>
        <w:jc w:val="both"/>
        <w:rPr>
          <w:rFonts w:ascii="Times New Roman" w:hAnsi="Times New Roman" w:cs="Times New Roman"/>
          <w:b/>
          <w:sz w:val="24"/>
          <w:szCs w:val="24"/>
        </w:rPr>
      </w:pPr>
      <w:r w:rsidRPr="00D768B2">
        <w:rPr>
          <w:rFonts w:ascii="Times New Roman" w:hAnsi="Times New Roman" w:cs="Times New Roman"/>
          <w:b/>
          <w:sz w:val="24"/>
          <w:szCs w:val="24"/>
        </w:rPr>
        <w:t xml:space="preserve">Ссылки </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URL:</w:t>
      </w:r>
    </w:p>
    <w:p w:rsidR="00D768B2" w:rsidRPr="00D768B2"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worldbank.org; iea.org; unstats.un.org</w:t>
      </w:r>
    </w:p>
    <w:p w:rsidR="00D768B2" w:rsidRPr="004A0408" w:rsidRDefault="00D768B2" w:rsidP="00D768B2">
      <w:pPr>
        <w:jc w:val="both"/>
        <w:rPr>
          <w:rFonts w:ascii="Times New Roman" w:hAnsi="Times New Roman" w:cs="Times New Roman"/>
          <w:sz w:val="24"/>
          <w:szCs w:val="24"/>
        </w:rPr>
      </w:pPr>
      <w:r w:rsidRPr="00D768B2">
        <w:rPr>
          <w:rFonts w:ascii="Times New Roman" w:hAnsi="Times New Roman" w:cs="Times New Roman"/>
          <w:sz w:val="24"/>
          <w:szCs w:val="24"/>
        </w:rPr>
        <w:t>Ссылки</w:t>
      </w:r>
      <w:r w:rsidRPr="00DB5024">
        <w:rPr>
          <w:rFonts w:ascii="Times New Roman" w:hAnsi="Times New Roman" w:cs="Times New Roman"/>
          <w:sz w:val="24"/>
          <w:szCs w:val="24"/>
          <w:lang w:val="en-US"/>
        </w:rPr>
        <w:t>:</w:t>
      </w:r>
      <w:bookmarkStart w:id="0" w:name="_GoBack"/>
      <w:bookmarkEnd w:id="0"/>
      <w:r w:rsidR="004A0408">
        <w:rPr>
          <w:rFonts w:ascii="Times New Roman" w:hAnsi="Times New Roman" w:cs="Times New Roman"/>
          <w:sz w:val="24"/>
          <w:szCs w:val="24"/>
        </w:rPr>
        <w:t xml:space="preserve"> </w:t>
      </w:r>
    </w:p>
    <w:p w:rsidR="00D768B2" w:rsidRPr="00D768B2" w:rsidRDefault="00D768B2" w:rsidP="00D768B2">
      <w:pPr>
        <w:jc w:val="both"/>
        <w:rPr>
          <w:rFonts w:ascii="Times New Roman" w:hAnsi="Times New Roman" w:cs="Times New Roman"/>
          <w:sz w:val="24"/>
          <w:szCs w:val="24"/>
          <w:lang w:val="en-US"/>
        </w:rPr>
      </w:pPr>
      <w:r w:rsidRPr="00D768B2">
        <w:rPr>
          <w:rFonts w:ascii="Times New Roman" w:hAnsi="Times New Roman" w:cs="Times New Roman"/>
          <w:sz w:val="24"/>
          <w:szCs w:val="24"/>
          <w:lang w:val="en-US"/>
        </w:rPr>
        <w:t>Global Tracking Framework report (2013)</w:t>
      </w:r>
    </w:p>
    <w:p w:rsidR="00D768B2" w:rsidRPr="00D768B2" w:rsidRDefault="00D768B2" w:rsidP="00D768B2">
      <w:pPr>
        <w:jc w:val="both"/>
        <w:rPr>
          <w:rFonts w:ascii="Times New Roman" w:hAnsi="Times New Roman" w:cs="Times New Roman"/>
          <w:sz w:val="24"/>
          <w:szCs w:val="24"/>
          <w:lang w:val="en-US"/>
        </w:rPr>
      </w:pPr>
      <w:r w:rsidRPr="00D768B2">
        <w:rPr>
          <w:rFonts w:ascii="Times New Roman" w:hAnsi="Times New Roman" w:cs="Times New Roman"/>
          <w:sz w:val="24"/>
          <w:szCs w:val="24"/>
          <w:lang w:val="en-US"/>
        </w:rPr>
        <w:t>http://trackingenergy4all.worldbank.org/</w:t>
      </w:r>
    </w:p>
    <w:p w:rsidR="00D768B2" w:rsidRPr="00D768B2" w:rsidRDefault="00D768B2" w:rsidP="00D768B2">
      <w:pPr>
        <w:jc w:val="both"/>
        <w:rPr>
          <w:rFonts w:ascii="Times New Roman" w:hAnsi="Times New Roman" w:cs="Times New Roman"/>
          <w:sz w:val="24"/>
          <w:szCs w:val="24"/>
          <w:lang w:val="en-US"/>
        </w:rPr>
      </w:pPr>
      <w:r w:rsidRPr="00D768B2">
        <w:rPr>
          <w:rFonts w:ascii="Times New Roman" w:hAnsi="Times New Roman" w:cs="Times New Roman"/>
          <w:sz w:val="24"/>
          <w:szCs w:val="24"/>
          <w:lang w:val="en-US"/>
        </w:rPr>
        <w:t>Global Tracking Framework Report (2015)</w:t>
      </w:r>
    </w:p>
    <w:p w:rsidR="00D768B2" w:rsidRPr="00D768B2" w:rsidRDefault="00D768B2" w:rsidP="00D768B2">
      <w:pPr>
        <w:jc w:val="both"/>
        <w:rPr>
          <w:rFonts w:ascii="Times New Roman" w:hAnsi="Times New Roman" w:cs="Times New Roman"/>
          <w:sz w:val="24"/>
          <w:szCs w:val="24"/>
          <w:lang w:val="en-US"/>
        </w:rPr>
      </w:pPr>
      <w:r w:rsidRPr="00D768B2">
        <w:rPr>
          <w:rFonts w:ascii="Times New Roman" w:hAnsi="Times New Roman" w:cs="Times New Roman"/>
          <w:sz w:val="24"/>
          <w:szCs w:val="24"/>
          <w:lang w:val="en-US"/>
        </w:rPr>
        <w:t>http://trackingenergy4all.worldbank.org/</w:t>
      </w:r>
    </w:p>
    <w:p w:rsidR="00D768B2" w:rsidRPr="00D768B2" w:rsidRDefault="00D768B2" w:rsidP="00D768B2">
      <w:pPr>
        <w:jc w:val="both"/>
        <w:rPr>
          <w:rFonts w:ascii="Times New Roman" w:hAnsi="Times New Roman" w:cs="Times New Roman"/>
          <w:sz w:val="24"/>
          <w:szCs w:val="24"/>
          <w:lang w:val="en-US"/>
        </w:rPr>
      </w:pPr>
      <w:r w:rsidRPr="00D768B2">
        <w:rPr>
          <w:rFonts w:ascii="Times New Roman" w:hAnsi="Times New Roman" w:cs="Times New Roman"/>
          <w:sz w:val="24"/>
          <w:szCs w:val="24"/>
          <w:lang w:val="en-US"/>
        </w:rPr>
        <w:t>Global Tracking Framework database (2015)</w:t>
      </w:r>
    </w:p>
    <w:p w:rsidR="00D768B2" w:rsidRPr="00D768B2" w:rsidRDefault="00D768B2" w:rsidP="00D768B2">
      <w:pPr>
        <w:jc w:val="both"/>
        <w:rPr>
          <w:rFonts w:ascii="Times New Roman" w:hAnsi="Times New Roman" w:cs="Times New Roman"/>
          <w:sz w:val="24"/>
          <w:szCs w:val="24"/>
          <w:lang w:val="en-US"/>
        </w:rPr>
      </w:pPr>
      <w:r w:rsidRPr="00D768B2">
        <w:rPr>
          <w:rFonts w:ascii="Times New Roman" w:hAnsi="Times New Roman" w:cs="Times New Roman"/>
          <w:sz w:val="24"/>
          <w:szCs w:val="24"/>
          <w:lang w:val="en-US"/>
        </w:rPr>
        <w:t>http://data.worldbank.org/data-catalog/sustainable-energy-for-all</w:t>
      </w:r>
    </w:p>
    <w:p w:rsidR="00D768B2" w:rsidRPr="00D768B2" w:rsidRDefault="00D768B2" w:rsidP="00D768B2">
      <w:pPr>
        <w:jc w:val="both"/>
        <w:rPr>
          <w:rFonts w:ascii="Times New Roman" w:hAnsi="Times New Roman" w:cs="Times New Roman"/>
          <w:sz w:val="24"/>
          <w:szCs w:val="24"/>
          <w:lang w:val="en-US"/>
        </w:rPr>
      </w:pPr>
      <w:r w:rsidRPr="00D768B2">
        <w:rPr>
          <w:rFonts w:ascii="Times New Roman" w:hAnsi="Times New Roman" w:cs="Times New Roman"/>
          <w:sz w:val="24"/>
          <w:szCs w:val="24"/>
          <w:lang w:val="en-US"/>
        </w:rPr>
        <w:t>UN Energy Statistics Database</w:t>
      </w:r>
    </w:p>
    <w:p w:rsidR="00D768B2" w:rsidRPr="00D768B2" w:rsidRDefault="00D768B2" w:rsidP="00D768B2">
      <w:pPr>
        <w:jc w:val="both"/>
        <w:rPr>
          <w:rFonts w:ascii="Times New Roman" w:hAnsi="Times New Roman" w:cs="Times New Roman"/>
          <w:sz w:val="24"/>
          <w:szCs w:val="24"/>
          <w:lang w:val="en-US"/>
        </w:rPr>
      </w:pPr>
      <w:r w:rsidRPr="00D768B2">
        <w:rPr>
          <w:rFonts w:ascii="Times New Roman" w:hAnsi="Times New Roman" w:cs="Times New Roman"/>
          <w:sz w:val="24"/>
          <w:szCs w:val="24"/>
          <w:lang w:val="en-US"/>
        </w:rPr>
        <w:t xml:space="preserve">http://unstats.un.org/unsd/energy/edbase.htm </w:t>
      </w:r>
    </w:p>
    <w:p w:rsidR="00D768B2" w:rsidRPr="00D768B2" w:rsidRDefault="00D768B2" w:rsidP="00D768B2">
      <w:pPr>
        <w:jc w:val="both"/>
        <w:rPr>
          <w:rFonts w:ascii="Times New Roman" w:hAnsi="Times New Roman" w:cs="Times New Roman"/>
          <w:sz w:val="24"/>
          <w:szCs w:val="24"/>
          <w:lang w:val="en-US"/>
        </w:rPr>
      </w:pPr>
      <w:r w:rsidRPr="00D768B2">
        <w:rPr>
          <w:rFonts w:ascii="Times New Roman" w:hAnsi="Times New Roman" w:cs="Times New Roman"/>
          <w:sz w:val="24"/>
          <w:szCs w:val="24"/>
          <w:lang w:val="en-US"/>
        </w:rPr>
        <w:t>IEA Energy Balances and Statistics</w:t>
      </w:r>
    </w:p>
    <w:p w:rsidR="00D768B2" w:rsidRPr="00D768B2" w:rsidRDefault="00D768B2" w:rsidP="00D768B2">
      <w:pPr>
        <w:jc w:val="both"/>
        <w:rPr>
          <w:rFonts w:ascii="Times New Roman" w:hAnsi="Times New Roman" w:cs="Times New Roman"/>
          <w:sz w:val="24"/>
          <w:szCs w:val="24"/>
          <w:lang w:val="en-US"/>
        </w:rPr>
      </w:pPr>
      <w:r w:rsidRPr="00D768B2">
        <w:rPr>
          <w:rFonts w:ascii="Times New Roman" w:hAnsi="Times New Roman" w:cs="Times New Roman"/>
          <w:sz w:val="24"/>
          <w:szCs w:val="24"/>
          <w:lang w:val="en-US"/>
        </w:rPr>
        <w:t>http://www.iea.org/statistics/topics/energybalances/</w:t>
      </w:r>
    </w:p>
    <w:p w:rsidR="00D768B2" w:rsidRPr="00DB5024" w:rsidRDefault="00D768B2" w:rsidP="00D768B2">
      <w:pPr>
        <w:jc w:val="both"/>
        <w:rPr>
          <w:rFonts w:ascii="Times New Roman" w:hAnsi="Times New Roman" w:cs="Times New Roman"/>
          <w:sz w:val="24"/>
          <w:szCs w:val="24"/>
          <w:lang w:val="en-US"/>
        </w:rPr>
      </w:pPr>
      <w:r w:rsidRPr="00DB5024">
        <w:rPr>
          <w:rFonts w:ascii="Times New Roman" w:hAnsi="Times New Roman" w:cs="Times New Roman"/>
          <w:sz w:val="24"/>
          <w:szCs w:val="24"/>
          <w:lang w:val="en-US"/>
        </w:rPr>
        <w:t>IRENA Renewable Energy Database</w:t>
      </w:r>
    </w:p>
    <w:p w:rsidR="00D768B2" w:rsidRPr="00DB5024" w:rsidRDefault="00D768B2" w:rsidP="004A0408">
      <w:pPr>
        <w:jc w:val="both"/>
        <w:rPr>
          <w:lang w:val="en-US"/>
        </w:rPr>
      </w:pPr>
      <w:r w:rsidRPr="00DB5024">
        <w:rPr>
          <w:rFonts w:ascii="Times New Roman" w:hAnsi="Times New Roman" w:cs="Times New Roman"/>
          <w:sz w:val="24"/>
          <w:szCs w:val="24"/>
          <w:lang w:val="en-US"/>
        </w:rPr>
        <w:t>http://resourceirena.irena.org/gateway/dashboard"</w:t>
      </w:r>
    </w:p>
    <w:sectPr w:rsidR="00D768B2" w:rsidRPr="00DB5024" w:rsidSect="004A0408">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90D97"/>
    <w:multiLevelType w:val="hybridMultilevel"/>
    <w:tmpl w:val="FF5C3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263D4D"/>
    <w:multiLevelType w:val="hybridMultilevel"/>
    <w:tmpl w:val="F15CE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3143"/>
    <w:rsid w:val="002359CF"/>
    <w:rsid w:val="002D2272"/>
    <w:rsid w:val="004A0408"/>
    <w:rsid w:val="005506BC"/>
    <w:rsid w:val="00621230"/>
    <w:rsid w:val="007F3143"/>
    <w:rsid w:val="00D04B52"/>
    <w:rsid w:val="00D768B2"/>
    <w:rsid w:val="00DB5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8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8B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1398</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Панчихина</dc:creator>
  <cp:lastModifiedBy>sh.iskakova</cp:lastModifiedBy>
  <cp:revision>3</cp:revision>
  <cp:lastPrinted>2018-10-11T09:12:00Z</cp:lastPrinted>
  <dcterms:created xsi:type="dcterms:W3CDTF">2018-05-08T13:09:00Z</dcterms:created>
  <dcterms:modified xsi:type="dcterms:W3CDTF">2018-10-11T09:12:00Z</dcterms:modified>
</cp:coreProperties>
</file>