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3D" w:rsidRPr="00133714" w:rsidRDefault="005C1427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714">
        <w:rPr>
          <w:rFonts w:ascii="Times New Roman" w:hAnsi="Times New Roman" w:cs="Times New Roman"/>
          <w:b/>
          <w:sz w:val="24"/>
          <w:szCs w:val="24"/>
        </w:rPr>
        <w:t xml:space="preserve">Цель 5: </w:t>
      </w:r>
      <w:r w:rsidR="00843E3D" w:rsidRPr="00133714">
        <w:rPr>
          <w:rFonts w:ascii="Times New Roman" w:hAnsi="Times New Roman" w:cs="Times New Roman"/>
          <w:b/>
          <w:sz w:val="24"/>
          <w:szCs w:val="24"/>
        </w:rPr>
        <w:t>Обеспечение гендерного равенства и расширение прав и возможностей всех женщин и девочек</w:t>
      </w:r>
    </w:p>
    <w:p w:rsidR="00843E3D" w:rsidRPr="00133714" w:rsidRDefault="005C1427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714">
        <w:rPr>
          <w:rFonts w:ascii="Times New Roman" w:hAnsi="Times New Roman" w:cs="Times New Roman"/>
          <w:b/>
          <w:sz w:val="24"/>
          <w:szCs w:val="24"/>
        </w:rPr>
        <w:t xml:space="preserve">5.а </w:t>
      </w:r>
      <w:r w:rsidR="00843E3D" w:rsidRPr="00133714">
        <w:rPr>
          <w:rFonts w:ascii="Times New Roman" w:hAnsi="Times New Roman" w:cs="Times New Roman"/>
          <w:b/>
          <w:sz w:val="24"/>
          <w:szCs w:val="24"/>
        </w:rPr>
        <w:t>Провести реформы в целях предоставления женщинам равных прав на экономические ресурсы, а также доступа к владению и распоряжению землей и другими формами собственности, финансовым услугам, наследуемому имуществу и природным ресурсам в соответствии с национальными законами</w:t>
      </w:r>
    </w:p>
    <w:p w:rsidR="00D716F4" w:rsidRPr="00133714" w:rsidRDefault="00843E3D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714">
        <w:rPr>
          <w:rFonts w:ascii="Times New Roman" w:hAnsi="Times New Roman" w:cs="Times New Roman"/>
          <w:b/>
          <w:sz w:val="24"/>
          <w:szCs w:val="24"/>
        </w:rPr>
        <w:t>5.</w:t>
      </w:r>
      <w:r w:rsidRPr="0013371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133714">
        <w:rPr>
          <w:rFonts w:ascii="Times New Roman" w:hAnsi="Times New Roman" w:cs="Times New Roman"/>
          <w:b/>
          <w:sz w:val="24"/>
          <w:szCs w:val="24"/>
        </w:rPr>
        <w:t>.2 Доля стран, в которых правовая база (в том числе обычное право) гарантирует женщинам равные права на владение и/или распоряжение землей</w:t>
      </w:r>
    </w:p>
    <w:p w:rsidR="00D716F4" w:rsidRPr="00133714" w:rsidRDefault="00D716F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714">
        <w:rPr>
          <w:rFonts w:ascii="Times New Roman" w:hAnsi="Times New Roman" w:cs="Times New Roman"/>
          <w:b/>
          <w:sz w:val="24"/>
          <w:szCs w:val="24"/>
        </w:rPr>
        <w:t>Институциональная информация:</w:t>
      </w:r>
    </w:p>
    <w:p w:rsidR="00D716F4" w:rsidRPr="00D05EF1" w:rsidRDefault="00D716F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F1">
        <w:rPr>
          <w:rFonts w:ascii="Times New Roman" w:hAnsi="Times New Roman" w:cs="Times New Roman"/>
          <w:sz w:val="24"/>
          <w:szCs w:val="24"/>
        </w:rPr>
        <w:t>Организация(и):</w:t>
      </w:r>
    </w:p>
    <w:p w:rsidR="00D716F4" w:rsidRPr="00D05EF1" w:rsidRDefault="00D716F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F1">
        <w:rPr>
          <w:rFonts w:ascii="Times New Roman" w:hAnsi="Times New Roman" w:cs="Times New Roman"/>
          <w:sz w:val="24"/>
          <w:szCs w:val="24"/>
        </w:rPr>
        <w:t>Продовольственная и Сельскохозяйственная Организация Объединенных Наций (ФАО ООН)</w:t>
      </w:r>
    </w:p>
    <w:p w:rsidR="00BF50AE" w:rsidRPr="00133714" w:rsidRDefault="00204DD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714">
        <w:rPr>
          <w:rFonts w:ascii="Times New Roman" w:hAnsi="Times New Roman" w:cs="Times New Roman"/>
          <w:b/>
          <w:sz w:val="24"/>
          <w:szCs w:val="24"/>
        </w:rPr>
        <w:t>Концепции</w:t>
      </w:r>
      <w:r w:rsidR="00BF50AE" w:rsidRPr="00133714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</w:p>
    <w:p w:rsidR="00BF50AE" w:rsidRPr="00D05EF1" w:rsidRDefault="00BF50AE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F1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133714" w:rsidRDefault="0013371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4">
        <w:rPr>
          <w:rFonts w:ascii="Times New Roman" w:hAnsi="Times New Roman" w:cs="Times New Roman"/>
          <w:sz w:val="24"/>
          <w:szCs w:val="24"/>
        </w:rPr>
        <w:t>Показатель 5.a.2 рассматривает степень, в которой правовая основа (включая обычное право) гарантирует женщинам ра</w:t>
      </w:r>
      <w:r>
        <w:rPr>
          <w:rFonts w:ascii="Times New Roman" w:hAnsi="Times New Roman" w:cs="Times New Roman"/>
          <w:sz w:val="24"/>
          <w:szCs w:val="24"/>
        </w:rPr>
        <w:t>вные права на владение и</w:t>
      </w:r>
      <w:r w:rsidRPr="00133714">
        <w:rPr>
          <w:rFonts w:ascii="Times New Roman" w:hAnsi="Times New Roman" w:cs="Times New Roman"/>
          <w:sz w:val="24"/>
          <w:szCs w:val="24"/>
        </w:rPr>
        <w:t xml:space="preserve">/или </w:t>
      </w:r>
      <w:r>
        <w:rPr>
          <w:rFonts w:ascii="Times New Roman" w:hAnsi="Times New Roman" w:cs="Times New Roman"/>
          <w:sz w:val="24"/>
          <w:szCs w:val="24"/>
        </w:rPr>
        <w:t>распоряжение землей</w:t>
      </w:r>
      <w:r w:rsidRPr="00133714">
        <w:rPr>
          <w:rFonts w:ascii="Times New Roman" w:hAnsi="Times New Roman" w:cs="Times New Roman"/>
          <w:sz w:val="24"/>
          <w:szCs w:val="24"/>
        </w:rPr>
        <w:t>.</w:t>
      </w:r>
    </w:p>
    <w:p w:rsidR="00133714" w:rsidRDefault="0013371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4">
        <w:rPr>
          <w:rFonts w:ascii="Times New Roman" w:hAnsi="Times New Roman" w:cs="Times New Roman"/>
          <w:sz w:val="24"/>
          <w:szCs w:val="24"/>
        </w:rPr>
        <w:t>Показатель «измеряет» уровень, на который законодательная база страны поддерживает права женщин на землю, путем тестирования этой основы против шести сторон, взятых из международного права и международно признанной передовой практики, в частности Конвенции о ликвидации дискриминации в отношении женщин (CEDAW), ратифицированной в 189 странах и Добровольные руководящие принципы ответственного управления владением землепользованием и лесным хозяйством (VGGT) единогласно одобрены членами Комитета по продовольственной безопасности (КВПБ) в 2012 году.</w:t>
      </w:r>
    </w:p>
    <w:p w:rsidR="00133714" w:rsidRPr="00133714" w:rsidRDefault="0013371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представлены ш</w:t>
      </w:r>
      <w:r w:rsidRPr="00133714">
        <w:rPr>
          <w:rFonts w:ascii="Times New Roman" w:hAnsi="Times New Roman" w:cs="Times New Roman"/>
          <w:sz w:val="24"/>
          <w:szCs w:val="24"/>
        </w:rPr>
        <w:t xml:space="preserve">есть прокси, через которые отслеживается </w:t>
      </w:r>
      <w:r>
        <w:rPr>
          <w:rFonts w:ascii="Times New Roman" w:hAnsi="Times New Roman" w:cs="Times New Roman"/>
          <w:sz w:val="24"/>
          <w:szCs w:val="24"/>
        </w:rPr>
        <w:t>показатель 5.a.2</w:t>
      </w:r>
      <w:r w:rsidRPr="00133714">
        <w:rPr>
          <w:rFonts w:ascii="Times New Roman" w:hAnsi="Times New Roman" w:cs="Times New Roman"/>
          <w:sz w:val="24"/>
          <w:szCs w:val="24"/>
        </w:rPr>
        <w:t>:</w:t>
      </w:r>
    </w:p>
    <w:p w:rsidR="00133714" w:rsidRPr="00B03CB0" w:rsidRDefault="0013371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CB0">
        <w:rPr>
          <w:rFonts w:ascii="Times New Roman" w:hAnsi="Times New Roman" w:cs="Times New Roman"/>
          <w:i/>
          <w:sz w:val="24"/>
          <w:szCs w:val="24"/>
        </w:rPr>
        <w:t>Прокси A: Совместная регистрация земли, обязательная или поощряемая с помощью экономических стимулов</w:t>
      </w:r>
    </w:p>
    <w:p w:rsidR="00133714" w:rsidRPr="00B03CB0" w:rsidRDefault="0013371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CB0">
        <w:rPr>
          <w:rFonts w:ascii="Times New Roman" w:hAnsi="Times New Roman" w:cs="Times New Roman"/>
          <w:i/>
          <w:sz w:val="24"/>
          <w:szCs w:val="24"/>
        </w:rPr>
        <w:t>Прокси B: Обязательное супружеское согласие на земельные операции</w:t>
      </w:r>
    </w:p>
    <w:p w:rsidR="00133714" w:rsidRPr="00B03CB0" w:rsidRDefault="0013371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CB0">
        <w:rPr>
          <w:rFonts w:ascii="Times New Roman" w:hAnsi="Times New Roman" w:cs="Times New Roman"/>
          <w:i/>
          <w:sz w:val="24"/>
          <w:szCs w:val="24"/>
        </w:rPr>
        <w:t>Прокси C: Права женщин на равных правах женщин и девочек</w:t>
      </w:r>
    </w:p>
    <w:p w:rsidR="00133714" w:rsidRPr="00B03CB0" w:rsidRDefault="0013371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CB0">
        <w:rPr>
          <w:rFonts w:ascii="Times New Roman" w:hAnsi="Times New Roman" w:cs="Times New Roman"/>
          <w:i/>
          <w:sz w:val="24"/>
          <w:szCs w:val="24"/>
        </w:rPr>
        <w:t>Прокси D: Распределение финансовых ресурсов для увеличения владения женщинами и контроля над землей</w:t>
      </w:r>
    </w:p>
    <w:p w:rsidR="00133714" w:rsidRPr="00B03CB0" w:rsidRDefault="0013371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CB0">
        <w:rPr>
          <w:rFonts w:ascii="Times New Roman" w:hAnsi="Times New Roman" w:cs="Times New Roman"/>
          <w:i/>
          <w:sz w:val="24"/>
          <w:szCs w:val="24"/>
        </w:rPr>
        <w:t>Прокси E: В правовых системах, признающих обычное землепользование, наличие явной защиты прав на землю женщин</w:t>
      </w:r>
    </w:p>
    <w:p w:rsidR="00133714" w:rsidRPr="00B03CB0" w:rsidRDefault="00133714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CB0">
        <w:rPr>
          <w:rFonts w:ascii="Times New Roman" w:hAnsi="Times New Roman" w:cs="Times New Roman"/>
          <w:i/>
          <w:sz w:val="24"/>
          <w:szCs w:val="24"/>
        </w:rPr>
        <w:t>Прокси F: Обязательные квоты для участия женщин в управлении земельными ресурсами и администрации</w:t>
      </w:r>
    </w:p>
    <w:p w:rsidR="00133714" w:rsidRDefault="007A322D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и основные понятия:</w:t>
      </w:r>
    </w:p>
    <w:p w:rsidR="007A322D" w:rsidRDefault="007A322D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2D">
        <w:rPr>
          <w:rFonts w:ascii="Times New Roman" w:hAnsi="Times New Roman" w:cs="Times New Roman"/>
          <w:sz w:val="24"/>
          <w:szCs w:val="24"/>
        </w:rPr>
        <w:lastRenderedPageBreak/>
        <w:t>Показатель 5.a.2 определяет степень, в которой правовые рамки стран (включая обычное право) гарантируют равные права на владение и/или распоряжение землей.</w:t>
      </w:r>
    </w:p>
    <w:p w:rsidR="007A322D" w:rsidRDefault="007A322D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Фокусирование</w:t>
      </w:r>
      <w:r w:rsidRPr="007A322D">
        <w:rPr>
          <w:rFonts w:ascii="Times New Roman" w:hAnsi="Times New Roman" w:cs="Times New Roman"/>
          <w:sz w:val="24"/>
          <w:szCs w:val="24"/>
        </w:rPr>
        <w:t xml:space="preserve"> на землю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7A322D">
        <w:rPr>
          <w:rFonts w:ascii="Times New Roman" w:hAnsi="Times New Roman" w:cs="Times New Roman"/>
          <w:sz w:val="24"/>
          <w:szCs w:val="24"/>
        </w:rPr>
        <w:t xml:space="preserve"> 5.a.2 отражает признание того, что земля является ключевым экономическим ресурсом, неразрывно связанным с доступом к другим экономическим и производственным ресурсам и контролем над ними. Это ключевой вклад в сельскохозяйственное производство; его можно использовать в качестве залога для доступа к финансовым ресурсам, услугам по распространению знаний или присоединиться к организациям-производителям; и он может напрямую получать доход, если он сдаётся в аренду или продается. В нем также признается, что ответственность женщин за контроль над землей и/или контроль над ними имеет решающее значение для сокращения масштабов нищеты, обеспечения продовольственной безопасности, всеобщего охвата и общих целей устойчивого развития. Наконец, гендерное равенство в собственности и контроле за землей является правом человека. Например, статья 3 Международного пакта о гражданских и политических правах (МПГПП) гарантирует равенство между женщинами и мужчинами и запрещает дискриминацию по признаку пола в статье 2. Статья 26 договора закрепляет равенство перед законом и может применяться к защищать право женщин на недискриминацию и равенство не только в отношении гражданских и политических прав, но и экономических и социальных прав. Кроме того, в Конвенции о ликвидации дискриминации в отношении женщин (CEDAW) подчеркивается, что дискриминация в отношении женщин «нарушает принципы равенства прав и уважения человеческого достоинства».</w:t>
      </w:r>
    </w:p>
    <w:p w:rsidR="00133714" w:rsidRDefault="007A322D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2D">
        <w:rPr>
          <w:rFonts w:ascii="Times New Roman" w:hAnsi="Times New Roman" w:cs="Times New Roman"/>
          <w:sz w:val="24"/>
          <w:szCs w:val="24"/>
        </w:rPr>
        <w:t>В следующих параграфах описывается объем и обоснование прокси, а также его конкретный контент.</w:t>
      </w:r>
    </w:p>
    <w:p w:rsidR="00B03CB0" w:rsidRPr="00B03CB0" w:rsidRDefault="00B03CB0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ED">
        <w:rPr>
          <w:rFonts w:ascii="Times New Roman" w:hAnsi="Times New Roman" w:cs="Times New Roman"/>
          <w:b/>
          <w:i/>
          <w:sz w:val="24"/>
          <w:szCs w:val="24"/>
        </w:rPr>
        <w:t>Прокси A:</w:t>
      </w:r>
      <w:r w:rsidRPr="00B03CB0">
        <w:rPr>
          <w:rFonts w:ascii="Times New Roman" w:hAnsi="Times New Roman" w:cs="Times New Roman"/>
          <w:i/>
          <w:sz w:val="24"/>
          <w:szCs w:val="24"/>
        </w:rPr>
        <w:t xml:space="preserve"> Является ли совместная регистрация земли обязательной или поощряемой с помощью экономических стимулов?</w:t>
      </w:r>
    </w:p>
    <w:p w:rsidR="00B03CB0" w:rsidRDefault="00B03CB0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B0">
        <w:rPr>
          <w:rFonts w:ascii="Times New Roman" w:hAnsi="Times New Roman" w:cs="Times New Roman"/>
          <w:sz w:val="24"/>
          <w:szCs w:val="24"/>
        </w:rPr>
        <w:t xml:space="preserve">Без включения их имен в </w:t>
      </w:r>
      <w:r>
        <w:rPr>
          <w:rFonts w:ascii="Times New Roman" w:hAnsi="Times New Roman" w:cs="Times New Roman"/>
          <w:sz w:val="24"/>
          <w:szCs w:val="24"/>
        </w:rPr>
        <w:t>право собственности</w:t>
      </w:r>
      <w:r w:rsidRPr="00B03CB0">
        <w:rPr>
          <w:rFonts w:ascii="Times New Roman" w:hAnsi="Times New Roman" w:cs="Times New Roman"/>
          <w:sz w:val="24"/>
          <w:szCs w:val="24"/>
        </w:rPr>
        <w:t xml:space="preserve"> земли, документ или свидетельство, права собственности женщин остаются неуверенными, особенно в контексте программ регистрации земли и имущества, приобретенного супругами во время брака. Это особенно относится к замужним женщинам, </w:t>
      </w:r>
      <w:r>
        <w:rPr>
          <w:rFonts w:ascii="Times New Roman" w:hAnsi="Times New Roman" w:cs="Times New Roman"/>
          <w:sz w:val="24"/>
          <w:szCs w:val="24"/>
        </w:rPr>
        <w:t xml:space="preserve">которые разделяют, разводятся, </w:t>
      </w:r>
      <w:r w:rsidRPr="00B03CB0">
        <w:rPr>
          <w:rFonts w:ascii="Times New Roman" w:hAnsi="Times New Roman" w:cs="Times New Roman"/>
          <w:sz w:val="24"/>
          <w:szCs w:val="24"/>
        </w:rPr>
        <w:t>брошены или становятся вдовами.</w:t>
      </w:r>
    </w:p>
    <w:p w:rsidR="00B03CB0" w:rsidRDefault="00B03CB0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B0">
        <w:rPr>
          <w:rFonts w:ascii="Times New Roman" w:hAnsi="Times New Roman" w:cs="Times New Roman"/>
          <w:sz w:val="24"/>
          <w:szCs w:val="24"/>
        </w:rPr>
        <w:t>Для получения информации о значении терминов, используемых в прокси, обратитесь к терминологии в разделе 3.2 настоящего документа. Для получения подробной информации об условиях, определяющих, существует ли доверенность в правовой и политической структуре, обратитесь к методологическому документу.</w:t>
      </w:r>
    </w:p>
    <w:p w:rsidR="00B03CB0" w:rsidRDefault="00B03CB0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B0">
        <w:rPr>
          <w:rFonts w:ascii="Times New Roman" w:hAnsi="Times New Roman" w:cs="Times New Roman"/>
          <w:sz w:val="24"/>
          <w:szCs w:val="24"/>
        </w:rPr>
        <w:t xml:space="preserve">Поэтому </w:t>
      </w:r>
      <w:r>
        <w:rPr>
          <w:rFonts w:ascii="Times New Roman" w:hAnsi="Times New Roman" w:cs="Times New Roman"/>
          <w:sz w:val="24"/>
          <w:szCs w:val="24"/>
        </w:rPr>
        <w:t>прокси</w:t>
      </w:r>
      <w:r w:rsidRPr="00B03CB0">
        <w:rPr>
          <w:rFonts w:ascii="Times New Roman" w:hAnsi="Times New Roman" w:cs="Times New Roman"/>
          <w:sz w:val="24"/>
          <w:szCs w:val="24"/>
        </w:rPr>
        <w:t xml:space="preserve"> оценивает, включают ли законодательные и политические рамки положения, требующие совместной регистрации земли или поощряющие совместную регистрацию посредством экономических стимулов как для замужних, так и для незамужних супружеских пар. Для </w:t>
      </w:r>
      <w:r>
        <w:rPr>
          <w:rFonts w:ascii="Times New Roman" w:hAnsi="Times New Roman" w:cs="Times New Roman"/>
          <w:sz w:val="24"/>
          <w:szCs w:val="24"/>
        </w:rPr>
        <w:t>реализации прокси</w:t>
      </w:r>
      <w:r w:rsidRPr="00B03CB0">
        <w:rPr>
          <w:rFonts w:ascii="Times New Roman" w:hAnsi="Times New Roman" w:cs="Times New Roman"/>
          <w:sz w:val="24"/>
          <w:szCs w:val="24"/>
        </w:rPr>
        <w:t xml:space="preserve"> достаточно, чтобы совместная регистрация была предоставлена, по крайней мере, для супружеских пар.</w:t>
      </w:r>
    </w:p>
    <w:p w:rsidR="00B03CB0" w:rsidRDefault="00B03CB0" w:rsidP="007A322D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ED">
        <w:rPr>
          <w:rFonts w:ascii="Times New Roman" w:hAnsi="Times New Roman" w:cs="Times New Roman"/>
          <w:b/>
          <w:i/>
          <w:sz w:val="24"/>
          <w:szCs w:val="24"/>
        </w:rPr>
        <w:t xml:space="preserve">Прокси </w:t>
      </w:r>
      <w:r w:rsidRPr="005A09ED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5A09E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03CB0">
        <w:rPr>
          <w:rFonts w:ascii="Times New Roman" w:hAnsi="Times New Roman" w:cs="Times New Roman"/>
          <w:i/>
          <w:sz w:val="24"/>
          <w:szCs w:val="24"/>
        </w:rPr>
        <w:t xml:space="preserve"> Требует ли юридическая и политическая основа супружеского согласия на сделки с землей?</w:t>
      </w:r>
    </w:p>
    <w:p w:rsidR="00B03CB0" w:rsidRPr="00B03CB0" w:rsidRDefault="00B03CB0" w:rsidP="00B03CB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B0">
        <w:rPr>
          <w:rFonts w:ascii="Times New Roman" w:hAnsi="Times New Roman" w:cs="Times New Roman"/>
          <w:sz w:val="24"/>
          <w:szCs w:val="24"/>
        </w:rPr>
        <w:t xml:space="preserve">Всякий раз, когда действия принимаются в одностороннем порядке мужем или партнером-мужчиной в отношении сделок с землей, таких как продажа, залог или аренда, особенно когда они </w:t>
      </w:r>
      <w:r w:rsidRPr="00B03CB0">
        <w:rPr>
          <w:rFonts w:ascii="Times New Roman" w:hAnsi="Times New Roman" w:cs="Times New Roman"/>
          <w:sz w:val="24"/>
          <w:szCs w:val="24"/>
        </w:rPr>
        <w:lastRenderedPageBreak/>
        <w:t>касаются семейного дома или других важных активов, они могут оставлять женщин и детей без крова и без средств к существованию. Таким образом, требования к супружескому соглашению или согласию партнеров до любой сделки с землей усиливают права женщин на контроль над землей независимо от того, состоят они в браке или в неженатой супружеской паре. Поддерживая равенство в браке и совместную администрацию важного имущества, такие положения непосредственно способствуют достижению показателя 5.a.2, особенно в отношении гендерного равенства в контроле над землей.</w:t>
      </w:r>
    </w:p>
    <w:p w:rsidR="00B03CB0" w:rsidRDefault="00B03CB0" w:rsidP="00B03CB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B0">
        <w:rPr>
          <w:rFonts w:ascii="Times New Roman" w:hAnsi="Times New Roman" w:cs="Times New Roman"/>
          <w:sz w:val="24"/>
          <w:szCs w:val="24"/>
        </w:rPr>
        <w:t xml:space="preserve">Прокси проверяет, включают ли страны в юридическую и политическую структуру согласие супруга или партнера на сделки с землей. Как и в случае с прокси А, оценка охватывает как замужних, так и незамужних пар. Тем не менее, для </w:t>
      </w:r>
      <w:r>
        <w:rPr>
          <w:rFonts w:ascii="Times New Roman" w:hAnsi="Times New Roman" w:cs="Times New Roman"/>
          <w:sz w:val="24"/>
          <w:szCs w:val="24"/>
        </w:rPr>
        <w:t>реализации прокси</w:t>
      </w:r>
      <w:r w:rsidRPr="00B03CB0">
        <w:rPr>
          <w:rFonts w:ascii="Times New Roman" w:hAnsi="Times New Roman" w:cs="Times New Roman"/>
          <w:sz w:val="24"/>
          <w:szCs w:val="24"/>
        </w:rPr>
        <w:t xml:space="preserve"> достаточно, чтобы совместная регистрация предоставлялась, по крайней мере, для супружеских пар.</w:t>
      </w:r>
    </w:p>
    <w:p w:rsidR="005A09ED" w:rsidRDefault="005A09ED" w:rsidP="00B03CB0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ED">
        <w:rPr>
          <w:rFonts w:ascii="Times New Roman" w:hAnsi="Times New Roman" w:cs="Times New Roman"/>
          <w:b/>
          <w:i/>
          <w:sz w:val="24"/>
          <w:szCs w:val="24"/>
        </w:rPr>
        <w:t>Прокси С:</w:t>
      </w:r>
      <w:r w:rsidRPr="005A09ED">
        <w:rPr>
          <w:rFonts w:ascii="Times New Roman" w:hAnsi="Times New Roman" w:cs="Times New Roman"/>
          <w:i/>
          <w:sz w:val="24"/>
          <w:szCs w:val="24"/>
        </w:rPr>
        <w:t xml:space="preserve"> Обеспечивает ли правовая и политическая основа права женщин и девочек на равные права наследования?</w:t>
      </w:r>
    </w:p>
    <w:p w:rsidR="005A09ED" w:rsidRDefault="005A09ED" w:rsidP="00B03CB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ED">
        <w:rPr>
          <w:rFonts w:ascii="Times New Roman" w:hAnsi="Times New Roman" w:cs="Times New Roman"/>
          <w:sz w:val="24"/>
          <w:szCs w:val="24"/>
        </w:rPr>
        <w:t xml:space="preserve">Наследование является одним из основных каналов, по которым женщины приобретают собственность и обеспечивают независимые права на землю. Однако сохранение дискриминационных культурных и правовых норм часто лишает права женщин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A09ED">
        <w:rPr>
          <w:rFonts w:ascii="Times New Roman" w:hAnsi="Times New Roman" w:cs="Times New Roman"/>
          <w:sz w:val="24"/>
          <w:szCs w:val="24"/>
        </w:rPr>
        <w:t xml:space="preserve">девочек </w:t>
      </w:r>
      <w:r>
        <w:rPr>
          <w:rFonts w:ascii="Times New Roman" w:hAnsi="Times New Roman" w:cs="Times New Roman"/>
          <w:sz w:val="24"/>
          <w:szCs w:val="24"/>
        </w:rPr>
        <w:t xml:space="preserve">на равные права наследования </w:t>
      </w:r>
      <w:r w:rsidRPr="005A09ED">
        <w:rPr>
          <w:rFonts w:ascii="Times New Roman" w:hAnsi="Times New Roman" w:cs="Times New Roman"/>
          <w:sz w:val="24"/>
          <w:szCs w:val="24"/>
        </w:rPr>
        <w:t xml:space="preserve">и препятствует возможности женщинам приобретать собственность наравне с мужчинами. Личные законы и обычные законы, в частности, часто лишали права женщин наследовать или, по крайней мере, наследовать равные доли, и многие постколониальные правительства включили эти правила в формальную правовую архитектуру. В некоторых случаях дочери могут иметь право наследовать </w:t>
      </w:r>
      <w:r w:rsidR="006332B5">
        <w:rPr>
          <w:rFonts w:ascii="Times New Roman" w:hAnsi="Times New Roman" w:cs="Times New Roman"/>
          <w:sz w:val="24"/>
          <w:szCs w:val="24"/>
        </w:rPr>
        <w:t>в</w:t>
      </w:r>
      <w:r w:rsidRPr="005A09ED">
        <w:rPr>
          <w:rFonts w:ascii="Times New Roman" w:hAnsi="Times New Roman" w:cs="Times New Roman"/>
          <w:sz w:val="24"/>
          <w:szCs w:val="24"/>
        </w:rPr>
        <w:t xml:space="preserve"> отсутствие прослеживаемого родственника-мужчины.</w:t>
      </w:r>
    </w:p>
    <w:p w:rsidR="006332B5" w:rsidRPr="006332B5" w:rsidRDefault="006332B5" w:rsidP="006332B5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B5">
        <w:rPr>
          <w:rFonts w:ascii="Times New Roman" w:hAnsi="Times New Roman" w:cs="Times New Roman"/>
          <w:sz w:val="24"/>
          <w:szCs w:val="24"/>
        </w:rPr>
        <w:t>Прокси С рассматривает вопрос о том, в какой степени государства включили в свои законодательные и политические рамки положения, гарантирующие равные права наследования на землю для выживания детей и выживших супругов.</w:t>
      </w:r>
    </w:p>
    <w:p w:rsidR="006332B5" w:rsidRPr="006332B5" w:rsidRDefault="006332B5" w:rsidP="006332B5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B5">
        <w:rPr>
          <w:rFonts w:ascii="Times New Roman" w:hAnsi="Times New Roman" w:cs="Times New Roman"/>
          <w:sz w:val="24"/>
          <w:szCs w:val="24"/>
        </w:rPr>
        <w:t>Этот прокси направлен на определение того, являются ли правовые и политические рамки страны:</w:t>
      </w:r>
    </w:p>
    <w:p w:rsidR="006332B5" w:rsidRPr="006332B5" w:rsidRDefault="006332B5" w:rsidP="006332B5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B5">
        <w:rPr>
          <w:rFonts w:ascii="Times New Roman" w:hAnsi="Times New Roman" w:cs="Times New Roman"/>
          <w:sz w:val="24"/>
          <w:szCs w:val="24"/>
        </w:rPr>
        <w:t xml:space="preserve">1. Обеспечить равные права наследования у сыновей и дочерей; </w:t>
      </w:r>
      <w:r w:rsidRPr="006332B5">
        <w:rPr>
          <w:rFonts w:ascii="Times New Roman" w:hAnsi="Times New Roman" w:cs="Times New Roman"/>
          <w:b/>
          <w:sz w:val="24"/>
          <w:szCs w:val="24"/>
        </w:rPr>
        <w:t>и</w:t>
      </w:r>
    </w:p>
    <w:p w:rsidR="006332B5" w:rsidRPr="006332B5" w:rsidRDefault="006332B5" w:rsidP="006332B5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B5">
        <w:rPr>
          <w:rFonts w:ascii="Times New Roman" w:hAnsi="Times New Roman" w:cs="Times New Roman"/>
          <w:sz w:val="24"/>
          <w:szCs w:val="24"/>
        </w:rPr>
        <w:t>2. Обеспечить, чтобы супруг/супруга и/или партнер мужского и женского пола имели право на равную долю в имуществе умершего супруга и/или на пожизненное право пользователя на семейный дом.</w:t>
      </w:r>
    </w:p>
    <w:p w:rsidR="006332B5" w:rsidRPr="00CC4640" w:rsidRDefault="006332B5" w:rsidP="006332B5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B5">
        <w:rPr>
          <w:rFonts w:ascii="Times New Roman" w:hAnsi="Times New Roman" w:cs="Times New Roman"/>
          <w:sz w:val="24"/>
          <w:szCs w:val="24"/>
        </w:rPr>
        <w:t>Оба равных права наследования для сыновей и дочерей, а также оставшихся в живых супругов и/или партнеров должны быть обеспечены для присутствия Прокси.</w:t>
      </w:r>
    </w:p>
    <w:p w:rsidR="00CC4640" w:rsidRPr="00AB71DC" w:rsidRDefault="00CC4640" w:rsidP="006332B5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640">
        <w:rPr>
          <w:rFonts w:ascii="Times New Roman" w:hAnsi="Times New Roman" w:cs="Times New Roman"/>
          <w:b/>
          <w:i/>
          <w:sz w:val="24"/>
          <w:szCs w:val="24"/>
        </w:rPr>
        <w:t xml:space="preserve">Прокси </w:t>
      </w:r>
      <w:r w:rsidRPr="00CC4640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CC464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C4640">
        <w:rPr>
          <w:rFonts w:ascii="Times New Roman" w:hAnsi="Times New Roman" w:cs="Times New Roman"/>
          <w:i/>
          <w:sz w:val="24"/>
          <w:szCs w:val="24"/>
        </w:rPr>
        <w:t xml:space="preserve"> Предусматривает ли в правовой и политической основе распределение финансовых ресурсов для увеличения владения женщинами и контроля над землей?</w:t>
      </w:r>
    </w:p>
    <w:p w:rsidR="00CC4640" w:rsidRPr="00AB71DC" w:rsidRDefault="00CC4640" w:rsidP="006332B5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640">
        <w:rPr>
          <w:rFonts w:ascii="Times New Roman" w:hAnsi="Times New Roman" w:cs="Times New Roman"/>
          <w:sz w:val="24"/>
          <w:szCs w:val="24"/>
        </w:rPr>
        <w:t>Правовые реформы для поддержки гендерного равенства в собственности на владение и/или распоряжение землей и доступа к другим производственным ресурсам не всегда воплощаются в жизнь. Неэффективное осуществление политики и законов, связанных с землей и сельским хозяйством, направленных на повышение гендерного равенства, частично связано с отсутствием или недостаточностью финансовых ресурсов.</w:t>
      </w:r>
    </w:p>
    <w:p w:rsidR="00CC4640" w:rsidRDefault="00CC4640" w:rsidP="006332B5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640">
        <w:rPr>
          <w:rFonts w:ascii="Times New Roman" w:hAnsi="Times New Roman" w:cs="Times New Roman"/>
          <w:sz w:val="24"/>
          <w:szCs w:val="24"/>
        </w:rPr>
        <w:lastRenderedPageBreak/>
        <w:t>По этой причине этот прокси идентифицирует любое правовое положение, которое обязывает правительство выделять финансовые ресурсы с целью увеличения владения женщинами и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Pr="00CC4640">
        <w:rPr>
          <w:rFonts w:ascii="Times New Roman" w:hAnsi="Times New Roman" w:cs="Times New Roman"/>
          <w:sz w:val="24"/>
          <w:szCs w:val="24"/>
        </w:rPr>
        <w:t xml:space="preserve"> землей или доступа к производственным ресурсам, включая землю. Для целей оценки размер фонда или финансовых ресурсов не имеет значения. Тем не менее, это «условие не имеет значения» для этого </w:t>
      </w:r>
      <w:r>
        <w:rPr>
          <w:rFonts w:ascii="Times New Roman" w:hAnsi="Times New Roman" w:cs="Times New Roman"/>
          <w:sz w:val="24"/>
          <w:szCs w:val="24"/>
        </w:rPr>
        <w:t>прокси</w:t>
      </w:r>
      <w:r w:rsidRPr="00CC4640">
        <w:rPr>
          <w:rFonts w:ascii="Times New Roman" w:hAnsi="Times New Roman" w:cs="Times New Roman"/>
          <w:sz w:val="24"/>
          <w:szCs w:val="24"/>
        </w:rPr>
        <w:t>, чтобы убедиться, что фонд закреплен в национальном законодательстве. Такие положения широко рассматриваются как новаторские меры по поддержке прав женщин на землю и были последовательно одобрены Комитетом CEDAW в его обсуждениях и комментариях по докладам государств-участников в соответствии с договором.</w:t>
      </w:r>
    </w:p>
    <w:p w:rsidR="00CC4640" w:rsidRDefault="00CC4640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640">
        <w:rPr>
          <w:rFonts w:ascii="Times New Roman" w:hAnsi="Times New Roman" w:cs="Times New Roman"/>
          <w:b/>
          <w:i/>
          <w:sz w:val="24"/>
          <w:szCs w:val="24"/>
        </w:rPr>
        <w:t>Прокси E:</w:t>
      </w:r>
      <w:r w:rsidRPr="00CC4640">
        <w:rPr>
          <w:rFonts w:ascii="Times New Roman" w:hAnsi="Times New Roman" w:cs="Times New Roman"/>
          <w:i/>
          <w:sz w:val="24"/>
          <w:szCs w:val="24"/>
        </w:rPr>
        <w:t xml:space="preserve"> В правовых системах, признающих обычное землевладение,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4640">
        <w:rPr>
          <w:rFonts w:ascii="Times New Roman" w:hAnsi="Times New Roman" w:cs="Times New Roman"/>
          <w:i/>
          <w:sz w:val="24"/>
          <w:szCs w:val="24"/>
        </w:rPr>
        <w:t>действительно ли правовая и политическая основа защищает права женщин на землю?</w:t>
      </w:r>
    </w:p>
    <w:p w:rsidR="00CC4640" w:rsidRDefault="00CC4640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640">
        <w:rPr>
          <w:rFonts w:ascii="Times New Roman" w:hAnsi="Times New Roman" w:cs="Times New Roman"/>
          <w:sz w:val="24"/>
          <w:szCs w:val="24"/>
        </w:rPr>
        <w:t xml:space="preserve">Многие страны включили права обычного владения землей в формальную правовую систему, фактически «формализуя» их. Однако правовое признание обычного землепользования может усилить дискриминационную практику, когда нет явной защиты прав женщин на землю. Кроме того, использование гендерно нейтральных положений в контексте формализации обычного землепользования на практике было связано с отсутствием защиты прав женщин. Чтобы избежать таких результатов, четкие положения, обеспечивающие защиту прав на землю женщин, должны сопровождать любое правовое положение, в котором признается </w:t>
      </w:r>
      <w:r w:rsidR="007F3E2C">
        <w:rPr>
          <w:rFonts w:ascii="Times New Roman" w:hAnsi="Times New Roman" w:cs="Times New Roman"/>
          <w:sz w:val="24"/>
          <w:szCs w:val="24"/>
        </w:rPr>
        <w:t xml:space="preserve">общепринятое </w:t>
      </w:r>
      <w:r w:rsidRPr="00CC4640">
        <w:rPr>
          <w:rFonts w:ascii="Times New Roman" w:hAnsi="Times New Roman" w:cs="Times New Roman"/>
          <w:sz w:val="24"/>
          <w:szCs w:val="24"/>
        </w:rPr>
        <w:t>право на землю.</w:t>
      </w:r>
    </w:p>
    <w:p w:rsidR="003F79E9" w:rsidRDefault="003F79E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E9">
        <w:rPr>
          <w:rFonts w:ascii="Times New Roman" w:hAnsi="Times New Roman" w:cs="Times New Roman"/>
          <w:sz w:val="24"/>
          <w:szCs w:val="24"/>
        </w:rPr>
        <w:t>Прокси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9E9">
        <w:rPr>
          <w:rFonts w:ascii="Times New Roman" w:hAnsi="Times New Roman" w:cs="Times New Roman"/>
          <w:sz w:val="24"/>
          <w:szCs w:val="24"/>
        </w:rPr>
        <w:t>E оценивает, обеспечивает ли Конституция и/или какое-либо право на землю, признающее обычное землевладение, явным образом защищает права женщин на землю.</w:t>
      </w:r>
    </w:p>
    <w:p w:rsidR="003F79E9" w:rsidRDefault="003F79E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E9">
        <w:rPr>
          <w:rFonts w:ascii="Times New Roman" w:hAnsi="Times New Roman" w:cs="Times New Roman"/>
          <w:sz w:val="24"/>
          <w:szCs w:val="24"/>
        </w:rPr>
        <w:t>Важно отметить, что для тех стран, где обычное право не было включено в законодательную базу, прокси E не применимо и не будет оцениваться при расчете. Как отмечалось выше, единс</w:t>
      </w:r>
      <w:r>
        <w:rPr>
          <w:rFonts w:ascii="Times New Roman" w:hAnsi="Times New Roman" w:cs="Times New Roman"/>
          <w:sz w:val="24"/>
          <w:szCs w:val="24"/>
        </w:rPr>
        <w:t>твенный возможный способ учесть</w:t>
      </w:r>
      <w:r w:rsidRPr="003F79E9">
        <w:rPr>
          <w:rFonts w:ascii="Times New Roman" w:hAnsi="Times New Roman" w:cs="Times New Roman"/>
          <w:sz w:val="24"/>
          <w:szCs w:val="24"/>
        </w:rPr>
        <w:t>/измерить обычное измерение этого показателя - это когда он был юридически признан и поэтому включен в правовые рамки.</w:t>
      </w:r>
    </w:p>
    <w:p w:rsidR="003F79E9" w:rsidRDefault="00AB71D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1DC">
        <w:rPr>
          <w:rFonts w:ascii="Times New Roman" w:hAnsi="Times New Roman" w:cs="Times New Roman"/>
          <w:b/>
          <w:i/>
          <w:sz w:val="24"/>
          <w:szCs w:val="24"/>
        </w:rPr>
        <w:t>Прокси F:</w:t>
      </w:r>
      <w:r w:rsidRPr="00AB71DC">
        <w:rPr>
          <w:rFonts w:ascii="Times New Roman" w:hAnsi="Times New Roman" w:cs="Times New Roman"/>
          <w:i/>
          <w:sz w:val="24"/>
          <w:szCs w:val="24"/>
        </w:rPr>
        <w:t xml:space="preserve"> Обеспечивает ли правовая и политическая основа участие женщин в управлении земельными ресурсами и </w:t>
      </w:r>
      <w:r w:rsidR="007E18AB">
        <w:rPr>
          <w:rFonts w:ascii="Times New Roman" w:hAnsi="Times New Roman" w:cs="Times New Roman"/>
          <w:i/>
          <w:sz w:val="24"/>
          <w:szCs w:val="24"/>
        </w:rPr>
        <w:t>управлении, связанное с землепользованием</w:t>
      </w:r>
      <w:r w:rsidRPr="00AB71DC">
        <w:rPr>
          <w:rFonts w:ascii="Times New Roman" w:hAnsi="Times New Roman" w:cs="Times New Roman"/>
          <w:i/>
          <w:sz w:val="24"/>
          <w:szCs w:val="24"/>
        </w:rPr>
        <w:t>?</w:t>
      </w:r>
    </w:p>
    <w:p w:rsidR="00AB71DC" w:rsidRDefault="00AB71D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DC">
        <w:rPr>
          <w:rFonts w:ascii="Times New Roman" w:hAnsi="Times New Roman" w:cs="Times New Roman"/>
          <w:sz w:val="24"/>
          <w:szCs w:val="24"/>
        </w:rPr>
        <w:t>Земельные учреждения несут ответственность за управление системами землевладения и отвечают за управление земельными ресурсами и управление</w:t>
      </w:r>
      <w:r w:rsidR="00FB0BD0" w:rsidRPr="00FB0BD0">
        <w:rPr>
          <w:rFonts w:ascii="Times New Roman" w:hAnsi="Times New Roman" w:cs="Times New Roman"/>
          <w:sz w:val="24"/>
          <w:szCs w:val="24"/>
        </w:rPr>
        <w:t>, связанное с землепользованием</w:t>
      </w:r>
      <w:r w:rsidRPr="00AB71DC">
        <w:rPr>
          <w:rFonts w:ascii="Times New Roman" w:hAnsi="Times New Roman" w:cs="Times New Roman"/>
          <w:sz w:val="24"/>
          <w:szCs w:val="24"/>
        </w:rPr>
        <w:t>. Женщины часто исключаются из участия в повседневных процессах управления земельными ресурсами на всех уровнях и, следовательно, имеют ограниченные возможности влиять на принятие решений. Отсутствие представительства женщин в управлении земельными ресурсами имеет тенденцию приводить к предвзятым результатам в процессах регистрации и регистрации земель и препятствовать исковым заявкам в отношении женщин, например, игнорируя права женщин на общих землях.</w:t>
      </w:r>
    </w:p>
    <w:p w:rsidR="00AB71DC" w:rsidRDefault="00AB71D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DC">
        <w:rPr>
          <w:rFonts w:ascii="Times New Roman" w:hAnsi="Times New Roman" w:cs="Times New Roman"/>
          <w:sz w:val="24"/>
          <w:szCs w:val="24"/>
        </w:rPr>
        <w:t>Прокси F направлена на выявление положений в рамках правовой базы, требующих обязательного участия женщин (квот) в организациях и администрациях, связанных с землепользованием.</w:t>
      </w:r>
    </w:p>
    <w:p w:rsidR="00AB71DC" w:rsidRDefault="00AB71D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DC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B71DC" w:rsidRDefault="00FB0BD0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D0">
        <w:rPr>
          <w:rFonts w:ascii="Times New Roman" w:hAnsi="Times New Roman" w:cs="Times New Roman"/>
          <w:sz w:val="24"/>
          <w:szCs w:val="24"/>
        </w:rPr>
        <w:t>Показатель отслеживает прогресс в правовых реформах, которые гарантируют права женщин на землю (в том числе обычные) с точки зрения собственности и/или контроля.</w:t>
      </w:r>
    </w:p>
    <w:p w:rsidR="00FB0BD0" w:rsidRDefault="00FB0BD0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D0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относится к обычному праву. Включение обычного </w:t>
      </w:r>
      <w:r>
        <w:rPr>
          <w:rFonts w:ascii="Times New Roman" w:hAnsi="Times New Roman" w:cs="Times New Roman"/>
          <w:sz w:val="24"/>
          <w:szCs w:val="24"/>
        </w:rPr>
        <w:t>измерения</w:t>
      </w:r>
      <w:r w:rsidRPr="00FB0BD0">
        <w:rPr>
          <w:rFonts w:ascii="Times New Roman" w:hAnsi="Times New Roman" w:cs="Times New Roman"/>
          <w:sz w:val="24"/>
          <w:szCs w:val="24"/>
        </w:rPr>
        <w:t xml:space="preserve"> в показатель очень важно, поскольку во многих контекстах, в которых преобладают эти системы, права женщин на землю, как правило, отрицаются или не</w:t>
      </w:r>
      <w:r>
        <w:rPr>
          <w:rFonts w:ascii="Times New Roman" w:hAnsi="Times New Roman" w:cs="Times New Roman"/>
          <w:sz w:val="24"/>
          <w:szCs w:val="24"/>
        </w:rPr>
        <w:t xml:space="preserve"> дают безопасности</w:t>
      </w:r>
      <w:r w:rsidRPr="00FB0BD0">
        <w:rPr>
          <w:rFonts w:ascii="Times New Roman" w:hAnsi="Times New Roman" w:cs="Times New Roman"/>
          <w:sz w:val="24"/>
          <w:szCs w:val="24"/>
        </w:rPr>
        <w:t>. Однако огромное разнообразие таможенных и социальных норм, регулирующих обычную землю между странами и их неписаный характер, создает серьезную проблему для оценки того, присутствуют ли прокси в этих системах. Для решения этой проблемы предлагается, чтобы обычное измерение учитывалось только тогда, когда формальная правовая основа признает обычное землевладение.</w:t>
      </w:r>
    </w:p>
    <w:p w:rsidR="00FB0BD0" w:rsidRDefault="00C9299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концов</w:t>
      </w:r>
      <w:r w:rsidRPr="00C92999">
        <w:rPr>
          <w:rFonts w:ascii="Times New Roman" w:hAnsi="Times New Roman" w:cs="Times New Roman"/>
          <w:sz w:val="24"/>
          <w:szCs w:val="24"/>
        </w:rPr>
        <w:t>, по</w:t>
      </w:r>
      <w:r>
        <w:rPr>
          <w:rFonts w:ascii="Times New Roman" w:hAnsi="Times New Roman" w:cs="Times New Roman"/>
          <w:sz w:val="24"/>
          <w:szCs w:val="24"/>
        </w:rPr>
        <w:t>казатель относится к владению и</w:t>
      </w:r>
      <w:r w:rsidRPr="00C92999">
        <w:rPr>
          <w:rFonts w:ascii="Times New Roman" w:hAnsi="Times New Roman" w:cs="Times New Roman"/>
          <w:sz w:val="24"/>
          <w:szCs w:val="24"/>
        </w:rPr>
        <w:t xml:space="preserve">/или контролю земли, которые представляют собой два важных, но разных аспекта, касающихся прав женщин на землю. Земельная собственность относится к юридически признанному праву на приобретение, использование и передачу земельной собственности, а контроль над землей связан с возможностью принимать решения по </w:t>
      </w:r>
      <w:r>
        <w:rPr>
          <w:rFonts w:ascii="Times New Roman" w:hAnsi="Times New Roman" w:cs="Times New Roman"/>
          <w:sz w:val="24"/>
          <w:szCs w:val="24"/>
        </w:rPr>
        <w:t>земле</w:t>
      </w:r>
      <w:r w:rsidRPr="00C92999">
        <w:rPr>
          <w:rFonts w:ascii="Times New Roman" w:hAnsi="Times New Roman" w:cs="Times New Roman"/>
          <w:sz w:val="24"/>
          <w:szCs w:val="24"/>
        </w:rPr>
        <w:t>.</w:t>
      </w:r>
    </w:p>
    <w:p w:rsidR="00C92999" w:rsidRDefault="00C9299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99">
        <w:rPr>
          <w:rFonts w:ascii="Times New Roman" w:hAnsi="Times New Roman" w:cs="Times New Roman"/>
          <w:sz w:val="24"/>
          <w:szCs w:val="24"/>
        </w:rPr>
        <w:t>Ключевы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2999">
        <w:rPr>
          <w:rFonts w:ascii="Times New Roman" w:hAnsi="Times New Roman" w:cs="Times New Roman"/>
          <w:sz w:val="24"/>
          <w:szCs w:val="24"/>
        </w:rPr>
        <w:t xml:space="preserve"> определения</w:t>
      </w:r>
      <w:r w:rsidRPr="00AB71DC">
        <w:rPr>
          <w:rFonts w:ascii="Times New Roman" w:hAnsi="Times New Roman" w:cs="Times New Roman"/>
          <w:sz w:val="24"/>
          <w:szCs w:val="24"/>
        </w:rPr>
        <w:t>:</w:t>
      </w:r>
    </w:p>
    <w:p w:rsidR="00C92999" w:rsidRDefault="00C9299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999">
        <w:rPr>
          <w:rFonts w:ascii="Times New Roman" w:hAnsi="Times New Roman" w:cs="Times New Roman"/>
          <w:b/>
          <w:sz w:val="24"/>
          <w:szCs w:val="24"/>
        </w:rPr>
        <w:t>Земля</w:t>
      </w:r>
    </w:p>
    <w:p w:rsidR="00C92999" w:rsidRDefault="00C9299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99">
        <w:rPr>
          <w:rFonts w:ascii="Times New Roman" w:hAnsi="Times New Roman" w:cs="Times New Roman"/>
          <w:sz w:val="24"/>
          <w:szCs w:val="24"/>
        </w:rPr>
        <w:t>Земля определяется как все недвижимое имущество - например, дом, земля, на которой строится дом, и земля, которая используется для других целей, таких как сельскохозяйственное производство. Он также охватывает любые другие структуры, построенные на земле, для удовлетворения постоянных целей. Правовые рамки обычно используют термины «недвижимое имущество» или «</w:t>
      </w:r>
      <w:r>
        <w:rPr>
          <w:rFonts w:ascii="Times New Roman" w:hAnsi="Times New Roman" w:cs="Times New Roman"/>
          <w:sz w:val="24"/>
          <w:szCs w:val="24"/>
        </w:rPr>
        <w:t>действительное</w:t>
      </w:r>
      <w:r w:rsidRPr="00C92999">
        <w:rPr>
          <w:rFonts w:ascii="Times New Roman" w:hAnsi="Times New Roman" w:cs="Times New Roman"/>
          <w:sz w:val="24"/>
          <w:szCs w:val="24"/>
        </w:rPr>
        <w:t xml:space="preserve"> имущество» при обращении к земле.</w:t>
      </w:r>
    </w:p>
    <w:p w:rsidR="00911C4E" w:rsidRDefault="00911C4E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C4E">
        <w:rPr>
          <w:rFonts w:ascii="Times New Roman" w:hAnsi="Times New Roman" w:cs="Times New Roman"/>
          <w:b/>
          <w:sz w:val="24"/>
          <w:szCs w:val="24"/>
        </w:rPr>
        <w:t>Землевладение</w:t>
      </w:r>
    </w:p>
    <w:p w:rsidR="00911C4E" w:rsidRPr="00911C4E" w:rsidRDefault="00911C4E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4E">
        <w:rPr>
          <w:rFonts w:ascii="Times New Roman" w:hAnsi="Times New Roman" w:cs="Times New Roman"/>
          <w:sz w:val="24"/>
          <w:szCs w:val="24"/>
        </w:rPr>
        <w:t>Землевладение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C4E">
        <w:rPr>
          <w:rFonts w:ascii="Times New Roman" w:hAnsi="Times New Roman" w:cs="Times New Roman"/>
          <w:sz w:val="24"/>
          <w:szCs w:val="24"/>
        </w:rPr>
        <w:t xml:space="preserve">является юридически признанным правом на приобретение, использование и передачу земли. В системах частной собственности это право, похожее на владение жильем. В системах, где земля принадлежит государству, термин «владение землей» относится к владению правами, наиболее схожими с владением в системе частной собственности - например, долгосрочные договоры аренды, </w:t>
      </w:r>
      <w:r w:rsidR="00195A65">
        <w:rPr>
          <w:rFonts w:ascii="Times New Roman" w:hAnsi="Times New Roman" w:cs="Times New Roman"/>
          <w:sz w:val="24"/>
          <w:szCs w:val="24"/>
        </w:rPr>
        <w:t>временное владение, аренда помещения</w:t>
      </w:r>
      <w:r w:rsidRPr="00911C4E">
        <w:rPr>
          <w:rFonts w:ascii="Times New Roman" w:hAnsi="Times New Roman" w:cs="Times New Roman"/>
          <w:sz w:val="24"/>
          <w:szCs w:val="24"/>
        </w:rPr>
        <w:t xml:space="preserve"> или использования, предоставляемые государством, которые передаются и предоставляются пользователям в течение нескольких десятилетий (например, 99 лет).</w:t>
      </w:r>
    </w:p>
    <w:p w:rsidR="00911C4E" w:rsidRDefault="00195A65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A65">
        <w:rPr>
          <w:rFonts w:ascii="Times New Roman" w:hAnsi="Times New Roman" w:cs="Times New Roman"/>
          <w:b/>
          <w:sz w:val="24"/>
          <w:szCs w:val="24"/>
        </w:rPr>
        <w:t>Контроль над землей</w:t>
      </w:r>
    </w:p>
    <w:p w:rsidR="00195A65" w:rsidRDefault="00195A65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65">
        <w:rPr>
          <w:rFonts w:ascii="Times New Roman" w:hAnsi="Times New Roman" w:cs="Times New Roman"/>
          <w:sz w:val="24"/>
          <w:szCs w:val="24"/>
        </w:rPr>
        <w:t xml:space="preserve">Контроль над землей - это способность принимать решения </w:t>
      </w:r>
      <w:r>
        <w:rPr>
          <w:rFonts w:ascii="Times New Roman" w:hAnsi="Times New Roman" w:cs="Times New Roman"/>
          <w:sz w:val="24"/>
          <w:szCs w:val="24"/>
        </w:rPr>
        <w:t>по использованию земли</w:t>
      </w:r>
      <w:r w:rsidRPr="00195A65">
        <w:rPr>
          <w:rFonts w:ascii="Times New Roman" w:hAnsi="Times New Roman" w:cs="Times New Roman"/>
          <w:sz w:val="24"/>
          <w:szCs w:val="24"/>
        </w:rPr>
        <w:t>. Он может включать права на принятие решений о том, как следует использовать землю, в том числе о том, какие посевы должны быть высажены, и в финансовом плане извлекать выгоду из продажи сельскохозяйственных культур</w:t>
      </w:r>
      <w:r w:rsidR="009E147A">
        <w:rPr>
          <w:rFonts w:ascii="Times New Roman" w:hAnsi="Times New Roman" w:cs="Times New Roman"/>
          <w:sz w:val="24"/>
          <w:szCs w:val="24"/>
        </w:rPr>
        <w:t>.</w:t>
      </w:r>
    </w:p>
    <w:p w:rsidR="009E147A" w:rsidRDefault="007F3E2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F3E2C">
        <w:rPr>
          <w:rFonts w:ascii="Times New Roman" w:hAnsi="Times New Roman" w:cs="Times New Roman"/>
          <w:b/>
          <w:sz w:val="24"/>
          <w:szCs w:val="24"/>
        </w:rPr>
        <w:t>бщепринят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F3E2C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9E147A" w:rsidRPr="009E147A">
        <w:rPr>
          <w:rFonts w:ascii="Times New Roman" w:hAnsi="Times New Roman" w:cs="Times New Roman"/>
          <w:b/>
          <w:sz w:val="24"/>
          <w:szCs w:val="24"/>
        </w:rPr>
        <w:t>землепользование</w:t>
      </w:r>
    </w:p>
    <w:p w:rsidR="009E147A" w:rsidRDefault="007F3E2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Общепринятое </w:t>
      </w:r>
      <w:r w:rsidR="009E147A" w:rsidRPr="009E147A">
        <w:rPr>
          <w:rFonts w:ascii="Times New Roman" w:hAnsi="Times New Roman" w:cs="Times New Roman"/>
          <w:sz w:val="24"/>
          <w:szCs w:val="24"/>
        </w:rPr>
        <w:t xml:space="preserve">землепользование определяется как </w:t>
      </w:r>
      <w:r w:rsidR="009E147A">
        <w:rPr>
          <w:rFonts w:ascii="Times New Roman" w:hAnsi="Times New Roman" w:cs="Times New Roman"/>
          <w:sz w:val="24"/>
          <w:szCs w:val="24"/>
        </w:rPr>
        <w:t>свод</w:t>
      </w:r>
      <w:r w:rsidR="009E147A" w:rsidRPr="009E147A">
        <w:rPr>
          <w:rFonts w:ascii="Times New Roman" w:hAnsi="Times New Roman" w:cs="Times New Roman"/>
          <w:sz w:val="24"/>
          <w:szCs w:val="24"/>
        </w:rPr>
        <w:t xml:space="preserve"> правил и институтов, определяющие порядок ведения, управления, использования и осуществления земельных и природных ресурсов в рамках обычных правовых систем.</w:t>
      </w:r>
    </w:p>
    <w:p w:rsidR="007F3E2C" w:rsidRDefault="007F3E2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F3E2C">
        <w:rPr>
          <w:rFonts w:ascii="Times New Roman" w:hAnsi="Times New Roman" w:cs="Times New Roman"/>
          <w:b/>
          <w:sz w:val="24"/>
          <w:szCs w:val="24"/>
        </w:rPr>
        <w:t>бщепринятые правовые системы</w:t>
      </w:r>
    </w:p>
    <w:p w:rsidR="007F3E2C" w:rsidRDefault="007F3E2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2C">
        <w:rPr>
          <w:rFonts w:ascii="Times New Roman" w:hAnsi="Times New Roman" w:cs="Times New Roman"/>
          <w:sz w:val="24"/>
          <w:szCs w:val="24"/>
        </w:rPr>
        <w:lastRenderedPageBreak/>
        <w:t>Общепринятые правовые системы - это системы, которые существуют на местном или общинном уровне, которые не были созданы государством, и которые получают свою легитимность от ценностей и традиций коренной или местной группы. Общепринятые правовые системы могут признаваться или не признаваться национальным законодательством.</w:t>
      </w:r>
    </w:p>
    <w:p w:rsidR="007F3E2C" w:rsidRPr="007F3E2C" w:rsidRDefault="007F3E2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2C">
        <w:rPr>
          <w:rFonts w:ascii="Times New Roman" w:hAnsi="Times New Roman" w:cs="Times New Roman"/>
          <w:b/>
          <w:sz w:val="24"/>
          <w:szCs w:val="24"/>
        </w:rPr>
        <w:t>Правовая и политическая основа</w:t>
      </w:r>
    </w:p>
    <w:p w:rsidR="007F3E2C" w:rsidRDefault="007F3E2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2C">
        <w:rPr>
          <w:rFonts w:ascii="Times New Roman" w:hAnsi="Times New Roman" w:cs="Times New Roman"/>
          <w:sz w:val="24"/>
          <w:szCs w:val="24"/>
        </w:rPr>
        <w:t xml:space="preserve">Правовая и политическая основа охватывает Конституцию, политику, первичное законодательство и вторичное законодательство. Правовая и политическая основа включает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3E2C">
        <w:rPr>
          <w:rFonts w:ascii="Times New Roman" w:hAnsi="Times New Roman" w:cs="Times New Roman"/>
          <w:sz w:val="24"/>
          <w:szCs w:val="24"/>
        </w:rPr>
        <w:t>бщепринятые правовые системы, в которых они были признаны в соответствии с законом.</w:t>
      </w:r>
    </w:p>
    <w:p w:rsidR="007F3E2C" w:rsidRDefault="007F3E2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2C">
        <w:rPr>
          <w:rFonts w:ascii="Times New Roman" w:hAnsi="Times New Roman" w:cs="Times New Roman"/>
          <w:b/>
          <w:sz w:val="24"/>
          <w:szCs w:val="24"/>
        </w:rPr>
        <w:t xml:space="preserve">Личные </w:t>
      </w:r>
      <w:r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7F3E2C" w:rsidRPr="007F3E2C" w:rsidRDefault="007F3E2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2C">
        <w:rPr>
          <w:rFonts w:ascii="Times New Roman" w:hAnsi="Times New Roman" w:cs="Times New Roman"/>
          <w:sz w:val="24"/>
          <w:szCs w:val="24"/>
        </w:rPr>
        <w:t>Личное право определяется как набор кодифицированных правил и норм, применяемых к группе людей, имеющих общую религиозную веру в отношении личных дел. Эти законы обычно охватывают семейные отношения, брак и наследование. Этот термин можно использовать взаимозаменяемо с «религиозными законами».</w:t>
      </w:r>
    </w:p>
    <w:p w:rsidR="007F3E2C" w:rsidRDefault="007F3E2C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2C">
        <w:rPr>
          <w:rFonts w:ascii="Times New Roman" w:hAnsi="Times New Roman" w:cs="Times New Roman"/>
          <w:b/>
          <w:sz w:val="24"/>
          <w:szCs w:val="24"/>
        </w:rPr>
        <w:t>Первичное законодательство</w:t>
      </w:r>
    </w:p>
    <w:p w:rsidR="007F3E2C" w:rsidRPr="007F3E2C" w:rsidRDefault="00A8726E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26E">
        <w:rPr>
          <w:rFonts w:ascii="Times New Roman" w:hAnsi="Times New Roman" w:cs="Times New Roman"/>
          <w:sz w:val="24"/>
          <w:szCs w:val="24"/>
        </w:rPr>
        <w:t xml:space="preserve">Первичное </w:t>
      </w:r>
      <w:r w:rsidR="007F3E2C" w:rsidRPr="007F3E2C">
        <w:rPr>
          <w:rFonts w:ascii="Times New Roman" w:hAnsi="Times New Roman" w:cs="Times New Roman"/>
          <w:sz w:val="24"/>
          <w:szCs w:val="24"/>
        </w:rPr>
        <w:t>законодательство относится к (i) актам или уставам, которые были официально приняты на национальном уровне после официальной парламентской процедуры принятия законов (в парламентских системах); (ii) другие действия на национальном уровне с применением силы, такие, как декреты-законы и законодательные декреты и иным образом (в парламентских системах); (iii) другие юридические документы, которые были официально одобрены законодательным органом, например президентскими и королевскими ордерами или президентскими и королевскими постановлениями (</w:t>
      </w:r>
      <w:r w:rsidRPr="00A8726E">
        <w:rPr>
          <w:rFonts w:ascii="Times New Roman" w:hAnsi="Times New Roman" w:cs="Times New Roman"/>
          <w:sz w:val="24"/>
          <w:szCs w:val="24"/>
        </w:rPr>
        <w:t>в непарламентских системах или системах, где правотворческая власть заключается в дополнительном учреждении в парламенте</w:t>
      </w:r>
      <w:r w:rsidR="007F3E2C" w:rsidRPr="007F3E2C">
        <w:rPr>
          <w:rFonts w:ascii="Times New Roman" w:hAnsi="Times New Roman" w:cs="Times New Roman"/>
          <w:sz w:val="24"/>
          <w:szCs w:val="24"/>
        </w:rPr>
        <w:t>). Во всех случаях первичное законодательство должно иметь силу закона, быть обязательным. Для целей настоящей оценки основное законодательство также включает Конституцию.</w:t>
      </w:r>
    </w:p>
    <w:p w:rsidR="007F3E2C" w:rsidRDefault="00A8726E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26E">
        <w:rPr>
          <w:rFonts w:ascii="Times New Roman" w:hAnsi="Times New Roman" w:cs="Times New Roman"/>
          <w:b/>
          <w:sz w:val="24"/>
          <w:szCs w:val="24"/>
        </w:rPr>
        <w:t>Вторичное законодательство</w:t>
      </w:r>
    </w:p>
    <w:p w:rsidR="00A8726E" w:rsidRPr="00A8726E" w:rsidRDefault="00A8726E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26E">
        <w:rPr>
          <w:rFonts w:ascii="Times New Roman" w:hAnsi="Times New Roman" w:cs="Times New Roman"/>
          <w:sz w:val="24"/>
          <w:szCs w:val="24"/>
        </w:rPr>
        <w:t>Вторичное законодательство включает вспомогательные, делегированные или подчиненные юридические документы, которые имеют силу закона, являются обязательными и не должны противоречить основному законодательству. Обычно они передаются исполнительной властью, такие как национальные правила, правила, подзаконные акты, определения, указания, циркуляры, приказы и исполнительные указы.</w:t>
      </w:r>
    </w:p>
    <w:p w:rsidR="00A8726E" w:rsidRDefault="00A8726E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26E">
        <w:rPr>
          <w:rFonts w:ascii="Times New Roman" w:hAnsi="Times New Roman" w:cs="Times New Roman"/>
          <w:b/>
          <w:sz w:val="24"/>
          <w:szCs w:val="24"/>
        </w:rPr>
        <w:t>Совместная регистрация</w:t>
      </w:r>
    </w:p>
    <w:p w:rsidR="00A8726E" w:rsidRPr="00A8726E" w:rsidRDefault="00A8726E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26E">
        <w:rPr>
          <w:rFonts w:ascii="Times New Roman" w:hAnsi="Times New Roman" w:cs="Times New Roman"/>
          <w:sz w:val="24"/>
          <w:szCs w:val="24"/>
        </w:rPr>
        <w:t xml:space="preserve">Совместная регистрация заключается в том, что имена обоих супругов или обоих партнеров в не состоящей в браке вносятся в земельный кадастр в качестве владельцев или основных пользователей регистрируемой земли. Совместная регистрация означает форму совместного владения землей - обычно либо совместную аренду/размещение, либо общую арендную плату. В правовых системах, которые включают основу для </w:t>
      </w:r>
      <w:r>
        <w:rPr>
          <w:rFonts w:ascii="Times New Roman" w:hAnsi="Times New Roman" w:cs="Times New Roman"/>
          <w:sz w:val="24"/>
          <w:szCs w:val="24"/>
        </w:rPr>
        <w:t>права собственности</w:t>
      </w:r>
      <w:r w:rsidRPr="00A8726E">
        <w:rPr>
          <w:rFonts w:ascii="Times New Roman" w:hAnsi="Times New Roman" w:cs="Times New Roman"/>
          <w:sz w:val="24"/>
          <w:szCs w:val="24"/>
        </w:rPr>
        <w:t xml:space="preserve"> на землю, совместная регистрация обычно называется совместным </w:t>
      </w:r>
      <w:r>
        <w:rPr>
          <w:rFonts w:ascii="Times New Roman" w:hAnsi="Times New Roman" w:cs="Times New Roman"/>
          <w:sz w:val="24"/>
          <w:szCs w:val="24"/>
        </w:rPr>
        <w:t>правом собственности</w:t>
      </w:r>
      <w:r w:rsidRPr="00A8726E">
        <w:rPr>
          <w:rFonts w:ascii="Times New Roman" w:hAnsi="Times New Roman" w:cs="Times New Roman"/>
          <w:sz w:val="24"/>
          <w:szCs w:val="24"/>
        </w:rPr>
        <w:t>.</w:t>
      </w:r>
    </w:p>
    <w:p w:rsidR="00A8726E" w:rsidRDefault="00CE463D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63D">
        <w:rPr>
          <w:rFonts w:ascii="Times New Roman" w:hAnsi="Times New Roman" w:cs="Times New Roman"/>
          <w:b/>
          <w:sz w:val="24"/>
          <w:szCs w:val="24"/>
        </w:rPr>
        <w:t>Неженатые пары</w:t>
      </w:r>
    </w:p>
    <w:p w:rsidR="00CE463D" w:rsidRPr="00CE463D" w:rsidRDefault="00CE463D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63D">
        <w:rPr>
          <w:rFonts w:ascii="Times New Roman" w:hAnsi="Times New Roman" w:cs="Times New Roman"/>
          <w:sz w:val="24"/>
          <w:szCs w:val="24"/>
        </w:rPr>
        <w:lastRenderedPageBreak/>
        <w:t>Неженатые пары определяются как пары, которые живут вместе (сожительство) в интимных отношениях, но не состоящие в браке в соответствии с брачным законодательством страны. Часто это относится к парам, которые были женаты по обычаям или религиозным законам, когда такие браки не признаются или не соответствуют требованиям формального закона. Это может также относиться к отношениям, которые признаются государством, но которые не считаются браком - например, гражданское партнерство и фактическое отношение, которое зарегистрировано государством. Термин «незамужние пары» часто используется взаимозаменяемо с «де-факто союзами», «консенсуальными союзами» или «нерегулярными союзами». Члены незамужней пары называются «партнерами».</w:t>
      </w:r>
    </w:p>
    <w:p w:rsidR="00CE463D" w:rsidRDefault="00CE463D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63D">
        <w:rPr>
          <w:rFonts w:ascii="Times New Roman" w:hAnsi="Times New Roman" w:cs="Times New Roman"/>
          <w:b/>
          <w:sz w:val="24"/>
          <w:szCs w:val="24"/>
        </w:rPr>
        <w:t>Земельные операции</w:t>
      </w:r>
    </w:p>
    <w:p w:rsidR="00CE463D" w:rsidRPr="00CE463D" w:rsidRDefault="00CE463D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63D">
        <w:rPr>
          <w:rFonts w:ascii="Times New Roman" w:hAnsi="Times New Roman" w:cs="Times New Roman"/>
          <w:sz w:val="24"/>
          <w:szCs w:val="24"/>
        </w:rPr>
        <w:t>Земельные операции для целей методологии представляют собой крупные сделки с землей, в частности продажи и обременения (залога) земли.</w:t>
      </w:r>
    </w:p>
    <w:p w:rsidR="00CE463D" w:rsidRDefault="00115AF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Наследование</w:t>
      </w:r>
    </w:p>
    <w:p w:rsidR="00115AF9" w:rsidRPr="00115AF9" w:rsidRDefault="00115AF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AF9">
        <w:rPr>
          <w:rFonts w:ascii="Times New Roman" w:hAnsi="Times New Roman" w:cs="Times New Roman"/>
          <w:sz w:val="24"/>
          <w:szCs w:val="24"/>
        </w:rPr>
        <w:t xml:space="preserve">Наследование определяется как собственность, передаваемая при смерти владельца наследнику или тем, кто имеет право на </w:t>
      </w:r>
      <w:r>
        <w:rPr>
          <w:rFonts w:ascii="Times New Roman" w:hAnsi="Times New Roman" w:cs="Times New Roman"/>
          <w:sz w:val="24"/>
          <w:szCs w:val="24"/>
        </w:rPr>
        <w:t>наследование</w:t>
      </w:r>
      <w:r w:rsidRPr="00115AF9">
        <w:rPr>
          <w:rFonts w:ascii="Times New Roman" w:hAnsi="Times New Roman" w:cs="Times New Roman"/>
          <w:sz w:val="24"/>
          <w:szCs w:val="24"/>
        </w:rPr>
        <w:t>.</w:t>
      </w:r>
    </w:p>
    <w:p w:rsidR="00CE463D" w:rsidRDefault="00115AF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AF9">
        <w:rPr>
          <w:rFonts w:ascii="Times New Roman" w:hAnsi="Times New Roman" w:cs="Times New Roman"/>
          <w:b/>
          <w:sz w:val="24"/>
          <w:szCs w:val="24"/>
        </w:rPr>
        <w:t>Отчужденное имущество</w:t>
      </w:r>
    </w:p>
    <w:p w:rsidR="00115AF9" w:rsidRPr="00115AF9" w:rsidRDefault="00115AF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AF9">
        <w:rPr>
          <w:rFonts w:ascii="Times New Roman" w:hAnsi="Times New Roman" w:cs="Times New Roman"/>
          <w:sz w:val="24"/>
          <w:szCs w:val="24"/>
        </w:rPr>
        <w:t>Отчужденное имущество включает в себя законные права, интересы и права на собственность любого вида (не только землю), которую покойный супруг или партнер пользовался в момент смерти, за вычетом любых обязательств. В зависимости от правовой системы семейное имущество может быть полностью исключено из расчета имущества умершего или в него будет включена 50% доля умершего в супружеской собственности.</w:t>
      </w:r>
    </w:p>
    <w:p w:rsidR="00115AF9" w:rsidRDefault="00115AF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AF9">
        <w:rPr>
          <w:rFonts w:ascii="Times New Roman" w:hAnsi="Times New Roman" w:cs="Times New Roman"/>
          <w:b/>
          <w:sz w:val="24"/>
          <w:szCs w:val="24"/>
        </w:rPr>
        <w:t>Равные права наследования для сыновей и дочерей</w:t>
      </w:r>
    </w:p>
    <w:p w:rsidR="00115AF9" w:rsidRDefault="00115AF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AF9">
        <w:rPr>
          <w:rFonts w:ascii="Times New Roman" w:hAnsi="Times New Roman" w:cs="Times New Roman"/>
          <w:sz w:val="24"/>
          <w:szCs w:val="24"/>
        </w:rPr>
        <w:t xml:space="preserve">Равные права наследования для сыновей и дочерей относятся к ситуации, когда правопреемство в правовой и политической структуре, регулирующей наследование, гласит равенство ранга и долей между братьями и сестрами или между дочерьми и сыновьями или </w:t>
      </w:r>
      <w:r>
        <w:rPr>
          <w:rFonts w:ascii="Times New Roman" w:hAnsi="Times New Roman" w:cs="Times New Roman"/>
          <w:sz w:val="24"/>
          <w:szCs w:val="24"/>
        </w:rPr>
        <w:t>гендерно</w:t>
      </w:r>
      <w:r w:rsidRPr="00115AF9">
        <w:rPr>
          <w:rFonts w:ascii="Times New Roman" w:hAnsi="Times New Roman" w:cs="Times New Roman"/>
          <w:sz w:val="24"/>
          <w:szCs w:val="24"/>
        </w:rPr>
        <w:t xml:space="preserve"> нейтрально.</w:t>
      </w:r>
    </w:p>
    <w:p w:rsidR="00115AF9" w:rsidRDefault="00115AF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AF9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115AF9" w:rsidRPr="00115AF9" w:rsidRDefault="00115AF9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AF9">
        <w:rPr>
          <w:rFonts w:ascii="Times New Roman" w:hAnsi="Times New Roman" w:cs="Times New Roman"/>
          <w:b/>
          <w:sz w:val="24"/>
          <w:szCs w:val="24"/>
        </w:rPr>
        <w:t>Обычное право</w:t>
      </w:r>
      <w:r w:rsidRPr="00115AF9">
        <w:rPr>
          <w:rFonts w:ascii="Times New Roman" w:hAnsi="Times New Roman" w:cs="Times New Roman"/>
          <w:sz w:val="24"/>
          <w:szCs w:val="24"/>
        </w:rPr>
        <w:t xml:space="preserve">. Показатель 5.a.2 влечет за собой важную проблему с точки зрения оценки и расчета результатов, обусловленных ссылкой на обычное право в названии показателя. Обычное право не является однородной правовой системой. Поэтому, если это не будет признано в рамках общей правовой системы, будет крайне сложно контролировать, гарантирует ли обычное право мужчин и женщин равным правам на владение землей и (или) контроль. Чтобы гарантировать осуществимость оценки, выбор методологии состоял в том, чтобы контролировать обычное право в той мере, в какой оно было признано в правовых рамках страны. Это, однако, является основным ограничением для </w:t>
      </w:r>
      <w:r w:rsidR="001255D3">
        <w:rPr>
          <w:rFonts w:ascii="Times New Roman" w:hAnsi="Times New Roman" w:cs="Times New Roman"/>
          <w:sz w:val="24"/>
          <w:szCs w:val="24"/>
        </w:rPr>
        <w:t>ЦУР</w:t>
      </w:r>
      <w:r w:rsidRPr="00115AF9">
        <w:rPr>
          <w:rFonts w:ascii="Times New Roman" w:hAnsi="Times New Roman" w:cs="Times New Roman"/>
          <w:sz w:val="24"/>
          <w:szCs w:val="24"/>
        </w:rPr>
        <w:t xml:space="preserve"> «никого не оставлять», поскольку оно исключает из оценки многие правовые системы, в которых обычная практика, которая не была одобрена в соответствии с законом, которые являются одним из основных факторов дискриминации в от</w:t>
      </w:r>
      <w:r w:rsidR="001255D3">
        <w:rPr>
          <w:rFonts w:ascii="Times New Roman" w:hAnsi="Times New Roman" w:cs="Times New Roman"/>
          <w:sz w:val="24"/>
          <w:szCs w:val="24"/>
        </w:rPr>
        <w:t>ношении женщин.</w:t>
      </w:r>
      <w:r w:rsidRPr="00115AF9">
        <w:rPr>
          <w:rFonts w:ascii="Times New Roman" w:hAnsi="Times New Roman" w:cs="Times New Roman"/>
          <w:sz w:val="24"/>
          <w:szCs w:val="24"/>
        </w:rPr>
        <w:t xml:space="preserve"> Кроме того, учитывая, что обычного права не существует во всех странах, оно не является универсальным, и вычисление результатов представляет собой серьезную проблему. Методология рассмотрела этот вопрос, создав двойную систему расчета результатов, которая позволяет </w:t>
      </w:r>
      <w:r w:rsidRPr="00115AF9">
        <w:rPr>
          <w:rFonts w:ascii="Times New Roman" w:hAnsi="Times New Roman" w:cs="Times New Roman"/>
          <w:sz w:val="24"/>
          <w:szCs w:val="24"/>
        </w:rPr>
        <w:lastRenderedPageBreak/>
        <w:t>отдельно оценивать те системы, в которых было признано обычное право, и те, в которых отсутствует признание обычного права.</w:t>
      </w:r>
    </w:p>
    <w:p w:rsidR="00115AF9" w:rsidRPr="001255D3" w:rsidRDefault="001255D3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D3">
        <w:rPr>
          <w:rFonts w:ascii="Times New Roman" w:hAnsi="Times New Roman" w:cs="Times New Roman"/>
          <w:b/>
          <w:sz w:val="24"/>
          <w:szCs w:val="24"/>
        </w:rPr>
        <w:t xml:space="preserve">Географический охват. </w:t>
      </w:r>
      <w:r w:rsidRPr="001255D3">
        <w:rPr>
          <w:rFonts w:ascii="Times New Roman" w:hAnsi="Times New Roman" w:cs="Times New Roman"/>
          <w:sz w:val="24"/>
          <w:szCs w:val="24"/>
        </w:rPr>
        <w:t xml:space="preserve">Данные, собранные для индикаторов </w:t>
      </w:r>
      <w:r w:rsidR="00496C83">
        <w:rPr>
          <w:rFonts w:ascii="Times New Roman" w:hAnsi="Times New Roman" w:cs="Times New Roman"/>
          <w:sz w:val="24"/>
          <w:szCs w:val="24"/>
        </w:rPr>
        <w:t>ЦУР</w:t>
      </w:r>
      <w:r w:rsidRPr="001255D3">
        <w:rPr>
          <w:rFonts w:ascii="Times New Roman" w:hAnsi="Times New Roman" w:cs="Times New Roman"/>
          <w:sz w:val="24"/>
          <w:szCs w:val="24"/>
        </w:rPr>
        <w:t xml:space="preserve">, собираются на национальном уровне для обеспечения того, чтобы он отражал ситуацию в стране. Это означает, что оценка 5.a.2 для определения существования </w:t>
      </w:r>
      <w:r w:rsidR="002A5C19">
        <w:rPr>
          <w:rFonts w:ascii="Times New Roman" w:hAnsi="Times New Roman" w:cs="Times New Roman"/>
          <w:sz w:val="24"/>
          <w:szCs w:val="24"/>
        </w:rPr>
        <w:t>прокси</w:t>
      </w:r>
      <w:r w:rsidRPr="001255D3">
        <w:rPr>
          <w:rFonts w:ascii="Times New Roman" w:hAnsi="Times New Roman" w:cs="Times New Roman"/>
          <w:sz w:val="24"/>
          <w:szCs w:val="24"/>
        </w:rPr>
        <w:t xml:space="preserve"> должна быть сосредоточена на юридических и политических инструментах, обладающих общенациональной властью. В странах, где правотворчество в отношении земельных или гендерных вопросов не входит в компетенцию национального правительства (или распределяется между национальным правительством и субнациональным правительственным уровнем), может существовать ряд различных государственных/провинциальных или уездных законов и политики, которые могут быть проанализированы. Кроме того, могут возникать несоответствия между этими различными субнациональными законами с точки зрения наличия </w:t>
      </w:r>
      <w:r w:rsidR="002A5C19">
        <w:rPr>
          <w:rFonts w:ascii="Times New Roman" w:hAnsi="Times New Roman" w:cs="Times New Roman"/>
          <w:sz w:val="24"/>
          <w:szCs w:val="24"/>
        </w:rPr>
        <w:t>прокси</w:t>
      </w:r>
      <w:r w:rsidRPr="001255D3">
        <w:rPr>
          <w:rFonts w:ascii="Times New Roman" w:hAnsi="Times New Roman" w:cs="Times New Roman"/>
          <w:sz w:val="24"/>
          <w:szCs w:val="24"/>
        </w:rPr>
        <w:t xml:space="preserve"> и степени его интеграции в правовую и политическую структуру.</w:t>
      </w:r>
    </w:p>
    <w:p w:rsidR="00115AF9" w:rsidRDefault="00496C83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3">
        <w:rPr>
          <w:rFonts w:ascii="Times New Roman" w:hAnsi="Times New Roman" w:cs="Times New Roman"/>
          <w:sz w:val="24"/>
          <w:szCs w:val="24"/>
        </w:rPr>
        <w:t xml:space="preserve">В этом случае оценка должна проводиться как в большинстве штатов, так и в округах, необходимых для покрытия не менее 50 процентов населения всей страны. Поэтому прокси должен располагаться во всех правовых и политических рамках, относящихся к этим местам. Если это не так, прокси </w:t>
      </w:r>
      <w:r>
        <w:rPr>
          <w:rFonts w:ascii="Times New Roman" w:hAnsi="Times New Roman" w:cs="Times New Roman"/>
          <w:sz w:val="24"/>
          <w:szCs w:val="24"/>
        </w:rPr>
        <w:t>не применим.</w:t>
      </w:r>
    </w:p>
    <w:p w:rsidR="00496C83" w:rsidRPr="00496C83" w:rsidRDefault="00496C83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3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115AF9" w:rsidRDefault="00496C83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3">
        <w:rPr>
          <w:rFonts w:ascii="Times New Roman" w:hAnsi="Times New Roman" w:cs="Times New Roman"/>
          <w:sz w:val="24"/>
          <w:szCs w:val="24"/>
        </w:rPr>
        <w:t>Метод расчета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6C83" w:rsidRPr="00496C83" w:rsidRDefault="00496C83" w:rsidP="00496C83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3">
        <w:rPr>
          <w:rFonts w:ascii="Times New Roman" w:hAnsi="Times New Roman" w:cs="Times New Roman"/>
          <w:sz w:val="24"/>
          <w:szCs w:val="24"/>
        </w:rPr>
        <w:t>Качественный и юридический характер этого показателя потребовал разработки тонкой и четко сформулированной методологии, которая могла бы быть осуществимой, универсальной и содержательной.</w:t>
      </w:r>
    </w:p>
    <w:p w:rsidR="00496C83" w:rsidRDefault="00496C83" w:rsidP="00496C83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3">
        <w:rPr>
          <w:rFonts w:ascii="Times New Roman" w:hAnsi="Times New Roman" w:cs="Times New Roman"/>
          <w:sz w:val="24"/>
          <w:szCs w:val="24"/>
        </w:rPr>
        <w:t xml:space="preserve">Вычисление результатов в соответствии с </w:t>
      </w:r>
      <w:r w:rsidR="005C2A9A">
        <w:rPr>
          <w:rFonts w:ascii="Times New Roman" w:hAnsi="Times New Roman" w:cs="Times New Roman"/>
          <w:sz w:val="24"/>
          <w:szCs w:val="24"/>
        </w:rPr>
        <w:t>показателем</w:t>
      </w:r>
      <w:r w:rsidRPr="00496C83">
        <w:rPr>
          <w:rFonts w:ascii="Times New Roman" w:hAnsi="Times New Roman" w:cs="Times New Roman"/>
          <w:sz w:val="24"/>
          <w:szCs w:val="24"/>
        </w:rPr>
        <w:t xml:space="preserve"> 5.a.2 включает в себя три различных этапа: (1) присвоение «стадии регистрации» для каждого </w:t>
      </w:r>
      <w:r w:rsidR="002A5C19">
        <w:rPr>
          <w:rFonts w:ascii="Times New Roman" w:hAnsi="Times New Roman" w:cs="Times New Roman"/>
          <w:sz w:val="24"/>
          <w:szCs w:val="24"/>
        </w:rPr>
        <w:t>прокси</w:t>
      </w:r>
      <w:r w:rsidRPr="00496C83">
        <w:rPr>
          <w:rFonts w:ascii="Times New Roman" w:hAnsi="Times New Roman" w:cs="Times New Roman"/>
          <w:sz w:val="24"/>
          <w:szCs w:val="24"/>
        </w:rPr>
        <w:t xml:space="preserve">, (2) классификация страны по числу </w:t>
      </w:r>
      <w:r w:rsidR="002A5C19">
        <w:rPr>
          <w:rFonts w:ascii="Times New Roman" w:hAnsi="Times New Roman" w:cs="Times New Roman"/>
          <w:sz w:val="24"/>
          <w:szCs w:val="24"/>
        </w:rPr>
        <w:t>прокси</w:t>
      </w:r>
      <w:r w:rsidRPr="00496C83">
        <w:rPr>
          <w:rFonts w:ascii="Times New Roman" w:hAnsi="Times New Roman" w:cs="Times New Roman"/>
          <w:sz w:val="24"/>
          <w:szCs w:val="24"/>
        </w:rPr>
        <w:t xml:space="preserve">, расположенных </w:t>
      </w:r>
      <w:r w:rsidRPr="0027692A">
        <w:rPr>
          <w:rFonts w:ascii="Times New Roman" w:hAnsi="Times New Roman" w:cs="Times New Roman"/>
          <w:b/>
          <w:sz w:val="24"/>
          <w:szCs w:val="24"/>
        </w:rPr>
        <w:t>в первичных или первичных и вторичных законодательствах</w:t>
      </w:r>
      <w:r w:rsidRPr="00496C83">
        <w:rPr>
          <w:rFonts w:ascii="Times New Roman" w:hAnsi="Times New Roman" w:cs="Times New Roman"/>
          <w:sz w:val="24"/>
          <w:szCs w:val="24"/>
        </w:rPr>
        <w:t xml:space="preserve"> и (3) консолидация результатов всех стран для глобальной отчетности.</w:t>
      </w:r>
    </w:p>
    <w:p w:rsidR="005C2A9A" w:rsidRPr="005C2A9A" w:rsidRDefault="005C2A9A" w:rsidP="005C2A9A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9A">
        <w:rPr>
          <w:rFonts w:ascii="Times New Roman" w:hAnsi="Times New Roman" w:cs="Times New Roman"/>
          <w:b/>
          <w:sz w:val="24"/>
          <w:szCs w:val="24"/>
        </w:rPr>
        <w:t>Шаг 1: Назначение этапа регистрации для каждого прокси</w:t>
      </w:r>
    </w:p>
    <w:p w:rsidR="005C2A9A" w:rsidRPr="005C2A9A" w:rsidRDefault="005C2A9A" w:rsidP="005C2A9A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A9A">
        <w:rPr>
          <w:rFonts w:ascii="Times New Roman" w:hAnsi="Times New Roman" w:cs="Times New Roman"/>
          <w:sz w:val="24"/>
          <w:szCs w:val="24"/>
        </w:rPr>
        <w:t xml:space="preserve">Страны собирают информацию для каждого из шести </w:t>
      </w:r>
      <w:r w:rsidR="002A5C19">
        <w:rPr>
          <w:rFonts w:ascii="Times New Roman" w:hAnsi="Times New Roman" w:cs="Times New Roman"/>
          <w:sz w:val="24"/>
          <w:szCs w:val="24"/>
        </w:rPr>
        <w:t>прокси</w:t>
      </w:r>
      <w:r w:rsidRPr="005C2A9A">
        <w:rPr>
          <w:rFonts w:ascii="Times New Roman" w:hAnsi="Times New Roman" w:cs="Times New Roman"/>
          <w:sz w:val="24"/>
          <w:szCs w:val="24"/>
        </w:rPr>
        <w:t>, а затем вычисляются по этапам включения в политическую и правовую базу с использованием шкалы от 0 до 3.</w:t>
      </w:r>
    </w:p>
    <w:p w:rsidR="005C2A9A" w:rsidRPr="005C2A9A" w:rsidRDefault="005C2A9A" w:rsidP="005C2A9A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A9A">
        <w:rPr>
          <w:rFonts w:ascii="Times New Roman" w:hAnsi="Times New Roman" w:cs="Times New Roman"/>
          <w:sz w:val="24"/>
          <w:szCs w:val="24"/>
        </w:rPr>
        <w:t xml:space="preserve">Каждое число относится к этапу включения </w:t>
      </w:r>
      <w:r w:rsidR="002A5C19">
        <w:rPr>
          <w:rFonts w:ascii="Times New Roman" w:hAnsi="Times New Roman" w:cs="Times New Roman"/>
          <w:sz w:val="24"/>
          <w:szCs w:val="24"/>
        </w:rPr>
        <w:t>прокси</w:t>
      </w:r>
      <w:r w:rsidRPr="005C2A9A">
        <w:rPr>
          <w:rFonts w:ascii="Times New Roman" w:hAnsi="Times New Roman" w:cs="Times New Roman"/>
          <w:sz w:val="24"/>
          <w:szCs w:val="24"/>
        </w:rPr>
        <w:t xml:space="preserve"> в политическую и правовую базу, как изложено ниже.</w:t>
      </w:r>
      <w:r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</w:p>
    <w:p w:rsidR="005C2A9A" w:rsidRPr="005C2A9A" w:rsidRDefault="005C2A9A" w:rsidP="005C2A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0: Прокси отсутствует</w:t>
      </w:r>
      <w:r w:rsidRPr="005C2A9A">
        <w:rPr>
          <w:rFonts w:ascii="Times New Roman" w:hAnsi="Times New Roman" w:cs="Times New Roman"/>
          <w:sz w:val="24"/>
          <w:szCs w:val="24"/>
        </w:rPr>
        <w:t xml:space="preserve">/не может быть </w:t>
      </w:r>
      <w:r>
        <w:rPr>
          <w:rFonts w:ascii="Times New Roman" w:hAnsi="Times New Roman" w:cs="Times New Roman"/>
          <w:sz w:val="24"/>
          <w:szCs w:val="24"/>
        </w:rPr>
        <w:t>применен</w:t>
      </w:r>
      <w:r w:rsidRPr="005C2A9A">
        <w:rPr>
          <w:rFonts w:ascii="Times New Roman" w:hAnsi="Times New Roman" w:cs="Times New Roman"/>
          <w:sz w:val="24"/>
          <w:szCs w:val="24"/>
        </w:rPr>
        <w:t xml:space="preserve"> в правовой и политической структуре.</w:t>
      </w:r>
    </w:p>
    <w:p w:rsidR="005C2A9A" w:rsidRPr="005C2A9A" w:rsidRDefault="0027692A" w:rsidP="005C2A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1: С</w:t>
      </w:r>
      <w:r w:rsidR="005C2A9A" w:rsidRPr="005C2A9A">
        <w:rPr>
          <w:rFonts w:ascii="Times New Roman" w:hAnsi="Times New Roman" w:cs="Times New Roman"/>
          <w:sz w:val="24"/>
          <w:szCs w:val="24"/>
        </w:rPr>
        <w:t>уществует политика, включающая прокси.</w:t>
      </w:r>
    </w:p>
    <w:p w:rsidR="005C2A9A" w:rsidRPr="005C2A9A" w:rsidRDefault="0027692A" w:rsidP="005C2A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Этап 2: П</w:t>
      </w:r>
      <w:r w:rsidR="005C2A9A" w:rsidRPr="005C2A9A">
        <w:rPr>
          <w:rFonts w:ascii="Times New Roman" w:hAnsi="Times New Roman" w:cs="Times New Roman"/>
          <w:sz w:val="24"/>
          <w:szCs w:val="24"/>
        </w:rPr>
        <w:t>ервичное законодательство включает в себя прокси</w:t>
      </w:r>
    </w:p>
    <w:p w:rsidR="005C2A9A" w:rsidRPr="005C2A9A" w:rsidRDefault="005C2A9A" w:rsidP="005C2A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A9A">
        <w:rPr>
          <w:rFonts w:ascii="Times New Roman" w:hAnsi="Times New Roman" w:cs="Times New Roman"/>
          <w:sz w:val="24"/>
          <w:szCs w:val="24"/>
        </w:rPr>
        <w:t>Этап 3: Вторичное законодательство содержит прокси</w:t>
      </w:r>
    </w:p>
    <w:p w:rsidR="005C2A9A" w:rsidRDefault="005C2A9A" w:rsidP="005C2A9A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A9A">
        <w:rPr>
          <w:rFonts w:ascii="Times New Roman" w:hAnsi="Times New Roman" w:cs="Times New Roman"/>
          <w:sz w:val="24"/>
          <w:szCs w:val="24"/>
        </w:rPr>
        <w:t>Не применимо (</w:t>
      </w:r>
      <w:r w:rsidR="0027692A">
        <w:rPr>
          <w:rFonts w:ascii="Times New Roman" w:hAnsi="Times New Roman" w:cs="Times New Roman"/>
          <w:sz w:val="24"/>
          <w:szCs w:val="24"/>
        </w:rPr>
        <w:t>НП</w:t>
      </w:r>
      <w:r w:rsidRPr="005C2A9A">
        <w:rPr>
          <w:rFonts w:ascii="Times New Roman" w:hAnsi="Times New Roman" w:cs="Times New Roman"/>
          <w:sz w:val="24"/>
          <w:szCs w:val="24"/>
        </w:rPr>
        <w:t>): прокси не распространяется на страну</w:t>
      </w:r>
    </w:p>
    <w:p w:rsidR="00496C83" w:rsidRDefault="0027692A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92A">
        <w:rPr>
          <w:rFonts w:ascii="Times New Roman" w:hAnsi="Times New Roman" w:cs="Times New Roman"/>
          <w:b/>
          <w:sz w:val="24"/>
          <w:szCs w:val="24"/>
        </w:rPr>
        <w:t>Обратите внимание 1:</w:t>
      </w:r>
      <w:r w:rsidRPr="0027692A">
        <w:rPr>
          <w:rFonts w:ascii="Times New Roman" w:hAnsi="Times New Roman" w:cs="Times New Roman"/>
          <w:sz w:val="24"/>
          <w:szCs w:val="24"/>
        </w:rPr>
        <w:t xml:space="preserve"> Оценка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27692A">
        <w:rPr>
          <w:rFonts w:ascii="Times New Roman" w:hAnsi="Times New Roman" w:cs="Times New Roman"/>
          <w:sz w:val="24"/>
          <w:szCs w:val="24"/>
        </w:rPr>
        <w:t xml:space="preserve"> 5.a.2, как упомянуто выше, также включает анализ политики, поскольку политика является основанием для законов и сигнализирует о важном прогрессе в отношении включения доверенностей в первичное и/или вторичное право. Тем не менее,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276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касается результатов, </w:t>
      </w:r>
      <w:r w:rsidRPr="0027692A">
        <w:rPr>
          <w:rFonts w:ascii="Times New Roman" w:hAnsi="Times New Roman" w:cs="Times New Roman"/>
          <w:sz w:val="24"/>
          <w:szCs w:val="24"/>
        </w:rPr>
        <w:t xml:space="preserve">политика не будет включена в глобальные результаты оценки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27692A">
        <w:rPr>
          <w:rFonts w:ascii="Times New Roman" w:hAnsi="Times New Roman" w:cs="Times New Roman"/>
          <w:sz w:val="24"/>
          <w:szCs w:val="24"/>
        </w:rPr>
        <w:t>. Буд</w:t>
      </w:r>
      <w:r>
        <w:rPr>
          <w:rFonts w:ascii="Times New Roman" w:hAnsi="Times New Roman" w:cs="Times New Roman"/>
          <w:sz w:val="24"/>
          <w:szCs w:val="24"/>
        </w:rPr>
        <w:t>ет рассчитано только то, что она</w:t>
      </w:r>
      <w:r w:rsidRPr="0027692A">
        <w:rPr>
          <w:rFonts w:ascii="Times New Roman" w:hAnsi="Times New Roman" w:cs="Times New Roman"/>
          <w:sz w:val="24"/>
          <w:szCs w:val="24"/>
        </w:rPr>
        <w:t xml:space="preserve"> найдено в обязательных документах, которые находятся в основном законодательстве (этап 2) и/или вторичном законодательстве (этап 3).</w:t>
      </w:r>
    </w:p>
    <w:p w:rsidR="0027692A" w:rsidRPr="0027692A" w:rsidRDefault="0027692A" w:rsidP="0027692A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92A">
        <w:rPr>
          <w:rFonts w:ascii="Times New Roman" w:hAnsi="Times New Roman" w:cs="Times New Roman"/>
          <w:b/>
          <w:sz w:val="24"/>
          <w:szCs w:val="24"/>
        </w:rPr>
        <w:t>Шаг 2: Классификационные категории страны</w:t>
      </w:r>
    </w:p>
    <w:p w:rsidR="0027692A" w:rsidRPr="0027692A" w:rsidRDefault="0027692A" w:rsidP="0027692A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92A">
        <w:rPr>
          <w:rFonts w:ascii="Times New Roman" w:hAnsi="Times New Roman" w:cs="Times New Roman"/>
          <w:sz w:val="24"/>
          <w:szCs w:val="24"/>
        </w:rPr>
        <w:t xml:space="preserve">Затем страна будет классифицироваться в соответствии с общим количеством </w:t>
      </w:r>
      <w:r w:rsidR="00FD7F23">
        <w:rPr>
          <w:rFonts w:ascii="Times New Roman" w:hAnsi="Times New Roman" w:cs="Times New Roman"/>
          <w:sz w:val="24"/>
          <w:szCs w:val="24"/>
        </w:rPr>
        <w:t>пр</w:t>
      </w:r>
      <w:r w:rsidR="002A5C19">
        <w:rPr>
          <w:rFonts w:ascii="Times New Roman" w:hAnsi="Times New Roman" w:cs="Times New Roman"/>
          <w:sz w:val="24"/>
          <w:szCs w:val="24"/>
        </w:rPr>
        <w:t>о</w:t>
      </w:r>
      <w:r w:rsidR="00FD7F23">
        <w:rPr>
          <w:rFonts w:ascii="Times New Roman" w:hAnsi="Times New Roman" w:cs="Times New Roman"/>
          <w:sz w:val="24"/>
          <w:szCs w:val="24"/>
        </w:rPr>
        <w:t>кси</w:t>
      </w:r>
      <w:r w:rsidRPr="0027692A">
        <w:rPr>
          <w:rFonts w:ascii="Times New Roman" w:hAnsi="Times New Roman" w:cs="Times New Roman"/>
          <w:sz w:val="24"/>
          <w:szCs w:val="24"/>
        </w:rPr>
        <w:t>, содержащихся в основном законодательстве или первичном и вторичном законодательстве. Учитывая, что не во всех странах существуют обычные правила владения землей или признается обычное право (относящееся к прокси E), для целей расчета был разработан двухмасштабный (или двойной) подход:</w:t>
      </w:r>
    </w:p>
    <w:p w:rsidR="0027692A" w:rsidRDefault="0027692A" w:rsidP="0027692A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92A">
        <w:rPr>
          <w:rFonts w:ascii="Times New Roman" w:hAnsi="Times New Roman" w:cs="Times New Roman"/>
          <w:sz w:val="24"/>
          <w:szCs w:val="24"/>
        </w:rPr>
        <w:t>Для стран, где обычное землевладение НЕ признается в законодательной базе (</w:t>
      </w:r>
      <w:r w:rsidR="00FD7F23">
        <w:rPr>
          <w:rFonts w:ascii="Times New Roman" w:hAnsi="Times New Roman" w:cs="Times New Roman"/>
          <w:sz w:val="24"/>
          <w:szCs w:val="24"/>
        </w:rPr>
        <w:t>ни</w:t>
      </w:r>
      <w:r w:rsidRPr="0027692A">
        <w:rPr>
          <w:rFonts w:ascii="Times New Roman" w:hAnsi="Times New Roman" w:cs="Times New Roman"/>
          <w:sz w:val="24"/>
          <w:szCs w:val="24"/>
        </w:rPr>
        <w:t xml:space="preserve"> по статуту, ни по конституции), независимо от того, существует ли оно де-факто или нет, </w:t>
      </w:r>
      <w:r w:rsidR="00FD7F23">
        <w:rPr>
          <w:rFonts w:ascii="Times New Roman" w:hAnsi="Times New Roman" w:cs="Times New Roman"/>
          <w:sz w:val="24"/>
          <w:szCs w:val="24"/>
        </w:rPr>
        <w:t>П</w:t>
      </w:r>
      <w:r w:rsidRPr="0027692A">
        <w:rPr>
          <w:rFonts w:ascii="Times New Roman" w:hAnsi="Times New Roman" w:cs="Times New Roman"/>
          <w:sz w:val="24"/>
          <w:szCs w:val="24"/>
        </w:rPr>
        <w:t>рокси</w:t>
      </w:r>
      <w:r w:rsidR="00FD7F23">
        <w:rPr>
          <w:rFonts w:ascii="Times New Roman" w:hAnsi="Times New Roman" w:cs="Times New Roman"/>
          <w:sz w:val="24"/>
          <w:szCs w:val="24"/>
        </w:rPr>
        <w:t xml:space="preserve"> </w:t>
      </w:r>
      <w:r w:rsidRPr="0027692A">
        <w:rPr>
          <w:rFonts w:ascii="Times New Roman" w:hAnsi="Times New Roman" w:cs="Times New Roman"/>
          <w:sz w:val="24"/>
          <w:szCs w:val="24"/>
        </w:rPr>
        <w:t>E обозначается как неприменимый, и страна будет оцениваться из пяти оставшихся прокси.</w:t>
      </w:r>
    </w:p>
    <w:p w:rsidR="00FD7F23" w:rsidRPr="00FD7F23" w:rsidRDefault="00FD7F23" w:rsidP="00FD7F23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F23">
        <w:rPr>
          <w:rFonts w:ascii="Times New Roman" w:hAnsi="Times New Roman" w:cs="Times New Roman"/>
          <w:sz w:val="24"/>
          <w:szCs w:val="24"/>
        </w:rPr>
        <w:t xml:space="preserve">Для стран, где обычное землевладение признано в правовой структуре, страна будет оцениваться по всем шести </w:t>
      </w:r>
      <w:r>
        <w:rPr>
          <w:rFonts w:ascii="Times New Roman" w:hAnsi="Times New Roman" w:cs="Times New Roman"/>
          <w:sz w:val="24"/>
          <w:szCs w:val="24"/>
        </w:rPr>
        <w:t>прокси</w:t>
      </w:r>
      <w:r w:rsidRPr="00FD7F23">
        <w:rPr>
          <w:rFonts w:ascii="Times New Roman" w:hAnsi="Times New Roman" w:cs="Times New Roman"/>
          <w:sz w:val="24"/>
          <w:szCs w:val="24"/>
        </w:rPr>
        <w:t>.</w:t>
      </w:r>
    </w:p>
    <w:p w:rsidR="00FD7F23" w:rsidRDefault="00FD7F23" w:rsidP="00FD7F23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F23">
        <w:rPr>
          <w:rFonts w:ascii="Times New Roman" w:hAnsi="Times New Roman" w:cs="Times New Roman"/>
          <w:sz w:val="24"/>
          <w:szCs w:val="24"/>
        </w:rPr>
        <w:t xml:space="preserve">В приведенной ниже таблице описана классификация двойного подхода и полосы классификации. Как показано ниже, в странах, где применимо обычное право (Прокси E), присутствие пяти или шести прокси включено в одну полосу (диапазон 6 - очень высокий уровень гарантий). Это связано с необходимостью универсального расчета компонента обычного права - компонента </w:t>
      </w:r>
      <w:r w:rsidR="00ED59DD">
        <w:rPr>
          <w:rFonts w:ascii="Times New Roman" w:hAnsi="Times New Roman" w:cs="Times New Roman"/>
          <w:sz w:val="24"/>
          <w:szCs w:val="24"/>
        </w:rPr>
        <w:t>показателя</w:t>
      </w:r>
      <w:r w:rsidRPr="00FD7F23">
        <w:rPr>
          <w:rFonts w:ascii="Times New Roman" w:hAnsi="Times New Roman" w:cs="Times New Roman"/>
          <w:sz w:val="24"/>
          <w:szCs w:val="24"/>
        </w:rPr>
        <w:t>, который сам по себе не является универсальным для всех стран.</w:t>
      </w:r>
    </w:p>
    <w:p w:rsidR="00FD7F23" w:rsidRPr="00FD7F23" w:rsidRDefault="00FD7F23" w:rsidP="00FD7F23">
      <w:pPr>
        <w:pStyle w:val="aa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F23">
        <w:rPr>
          <w:rFonts w:ascii="Times New Roman" w:hAnsi="Times New Roman" w:cs="Times New Roman"/>
          <w:i/>
          <w:sz w:val="24"/>
          <w:szCs w:val="24"/>
        </w:rPr>
        <w:t>Таблица 1: Категории классификации</w:t>
      </w: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FD7F23" w:rsidRPr="008868E0" w:rsidTr="00FD7F23">
        <w:tc>
          <w:tcPr>
            <w:tcW w:w="3190" w:type="dxa"/>
            <w:shd w:val="clear" w:color="auto" w:fill="2E74B5" w:themeFill="accent1" w:themeFillShade="BF"/>
          </w:tcPr>
          <w:p w:rsidR="00FD7F23" w:rsidRPr="008868E0" w:rsidRDefault="00ED59DD" w:rsidP="00ED59DD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8E0">
              <w:rPr>
                <w:rFonts w:ascii="Times New Roman" w:hAnsi="Times New Roman" w:cs="Times New Roman"/>
                <w:b/>
              </w:rPr>
              <w:t>Результаты оценки</w:t>
            </w:r>
          </w:p>
          <w:p w:rsidR="00ED59DD" w:rsidRPr="008868E0" w:rsidRDefault="00ED59DD" w:rsidP="00ED59DD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b/>
              </w:rPr>
              <w:t xml:space="preserve">Где Прокси </w:t>
            </w:r>
            <w:r w:rsidRPr="008868E0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868E0">
              <w:rPr>
                <w:rFonts w:ascii="Times New Roman" w:hAnsi="Times New Roman" w:cs="Times New Roman"/>
                <w:b/>
              </w:rPr>
              <w:t xml:space="preserve"> </w:t>
            </w:r>
            <w:r w:rsidRPr="008868E0">
              <w:rPr>
                <w:rFonts w:ascii="Times New Roman" w:hAnsi="Times New Roman" w:cs="Times New Roman"/>
                <w:b/>
                <w:u w:val="single"/>
              </w:rPr>
              <w:t>применим</w:t>
            </w:r>
            <w:r w:rsidRPr="008868E0">
              <w:rPr>
                <w:rStyle w:val="ad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3190" w:type="dxa"/>
            <w:shd w:val="clear" w:color="auto" w:fill="2E74B5" w:themeFill="accent1" w:themeFillShade="BF"/>
          </w:tcPr>
          <w:p w:rsidR="00ED59DD" w:rsidRPr="008868E0" w:rsidRDefault="00ED59DD" w:rsidP="00ED59DD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8E0">
              <w:rPr>
                <w:rFonts w:ascii="Times New Roman" w:hAnsi="Times New Roman" w:cs="Times New Roman"/>
                <w:b/>
              </w:rPr>
              <w:t>Результаты оценки</w:t>
            </w:r>
          </w:p>
          <w:p w:rsidR="00FD7F23" w:rsidRPr="008868E0" w:rsidRDefault="00ED59DD" w:rsidP="00ED59DD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b/>
              </w:rPr>
              <w:t xml:space="preserve">Где Прокси </w:t>
            </w:r>
            <w:r w:rsidRPr="008868E0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868E0">
              <w:rPr>
                <w:rFonts w:ascii="Times New Roman" w:hAnsi="Times New Roman" w:cs="Times New Roman"/>
                <w:b/>
              </w:rPr>
              <w:t xml:space="preserve"> </w:t>
            </w:r>
            <w:r w:rsidRPr="008868E0">
              <w:rPr>
                <w:rFonts w:ascii="Times New Roman" w:hAnsi="Times New Roman" w:cs="Times New Roman"/>
                <w:b/>
                <w:u w:val="single"/>
              </w:rPr>
              <w:t>не</w:t>
            </w:r>
            <w:r w:rsidRPr="008868E0">
              <w:rPr>
                <w:rFonts w:ascii="Times New Roman" w:hAnsi="Times New Roman" w:cs="Times New Roman"/>
                <w:b/>
              </w:rPr>
              <w:t xml:space="preserve"> применим</w:t>
            </w:r>
          </w:p>
        </w:tc>
        <w:tc>
          <w:tcPr>
            <w:tcW w:w="3191" w:type="dxa"/>
            <w:shd w:val="clear" w:color="auto" w:fill="2E74B5" w:themeFill="accent1" w:themeFillShade="BF"/>
          </w:tcPr>
          <w:p w:rsidR="00FD7F23" w:rsidRPr="008868E0" w:rsidRDefault="00ED59DD" w:rsidP="00ED59DD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8E0">
              <w:rPr>
                <w:rFonts w:ascii="Times New Roman" w:hAnsi="Times New Roman" w:cs="Times New Roman"/>
                <w:b/>
              </w:rPr>
              <w:t>Классификация</w:t>
            </w:r>
          </w:p>
        </w:tc>
      </w:tr>
      <w:tr w:rsidR="00FD7F23" w:rsidRPr="008868E0" w:rsidTr="00FD7F23">
        <w:tc>
          <w:tcPr>
            <w:tcW w:w="3190" w:type="dxa"/>
            <w:shd w:val="clear" w:color="auto" w:fill="2E74B5" w:themeFill="accent1" w:themeFillShade="BF"/>
          </w:tcPr>
          <w:p w:rsidR="00FD7F23" w:rsidRPr="008868E0" w:rsidRDefault="00ED59DD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Ни один из шести Прокси</w:t>
            </w:r>
            <w:r w:rsidRPr="008868E0">
              <w:rPr>
                <w:rFonts w:ascii="Times New Roman" w:hAnsi="Times New Roman" w:cs="Times New Roman"/>
              </w:rPr>
              <w:t xml:space="preserve"> не присутствует в первичн</w:t>
            </w:r>
            <w:r w:rsidR="008868E0" w:rsidRPr="008868E0">
              <w:rPr>
                <w:rFonts w:ascii="Times New Roman" w:hAnsi="Times New Roman" w:cs="Times New Roman"/>
              </w:rPr>
              <w:t>ом</w:t>
            </w:r>
            <w:r w:rsidRPr="008868E0">
              <w:rPr>
                <w:rFonts w:ascii="Times New Roman" w:hAnsi="Times New Roman" w:cs="Times New Roman"/>
              </w:rPr>
              <w:t xml:space="preserve"> или первичных и вторичных законодательствах</w:t>
            </w:r>
          </w:p>
        </w:tc>
        <w:tc>
          <w:tcPr>
            <w:tcW w:w="3190" w:type="dxa"/>
            <w:shd w:val="clear" w:color="auto" w:fill="2E74B5" w:themeFill="accent1" w:themeFillShade="BF"/>
          </w:tcPr>
          <w:p w:rsidR="00FD7F23" w:rsidRPr="008868E0" w:rsidRDefault="00ED59DD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Ни один из пяти Прокси</w:t>
            </w:r>
            <w:r w:rsidRPr="008868E0">
              <w:rPr>
                <w:rFonts w:ascii="Times New Roman" w:hAnsi="Times New Roman" w:cs="Times New Roman"/>
              </w:rPr>
              <w:t xml:space="preserve"> не присутствует в первичн</w:t>
            </w:r>
            <w:r w:rsidR="008868E0" w:rsidRPr="008868E0">
              <w:rPr>
                <w:rFonts w:ascii="Times New Roman" w:hAnsi="Times New Roman" w:cs="Times New Roman"/>
              </w:rPr>
              <w:t>ом</w:t>
            </w:r>
            <w:r w:rsidRPr="008868E0">
              <w:rPr>
                <w:rFonts w:ascii="Times New Roman" w:hAnsi="Times New Roman" w:cs="Times New Roman"/>
              </w:rPr>
              <w:t xml:space="preserve"> или первичных и вторичных законодательствах</w:t>
            </w:r>
          </w:p>
        </w:tc>
        <w:tc>
          <w:tcPr>
            <w:tcW w:w="3191" w:type="dxa"/>
            <w:shd w:val="clear" w:color="auto" w:fill="7030A0"/>
          </w:tcPr>
          <w:p w:rsidR="00FD7F23" w:rsidRPr="008868E0" w:rsidRDefault="00ED59DD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Группа 1</w:t>
            </w:r>
            <w:r w:rsidRPr="008868E0">
              <w:rPr>
                <w:rFonts w:ascii="Times New Roman" w:hAnsi="Times New Roman" w:cs="Times New Roman"/>
              </w:rPr>
              <w:t>: Нет доказательств гарантий гендерного равенства в собственности на землю и/или контроля в правовых рамках.</w:t>
            </w:r>
          </w:p>
        </w:tc>
      </w:tr>
      <w:tr w:rsidR="00FD7F23" w:rsidRPr="008868E0" w:rsidTr="00FD7F23">
        <w:tc>
          <w:tcPr>
            <w:tcW w:w="3190" w:type="dxa"/>
            <w:shd w:val="clear" w:color="auto" w:fill="2E74B5" w:themeFill="accent1" w:themeFillShade="BF"/>
          </w:tcPr>
          <w:p w:rsidR="00FD7F23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Один из Прокси</w:t>
            </w:r>
            <w:r w:rsidRPr="008868E0">
              <w:rPr>
                <w:rFonts w:ascii="Times New Roman" w:hAnsi="Times New Roman" w:cs="Times New Roman"/>
              </w:rPr>
              <w:t>, присутствующих в первичном или первичных и вторичном законодательстве</w:t>
            </w:r>
          </w:p>
        </w:tc>
        <w:tc>
          <w:tcPr>
            <w:tcW w:w="3190" w:type="dxa"/>
            <w:shd w:val="clear" w:color="auto" w:fill="2E74B5" w:themeFill="accent1" w:themeFillShade="BF"/>
          </w:tcPr>
          <w:p w:rsidR="00FD7F23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Один из Прокси</w:t>
            </w:r>
            <w:r w:rsidRPr="008868E0">
              <w:rPr>
                <w:rFonts w:ascii="Times New Roman" w:hAnsi="Times New Roman" w:cs="Times New Roman"/>
              </w:rPr>
              <w:t>, присутствующих в первичном или первичных и вторичном законодательстве</w:t>
            </w:r>
          </w:p>
        </w:tc>
        <w:tc>
          <w:tcPr>
            <w:tcW w:w="3191" w:type="dxa"/>
            <w:shd w:val="clear" w:color="auto" w:fill="FF5050"/>
          </w:tcPr>
          <w:p w:rsidR="00FD7F23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Группа 2</w:t>
            </w:r>
            <w:r w:rsidRPr="008868E0">
              <w:rPr>
                <w:rFonts w:ascii="Times New Roman" w:hAnsi="Times New Roman" w:cs="Times New Roman"/>
              </w:rPr>
              <w:t>: Очень низкие уровни гарантий гендерного равенства в собственности на землю и/или контроля в правовых рамках.</w:t>
            </w:r>
          </w:p>
        </w:tc>
      </w:tr>
      <w:tr w:rsidR="00FD7F23" w:rsidRPr="008868E0" w:rsidTr="00FD7F23">
        <w:tc>
          <w:tcPr>
            <w:tcW w:w="3190" w:type="dxa"/>
            <w:shd w:val="clear" w:color="auto" w:fill="2E74B5" w:themeFill="accent1" w:themeFillShade="BF"/>
          </w:tcPr>
          <w:p w:rsidR="00FD7F23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Два из Прокси</w:t>
            </w:r>
            <w:r w:rsidRPr="008868E0">
              <w:rPr>
                <w:rFonts w:ascii="Times New Roman" w:hAnsi="Times New Roman" w:cs="Times New Roman"/>
              </w:rPr>
              <w:t xml:space="preserve">, </w:t>
            </w:r>
            <w:r w:rsidRPr="008868E0">
              <w:rPr>
                <w:rFonts w:ascii="Times New Roman" w:hAnsi="Times New Roman" w:cs="Times New Roman"/>
              </w:rPr>
              <w:lastRenderedPageBreak/>
              <w:t>присутствующих в первичном или первичных и вторичном законодательстве</w:t>
            </w:r>
          </w:p>
        </w:tc>
        <w:tc>
          <w:tcPr>
            <w:tcW w:w="3190" w:type="dxa"/>
            <w:shd w:val="clear" w:color="auto" w:fill="2E74B5" w:themeFill="accent1" w:themeFillShade="BF"/>
          </w:tcPr>
          <w:p w:rsidR="00FD7F23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lastRenderedPageBreak/>
              <w:t>Два из Прокси</w:t>
            </w:r>
            <w:r w:rsidRPr="008868E0">
              <w:rPr>
                <w:rFonts w:ascii="Times New Roman" w:hAnsi="Times New Roman" w:cs="Times New Roman"/>
              </w:rPr>
              <w:t xml:space="preserve">, </w:t>
            </w:r>
            <w:r w:rsidRPr="008868E0">
              <w:rPr>
                <w:rFonts w:ascii="Times New Roman" w:hAnsi="Times New Roman" w:cs="Times New Roman"/>
              </w:rPr>
              <w:lastRenderedPageBreak/>
              <w:t>присутствующих в первичном или первичных и вторичном законодательстве</w:t>
            </w:r>
          </w:p>
        </w:tc>
        <w:tc>
          <w:tcPr>
            <w:tcW w:w="3191" w:type="dxa"/>
            <w:shd w:val="clear" w:color="auto" w:fill="FF0000"/>
          </w:tcPr>
          <w:p w:rsidR="00FD7F23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lastRenderedPageBreak/>
              <w:t xml:space="preserve">Группа 3: </w:t>
            </w:r>
            <w:r w:rsidRPr="008868E0">
              <w:rPr>
                <w:rFonts w:ascii="Times New Roman" w:hAnsi="Times New Roman" w:cs="Times New Roman"/>
              </w:rPr>
              <w:t xml:space="preserve">Низкие уровни </w:t>
            </w:r>
            <w:r w:rsidRPr="008868E0">
              <w:rPr>
                <w:rFonts w:ascii="Times New Roman" w:hAnsi="Times New Roman" w:cs="Times New Roman"/>
              </w:rPr>
              <w:lastRenderedPageBreak/>
              <w:t>гарантий гендерного равенства в собственности на землю и/или контроля в правовых рамках.</w:t>
            </w:r>
          </w:p>
        </w:tc>
      </w:tr>
      <w:tr w:rsidR="008868E0" w:rsidRPr="008868E0" w:rsidTr="00FD7F23">
        <w:tc>
          <w:tcPr>
            <w:tcW w:w="3190" w:type="dxa"/>
            <w:shd w:val="clear" w:color="auto" w:fill="2E74B5" w:themeFill="accent1" w:themeFillShade="BF"/>
          </w:tcPr>
          <w:p w:rsidR="008868E0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lastRenderedPageBreak/>
              <w:t>Три из Прокси</w:t>
            </w:r>
            <w:r w:rsidRPr="008868E0">
              <w:rPr>
                <w:rFonts w:ascii="Times New Roman" w:hAnsi="Times New Roman" w:cs="Times New Roman"/>
              </w:rPr>
              <w:t>, присутствующих в первичном или первичных и вторичном законодательстве</w:t>
            </w:r>
          </w:p>
        </w:tc>
        <w:tc>
          <w:tcPr>
            <w:tcW w:w="3190" w:type="dxa"/>
            <w:shd w:val="clear" w:color="auto" w:fill="2E74B5" w:themeFill="accent1" w:themeFillShade="BF"/>
          </w:tcPr>
          <w:p w:rsidR="008868E0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Три из Прокси</w:t>
            </w:r>
            <w:r w:rsidRPr="008868E0">
              <w:rPr>
                <w:rFonts w:ascii="Times New Roman" w:hAnsi="Times New Roman" w:cs="Times New Roman"/>
              </w:rPr>
              <w:t>, присутствующих в первичном или первичных и вторичном законодательстве</w:t>
            </w:r>
          </w:p>
        </w:tc>
        <w:tc>
          <w:tcPr>
            <w:tcW w:w="3191" w:type="dxa"/>
            <w:shd w:val="clear" w:color="auto" w:fill="2E74B5" w:themeFill="accent1" w:themeFillShade="BF"/>
          </w:tcPr>
          <w:p w:rsidR="008868E0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Группа 4:</w:t>
            </w:r>
            <w:r w:rsidRPr="008868E0">
              <w:rPr>
                <w:rFonts w:ascii="Times New Roman" w:hAnsi="Times New Roman" w:cs="Times New Roman"/>
              </w:rPr>
              <w:t xml:space="preserve"> Средний уровень гарантий гендерного равенства в собственности на землю и/или контроль в правовых рамках.</w:t>
            </w:r>
          </w:p>
        </w:tc>
      </w:tr>
      <w:tr w:rsidR="008868E0" w:rsidRPr="008868E0" w:rsidTr="00FD7F23">
        <w:tc>
          <w:tcPr>
            <w:tcW w:w="3190" w:type="dxa"/>
            <w:shd w:val="clear" w:color="auto" w:fill="2E74B5" w:themeFill="accent1" w:themeFillShade="BF"/>
          </w:tcPr>
          <w:p w:rsidR="008868E0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Четыре из Прокси</w:t>
            </w:r>
            <w:r w:rsidRPr="008868E0">
              <w:rPr>
                <w:rFonts w:ascii="Times New Roman" w:hAnsi="Times New Roman" w:cs="Times New Roman"/>
              </w:rPr>
              <w:t>, присутствующих в первичном или первичных и вторичном законодательстве</w:t>
            </w:r>
          </w:p>
        </w:tc>
        <w:tc>
          <w:tcPr>
            <w:tcW w:w="3190" w:type="dxa"/>
            <w:shd w:val="clear" w:color="auto" w:fill="2E74B5" w:themeFill="accent1" w:themeFillShade="BF"/>
          </w:tcPr>
          <w:p w:rsidR="008868E0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Четыре из Прокси</w:t>
            </w:r>
            <w:r w:rsidRPr="008868E0">
              <w:rPr>
                <w:rFonts w:ascii="Times New Roman" w:hAnsi="Times New Roman" w:cs="Times New Roman"/>
              </w:rPr>
              <w:t>, присутствующих в первичном или первичных и вторичном законодательстве</w:t>
            </w:r>
          </w:p>
        </w:tc>
        <w:tc>
          <w:tcPr>
            <w:tcW w:w="3191" w:type="dxa"/>
            <w:shd w:val="clear" w:color="auto" w:fill="00B0F0"/>
          </w:tcPr>
          <w:p w:rsidR="008868E0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 xml:space="preserve">Группа 5: </w:t>
            </w:r>
            <w:r w:rsidRPr="008868E0">
              <w:rPr>
                <w:rFonts w:ascii="Times New Roman" w:hAnsi="Times New Roman" w:cs="Times New Roman"/>
              </w:rPr>
              <w:t>Высокий уровень гарантий гендерного равенства в собственности на землю и/или контроль в правовых рамках.</w:t>
            </w:r>
          </w:p>
        </w:tc>
      </w:tr>
      <w:tr w:rsidR="008868E0" w:rsidRPr="008868E0" w:rsidTr="00FD7F23">
        <w:tc>
          <w:tcPr>
            <w:tcW w:w="3190" w:type="dxa"/>
            <w:shd w:val="clear" w:color="auto" w:fill="2E74B5" w:themeFill="accent1" w:themeFillShade="BF"/>
          </w:tcPr>
          <w:p w:rsidR="008868E0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Пять или шесть из Прокси</w:t>
            </w:r>
            <w:r w:rsidRPr="008868E0">
              <w:rPr>
                <w:rFonts w:ascii="Times New Roman" w:hAnsi="Times New Roman" w:cs="Times New Roman"/>
              </w:rPr>
              <w:t>, присутствующих в первичном или первичных и вторичном законодательстве</w:t>
            </w:r>
          </w:p>
        </w:tc>
        <w:tc>
          <w:tcPr>
            <w:tcW w:w="3190" w:type="dxa"/>
            <w:shd w:val="clear" w:color="auto" w:fill="2E74B5" w:themeFill="accent1" w:themeFillShade="BF"/>
          </w:tcPr>
          <w:p w:rsidR="008868E0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Все пять Прокси</w:t>
            </w:r>
            <w:r w:rsidRPr="008868E0">
              <w:rPr>
                <w:rFonts w:ascii="Times New Roman" w:hAnsi="Times New Roman" w:cs="Times New Roman"/>
              </w:rPr>
              <w:t>, присутствующих в первичном или первичных и вторичном законодательстве</w:t>
            </w:r>
          </w:p>
        </w:tc>
        <w:tc>
          <w:tcPr>
            <w:tcW w:w="3191" w:type="dxa"/>
            <w:shd w:val="clear" w:color="auto" w:fill="00B0F0"/>
          </w:tcPr>
          <w:p w:rsidR="008868E0" w:rsidRPr="008868E0" w:rsidRDefault="008868E0" w:rsidP="008868E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8E0">
              <w:rPr>
                <w:rFonts w:ascii="Times New Roman" w:hAnsi="Times New Roman" w:cs="Times New Roman"/>
                <w:u w:val="single"/>
              </w:rPr>
              <w:t>Группа 6</w:t>
            </w:r>
            <w:r w:rsidRPr="008868E0">
              <w:rPr>
                <w:rFonts w:ascii="Times New Roman" w:hAnsi="Times New Roman" w:cs="Times New Roman"/>
              </w:rPr>
              <w:t>: Очень высокий уровень гарантий гендерного равенства в собственности на землю и / или контроль в правовых рамках.</w:t>
            </w:r>
          </w:p>
        </w:tc>
      </w:tr>
    </w:tbl>
    <w:p w:rsidR="00496C83" w:rsidRDefault="00496C83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E0" w:rsidRPr="008868E0" w:rsidRDefault="008868E0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E0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:rsidR="00496C83" w:rsidRDefault="008868E0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8868E0" w:rsidRDefault="008868E0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E0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8868E0" w:rsidRDefault="008868E0" w:rsidP="00CC4640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0">
        <w:rPr>
          <w:rFonts w:ascii="Times New Roman" w:hAnsi="Times New Roman" w:cs="Times New Roman"/>
          <w:sz w:val="24"/>
          <w:szCs w:val="24"/>
        </w:rPr>
        <w:t>Хотя доступность данных обеспечивается, и ожидается, что все страны ООН сообщают об этом, возможно, это не так. Различные страны могут сообщать в разное время, и ничтожно малая доля стран не может во</w:t>
      </w:r>
      <w:r w:rsidR="008C202D">
        <w:rPr>
          <w:rFonts w:ascii="Times New Roman" w:hAnsi="Times New Roman" w:cs="Times New Roman"/>
          <w:sz w:val="24"/>
          <w:szCs w:val="24"/>
        </w:rPr>
        <w:t>обще</w:t>
      </w:r>
      <w:r w:rsidRPr="008868E0">
        <w:rPr>
          <w:rFonts w:ascii="Times New Roman" w:hAnsi="Times New Roman" w:cs="Times New Roman"/>
          <w:sz w:val="24"/>
          <w:szCs w:val="24"/>
        </w:rPr>
        <w:t xml:space="preserve"> сообщать об этом </w:t>
      </w:r>
      <w:r w:rsidR="008C202D">
        <w:rPr>
          <w:rFonts w:ascii="Times New Roman" w:hAnsi="Times New Roman" w:cs="Times New Roman"/>
          <w:sz w:val="24"/>
          <w:szCs w:val="24"/>
        </w:rPr>
        <w:t>показателе</w:t>
      </w:r>
      <w:r w:rsidRPr="008868E0">
        <w:rPr>
          <w:rFonts w:ascii="Times New Roman" w:hAnsi="Times New Roman" w:cs="Times New Roman"/>
          <w:sz w:val="24"/>
          <w:szCs w:val="24"/>
        </w:rPr>
        <w:t xml:space="preserve"> в течение отчетного периода, создавая </w:t>
      </w:r>
      <w:r w:rsidR="008C202D">
        <w:rPr>
          <w:rFonts w:ascii="Times New Roman" w:hAnsi="Times New Roman" w:cs="Times New Roman"/>
          <w:sz w:val="24"/>
          <w:szCs w:val="24"/>
        </w:rPr>
        <w:t>отсутствующие</w:t>
      </w:r>
      <w:r w:rsidRPr="008868E0">
        <w:rPr>
          <w:rFonts w:ascii="Times New Roman" w:hAnsi="Times New Roman" w:cs="Times New Roman"/>
          <w:sz w:val="24"/>
          <w:szCs w:val="24"/>
        </w:rPr>
        <w:t xml:space="preserve"> значения. </w:t>
      </w:r>
      <w:r w:rsidR="008C202D">
        <w:rPr>
          <w:rFonts w:ascii="Times New Roman" w:hAnsi="Times New Roman" w:cs="Times New Roman"/>
          <w:sz w:val="24"/>
          <w:szCs w:val="24"/>
        </w:rPr>
        <w:t>Отсутствующие</w:t>
      </w:r>
      <w:r w:rsidRPr="008868E0">
        <w:rPr>
          <w:rFonts w:ascii="Times New Roman" w:hAnsi="Times New Roman" w:cs="Times New Roman"/>
          <w:sz w:val="24"/>
          <w:szCs w:val="24"/>
        </w:rPr>
        <w:t xml:space="preserve"> значения будут обрабатываться следующим образом:</w:t>
      </w:r>
    </w:p>
    <w:p w:rsidR="008C202D" w:rsidRDefault="008C202D" w:rsidP="008C202D">
      <w:pPr>
        <w:pStyle w:val="a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02D">
        <w:rPr>
          <w:rFonts w:ascii="Times New Roman" w:hAnsi="Times New Roman" w:cs="Times New Roman"/>
          <w:sz w:val="24"/>
          <w:szCs w:val="24"/>
        </w:rPr>
        <w:t>Для стран, которые сообщили только за один период, ФАО не располагает информацией о том, добиваются ли они прогресса в отношении показателя. Однако ФАО может предпринять несколько шагов для решения проблемы с отсутствующими значениями. Во-первых, ФАО может предположить, что за отчетный период не было достигнуто никакого прогресса в отношении показателя. Это довольно разумное предположение, поскольку первичное и вторичное законодательство не меняется быстро. Хотя предположение может быть трудно обоснов</w:t>
      </w:r>
      <w:r>
        <w:rPr>
          <w:rFonts w:ascii="Times New Roman" w:hAnsi="Times New Roman" w:cs="Times New Roman"/>
          <w:sz w:val="24"/>
          <w:szCs w:val="24"/>
        </w:rPr>
        <w:t>анным</w:t>
      </w:r>
      <w:r w:rsidRPr="008C202D">
        <w:rPr>
          <w:rFonts w:ascii="Times New Roman" w:hAnsi="Times New Roman" w:cs="Times New Roman"/>
          <w:sz w:val="24"/>
          <w:szCs w:val="24"/>
        </w:rPr>
        <w:t xml:space="preserve"> в течение более длительного периода времени, скажем, 10 лет, оно должно быть достаточно точным в течение короткого периода времени между двумя отчетными периодами. Чтобы избежать вменения </w:t>
      </w:r>
      <w:r>
        <w:rPr>
          <w:rFonts w:ascii="Times New Roman" w:hAnsi="Times New Roman" w:cs="Times New Roman"/>
          <w:sz w:val="24"/>
          <w:szCs w:val="24"/>
        </w:rPr>
        <w:t>значений</w:t>
      </w:r>
      <w:r w:rsidRPr="008C202D">
        <w:rPr>
          <w:rFonts w:ascii="Times New Roman" w:hAnsi="Times New Roman" w:cs="Times New Roman"/>
          <w:sz w:val="24"/>
          <w:szCs w:val="24"/>
        </w:rPr>
        <w:t xml:space="preserve"> в максимально возможное число случаев, ФАО также предпримет еще один шаг в направлении к странам и на основе ранее представленных метаданных ФАО может попросить их довольно быстро подтвердить, что с момента последнего отчетного периода никаких изменений не произошло.</w:t>
      </w:r>
    </w:p>
    <w:p w:rsidR="008C202D" w:rsidRDefault="008C202D" w:rsidP="008C202D">
      <w:pPr>
        <w:pStyle w:val="a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02D">
        <w:rPr>
          <w:rFonts w:ascii="Times New Roman" w:hAnsi="Times New Roman" w:cs="Times New Roman"/>
          <w:sz w:val="24"/>
          <w:szCs w:val="24"/>
        </w:rPr>
        <w:t xml:space="preserve">Для стран, которые только начинают сообщать позже, скажем, во второй или третий отчетный период, ФАО предпримет попытку попросить страны заполнить данные ретроспективно, если это возможно и будет желательным. На данном этапе неясно, сколько </w:t>
      </w:r>
      <w:r w:rsidRPr="008C202D">
        <w:rPr>
          <w:rFonts w:ascii="Times New Roman" w:hAnsi="Times New Roman" w:cs="Times New Roman"/>
          <w:sz w:val="24"/>
          <w:szCs w:val="24"/>
        </w:rPr>
        <w:lastRenderedPageBreak/>
        <w:t>стран захочет это сделать. Цель ретроспективного завершения метаданных - увеличить имеющиеся данные, чтобы лучше измерить прогресс по показателю.</w:t>
      </w:r>
    </w:p>
    <w:p w:rsidR="008C202D" w:rsidRDefault="008C202D" w:rsidP="008C202D">
      <w:pPr>
        <w:pStyle w:val="a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02D">
        <w:rPr>
          <w:rFonts w:ascii="Times New Roman" w:hAnsi="Times New Roman" w:cs="Times New Roman"/>
          <w:sz w:val="24"/>
          <w:szCs w:val="24"/>
        </w:rPr>
        <w:t xml:space="preserve">Единственный способ включить страны, которые никогда не будут сообщать, - это сгруппировать их в категорию недостающей информации. Это связано с тем, что </w:t>
      </w:r>
      <w:r>
        <w:rPr>
          <w:rFonts w:ascii="Times New Roman" w:hAnsi="Times New Roman" w:cs="Times New Roman"/>
          <w:sz w:val="24"/>
          <w:szCs w:val="24"/>
        </w:rPr>
        <w:t>невозможно предположить что-либо</w:t>
      </w:r>
      <w:r w:rsidRPr="008C202D">
        <w:rPr>
          <w:rFonts w:ascii="Times New Roman" w:hAnsi="Times New Roman" w:cs="Times New Roman"/>
          <w:sz w:val="24"/>
          <w:szCs w:val="24"/>
        </w:rPr>
        <w:t xml:space="preserve"> относительно статуса законов каждой страны. Однако важно отслеживать страны, которые </w:t>
      </w:r>
      <w:r>
        <w:rPr>
          <w:rFonts w:ascii="Times New Roman" w:hAnsi="Times New Roman" w:cs="Times New Roman"/>
          <w:sz w:val="24"/>
          <w:szCs w:val="24"/>
        </w:rPr>
        <w:t xml:space="preserve">скорее </w:t>
      </w:r>
      <w:r w:rsidRPr="008C202D">
        <w:rPr>
          <w:rFonts w:ascii="Times New Roman" w:hAnsi="Times New Roman" w:cs="Times New Roman"/>
          <w:sz w:val="24"/>
          <w:szCs w:val="24"/>
        </w:rPr>
        <w:t>не сообщают, а не ограничивают анализ странами, представляющими отчетность.</w:t>
      </w:r>
    </w:p>
    <w:p w:rsidR="008C202D" w:rsidRDefault="008C202D" w:rsidP="008C202D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02D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8C202D" w:rsidRDefault="008C202D" w:rsidP="008C20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02D">
        <w:rPr>
          <w:rFonts w:ascii="Times New Roman" w:hAnsi="Times New Roman" w:cs="Times New Roman"/>
          <w:sz w:val="24"/>
          <w:szCs w:val="24"/>
        </w:rPr>
        <w:t xml:space="preserve">В каждом отчетном периоде страны, представляющие отчетность, классифицируются в 1 из 6 диапазонов в зависимости от того, сколько прокси присутствуют в </w:t>
      </w:r>
      <w:r>
        <w:rPr>
          <w:rFonts w:ascii="Times New Roman" w:hAnsi="Times New Roman" w:cs="Times New Roman"/>
          <w:sz w:val="24"/>
          <w:szCs w:val="24"/>
        </w:rPr>
        <w:t>первичном</w:t>
      </w:r>
      <w:r w:rsidRPr="008C202D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первичном</w:t>
      </w:r>
      <w:r w:rsidRPr="008C202D">
        <w:rPr>
          <w:rFonts w:ascii="Times New Roman" w:hAnsi="Times New Roman" w:cs="Times New Roman"/>
          <w:sz w:val="24"/>
          <w:szCs w:val="24"/>
        </w:rPr>
        <w:t xml:space="preserve"> и вторичном законодательстве, как указано в таблице 1. Доля стран в каждой группе оценивается в каждом году с использованием следующ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C202D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C202D">
        <w:rPr>
          <w:rFonts w:ascii="Times New Roman" w:hAnsi="Times New Roman" w:cs="Times New Roman"/>
          <w:sz w:val="24"/>
          <w:szCs w:val="24"/>
        </w:rPr>
        <w:t>:</w:t>
      </w:r>
    </w:p>
    <w:p w:rsidR="008C202D" w:rsidRPr="000A443B" w:rsidRDefault="008C202D" w:rsidP="008C202D">
      <w:pPr>
        <w:pStyle w:val="aa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1)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Общее число стран в группе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Общее число стран</m:t>
              </m:r>
            </m:den>
          </m:f>
        </m:oMath>
      </m:oMathPara>
    </w:p>
    <w:p w:rsidR="000A443B" w:rsidRPr="008C202D" w:rsidRDefault="000A443B" w:rsidP="008C20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3B">
        <w:rPr>
          <w:rFonts w:ascii="Times New Roman" w:hAnsi="Times New Roman" w:cs="Times New Roman"/>
          <w:sz w:val="24"/>
          <w:szCs w:val="24"/>
        </w:rPr>
        <w:t xml:space="preserve">Поскольку в настоящее время отсутствует </w:t>
      </w:r>
      <w:r>
        <w:rPr>
          <w:rFonts w:ascii="Times New Roman" w:hAnsi="Times New Roman" w:cs="Times New Roman"/>
          <w:sz w:val="24"/>
          <w:szCs w:val="24"/>
        </w:rPr>
        <w:t>обработка</w:t>
      </w:r>
      <w:r w:rsidRPr="000A443B">
        <w:rPr>
          <w:rFonts w:ascii="Times New Roman" w:hAnsi="Times New Roman" w:cs="Times New Roman"/>
          <w:sz w:val="24"/>
          <w:szCs w:val="24"/>
        </w:rPr>
        <w:t xml:space="preserve"> отсутствующи</w:t>
      </w:r>
      <w:r>
        <w:rPr>
          <w:rFonts w:ascii="Times New Roman" w:hAnsi="Times New Roman" w:cs="Times New Roman"/>
          <w:sz w:val="24"/>
          <w:szCs w:val="24"/>
        </w:rPr>
        <w:t>х значений</w:t>
      </w:r>
      <w:r w:rsidRPr="000A443B">
        <w:rPr>
          <w:rFonts w:ascii="Times New Roman" w:hAnsi="Times New Roman" w:cs="Times New Roman"/>
          <w:sz w:val="24"/>
          <w:szCs w:val="24"/>
        </w:rPr>
        <w:t xml:space="preserve"> на уровне</w:t>
      </w:r>
      <w:r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0A443B">
        <w:rPr>
          <w:rFonts w:ascii="Times New Roman" w:hAnsi="Times New Roman" w:cs="Times New Roman"/>
          <w:sz w:val="24"/>
          <w:szCs w:val="24"/>
        </w:rPr>
        <w:t xml:space="preserve">, региональные и глобальные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0A443B">
        <w:rPr>
          <w:rFonts w:ascii="Times New Roman" w:hAnsi="Times New Roman" w:cs="Times New Roman"/>
          <w:sz w:val="24"/>
          <w:szCs w:val="24"/>
        </w:rPr>
        <w:t xml:space="preserve"> будут основываться исключительно на тех странах, для которых имеются данные. Это может привести к тому, что пользователи будут интерпретировать эти совокупности применительно ко всем странам региона, что эквивалентно рассмотрению стран с отсутствующими данными, как если бы они были такими же, как те, для которых имеются данные.</w:t>
      </w:r>
    </w:p>
    <w:p w:rsidR="008C202D" w:rsidRDefault="000A443B" w:rsidP="008C20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3B">
        <w:rPr>
          <w:rFonts w:ascii="Times New Roman" w:hAnsi="Times New Roman" w:cs="Times New Roman"/>
          <w:sz w:val="24"/>
          <w:szCs w:val="24"/>
        </w:rPr>
        <w:t xml:space="preserve">В первый ожидаемый отчетный период, который составляет 2018 год, у нас будет только один пункт данных для каждой страны. В первом отчетном периоде мы можем только измерять и сообщать </w:t>
      </w:r>
      <w:r>
        <w:rPr>
          <w:rFonts w:ascii="Times New Roman" w:hAnsi="Times New Roman" w:cs="Times New Roman"/>
          <w:sz w:val="24"/>
          <w:szCs w:val="24"/>
        </w:rPr>
        <w:t>об доли</w:t>
      </w:r>
      <w:r w:rsidRPr="000A443B">
        <w:rPr>
          <w:rFonts w:ascii="Times New Roman" w:hAnsi="Times New Roman" w:cs="Times New Roman"/>
          <w:sz w:val="24"/>
          <w:szCs w:val="24"/>
        </w:rPr>
        <w:t xml:space="preserve"> стран в каждой из 6 групп, а также долю стран, которые еще не сообщили. Этот первый отчетный период также послужит базой, на основе которой будет измеряться будущий прогресс.</w:t>
      </w:r>
    </w:p>
    <w:p w:rsidR="000A443B" w:rsidRDefault="000A443B" w:rsidP="008C202D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3B">
        <w:rPr>
          <w:rFonts w:ascii="Times New Roman" w:hAnsi="Times New Roman" w:cs="Times New Roman"/>
          <w:sz w:val="24"/>
          <w:szCs w:val="24"/>
        </w:rPr>
        <w:t xml:space="preserve">Впоследствии мы предоставим отчет о ходе работы, в котором будут классифицированы страны в зависимости от того, </w:t>
      </w:r>
      <w:r>
        <w:rPr>
          <w:rFonts w:ascii="Times New Roman" w:hAnsi="Times New Roman" w:cs="Times New Roman"/>
          <w:sz w:val="24"/>
          <w:szCs w:val="24"/>
        </w:rPr>
        <w:t>был ли достигнут какой-либо прогресс</w:t>
      </w:r>
      <w:r w:rsidRPr="000A443B">
        <w:rPr>
          <w:rFonts w:ascii="Times New Roman" w:hAnsi="Times New Roman" w:cs="Times New Roman"/>
          <w:sz w:val="24"/>
          <w:szCs w:val="24"/>
        </w:rPr>
        <w:t xml:space="preserve"> (продвижение групп)</w:t>
      </w:r>
    </w:p>
    <w:p w:rsidR="000A443B" w:rsidRDefault="000A443B" w:rsidP="000A443B">
      <w:pPr>
        <w:pStyle w:val="a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3B">
        <w:rPr>
          <w:rFonts w:ascii="Times New Roman" w:hAnsi="Times New Roman" w:cs="Times New Roman"/>
          <w:sz w:val="24"/>
          <w:szCs w:val="24"/>
        </w:rPr>
        <w:t xml:space="preserve">Достигнуты достаточные гарантии равных прав женщин на владение землей: процент стран, которые остались в 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Pr="000A443B">
        <w:rPr>
          <w:rFonts w:ascii="Times New Roman" w:hAnsi="Times New Roman" w:cs="Times New Roman"/>
          <w:sz w:val="24"/>
          <w:szCs w:val="24"/>
        </w:rPr>
        <w:t xml:space="preserve"> 5 или 6, или которые перешли в </w:t>
      </w:r>
      <w:r>
        <w:rPr>
          <w:rFonts w:ascii="Times New Roman" w:hAnsi="Times New Roman" w:cs="Times New Roman"/>
          <w:sz w:val="24"/>
          <w:szCs w:val="24"/>
        </w:rPr>
        <w:t>группу</w:t>
      </w:r>
      <w:r w:rsidRPr="000A443B">
        <w:rPr>
          <w:rFonts w:ascii="Times New Roman" w:hAnsi="Times New Roman" w:cs="Times New Roman"/>
          <w:sz w:val="24"/>
          <w:szCs w:val="24"/>
        </w:rPr>
        <w:t xml:space="preserve"> 5 или 6 в отчетный период (которые являются самыми высокими </w:t>
      </w:r>
      <w:r>
        <w:rPr>
          <w:rFonts w:ascii="Times New Roman" w:hAnsi="Times New Roman" w:cs="Times New Roman"/>
          <w:sz w:val="24"/>
          <w:szCs w:val="24"/>
        </w:rPr>
        <w:t>группами</w:t>
      </w:r>
      <w:r w:rsidRPr="000A443B">
        <w:rPr>
          <w:rFonts w:ascii="Times New Roman" w:hAnsi="Times New Roman" w:cs="Times New Roman"/>
          <w:sz w:val="24"/>
          <w:szCs w:val="24"/>
        </w:rPr>
        <w:t xml:space="preserve">, и поэтому дальнейший прогресс невозможен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0A443B">
        <w:rPr>
          <w:rFonts w:ascii="Times New Roman" w:hAnsi="Times New Roman" w:cs="Times New Roman"/>
          <w:sz w:val="24"/>
          <w:szCs w:val="24"/>
        </w:rPr>
        <w:t>методологи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443B">
        <w:rPr>
          <w:rFonts w:ascii="Times New Roman" w:hAnsi="Times New Roman" w:cs="Times New Roman"/>
          <w:sz w:val="24"/>
          <w:szCs w:val="24"/>
        </w:rPr>
        <w:t>).</w:t>
      </w:r>
    </w:p>
    <w:p w:rsidR="000A443B" w:rsidRDefault="00113FCF" w:rsidP="00113FCF">
      <w:pPr>
        <w:pStyle w:val="a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CF">
        <w:rPr>
          <w:rFonts w:ascii="Times New Roman" w:hAnsi="Times New Roman" w:cs="Times New Roman"/>
          <w:sz w:val="24"/>
          <w:szCs w:val="24"/>
        </w:rPr>
        <w:t xml:space="preserve">Достижение прогресса (или </w:t>
      </w:r>
      <w:r>
        <w:rPr>
          <w:rFonts w:ascii="Times New Roman" w:hAnsi="Times New Roman" w:cs="Times New Roman"/>
          <w:sz w:val="24"/>
          <w:szCs w:val="24"/>
        </w:rPr>
        <w:t>на пути</w:t>
      </w:r>
      <w:r w:rsidRPr="00113FCF">
        <w:rPr>
          <w:rFonts w:ascii="Times New Roman" w:hAnsi="Times New Roman" w:cs="Times New Roman"/>
          <w:sz w:val="24"/>
          <w:szCs w:val="24"/>
        </w:rPr>
        <w:t xml:space="preserve">): процент стран, которые поднялись по крайней мере на одну группу за отчетный период, но пока не достигли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113FCF">
        <w:rPr>
          <w:rFonts w:ascii="Times New Roman" w:hAnsi="Times New Roman" w:cs="Times New Roman"/>
          <w:sz w:val="24"/>
          <w:szCs w:val="24"/>
        </w:rPr>
        <w:t xml:space="preserve"> 5 или 6.</w:t>
      </w:r>
    </w:p>
    <w:p w:rsidR="00113FCF" w:rsidRDefault="00113FCF" w:rsidP="00113FCF">
      <w:pPr>
        <w:pStyle w:val="a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CF">
        <w:rPr>
          <w:rFonts w:ascii="Times New Roman" w:hAnsi="Times New Roman" w:cs="Times New Roman"/>
          <w:sz w:val="24"/>
          <w:szCs w:val="24"/>
        </w:rPr>
        <w:t xml:space="preserve">Не сообщалось о прогрессе: процент стран (из 193 стран), которые не сообщили о прогрессе в </w:t>
      </w:r>
      <w:r>
        <w:rPr>
          <w:rFonts w:ascii="Times New Roman" w:hAnsi="Times New Roman" w:cs="Times New Roman"/>
          <w:sz w:val="24"/>
          <w:szCs w:val="24"/>
        </w:rPr>
        <w:t>группах</w:t>
      </w:r>
      <w:r w:rsidRPr="00113FCF">
        <w:rPr>
          <w:rFonts w:ascii="Times New Roman" w:hAnsi="Times New Roman" w:cs="Times New Roman"/>
          <w:sz w:val="24"/>
          <w:szCs w:val="24"/>
        </w:rPr>
        <w:t xml:space="preserve"> 0, 1, 2, 3 или 4 или которые сообщили только один раз, и, следовательно, прогресс не бы</w:t>
      </w:r>
      <w:r>
        <w:rPr>
          <w:rFonts w:ascii="Times New Roman" w:hAnsi="Times New Roman" w:cs="Times New Roman"/>
          <w:sz w:val="24"/>
          <w:szCs w:val="24"/>
        </w:rPr>
        <w:t>л достигнут (по предположению).</w:t>
      </w:r>
    </w:p>
    <w:p w:rsidR="00113FCF" w:rsidRDefault="00113FCF" w:rsidP="00113FCF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CF">
        <w:rPr>
          <w:rFonts w:ascii="Times New Roman" w:hAnsi="Times New Roman" w:cs="Times New Roman"/>
          <w:sz w:val="24"/>
          <w:szCs w:val="24"/>
        </w:rPr>
        <w:t>Получение сопоставимых на международном уровне данн</w:t>
      </w:r>
      <w:r>
        <w:rPr>
          <w:rFonts w:ascii="Times New Roman" w:hAnsi="Times New Roman" w:cs="Times New Roman"/>
          <w:sz w:val="24"/>
          <w:szCs w:val="24"/>
        </w:rPr>
        <w:t>ых для глобального мониторинга:</w:t>
      </w:r>
    </w:p>
    <w:p w:rsidR="00113FCF" w:rsidRDefault="00113FCF" w:rsidP="00113FCF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CF">
        <w:rPr>
          <w:rFonts w:ascii="Times New Roman" w:hAnsi="Times New Roman" w:cs="Times New Roman"/>
          <w:sz w:val="24"/>
          <w:szCs w:val="24"/>
        </w:rPr>
        <w:lastRenderedPageBreak/>
        <w:t>Как отмечалось выше, делегированные национальные учреждения будут нести ответственность за проведение правовой оценки на национальном уровне. Рекомендуется, чтобы результаты окончательной оценки были широко распространены и подтверждены в соответствии с разделом соответствующих учреждений до окончательного представления в ФАО.</w:t>
      </w:r>
    </w:p>
    <w:p w:rsidR="00113FCF" w:rsidRDefault="00113FCF" w:rsidP="00113FCF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CF">
        <w:rPr>
          <w:rFonts w:ascii="Times New Roman" w:hAnsi="Times New Roman" w:cs="Times New Roman"/>
          <w:sz w:val="24"/>
          <w:szCs w:val="24"/>
        </w:rPr>
        <w:t xml:space="preserve">И национальный эксперт(ы) по вопросам права, и учреждения, проводящие оценку, и группа ФАО по гендерным вопросам и правам на землю будут следовать подробным Руководящим принципам при оценке наличия или отсутствия </w:t>
      </w:r>
      <w:r w:rsidR="008957EC">
        <w:rPr>
          <w:rFonts w:ascii="Times New Roman" w:hAnsi="Times New Roman" w:cs="Times New Roman"/>
          <w:sz w:val="24"/>
          <w:szCs w:val="24"/>
        </w:rPr>
        <w:t>прокси</w:t>
      </w:r>
      <w:r w:rsidRPr="00113FCF">
        <w:rPr>
          <w:rFonts w:ascii="Times New Roman" w:hAnsi="Times New Roman" w:cs="Times New Roman"/>
          <w:sz w:val="24"/>
          <w:szCs w:val="24"/>
        </w:rPr>
        <w:t xml:space="preserve"> в правовой структуре. Подробные руководящие принципы являются механизмом обеспечения надежности и сопоставимости данных, собранных на национальном уровне, и обеспечения того, чтобы подобные ситуации рассматривались. Первоначальные исследования в области права и процесс пилотирования были неоценимы в определении порога каждого </w:t>
      </w:r>
      <w:r w:rsidR="008957EC">
        <w:rPr>
          <w:rFonts w:ascii="Times New Roman" w:hAnsi="Times New Roman" w:cs="Times New Roman"/>
          <w:sz w:val="24"/>
          <w:szCs w:val="24"/>
        </w:rPr>
        <w:t>прокси</w:t>
      </w:r>
      <w:r w:rsidRPr="00113FCF">
        <w:rPr>
          <w:rFonts w:ascii="Times New Roman" w:hAnsi="Times New Roman" w:cs="Times New Roman"/>
          <w:sz w:val="24"/>
          <w:szCs w:val="24"/>
        </w:rPr>
        <w:t xml:space="preserve"> и обеспечении справедливого отношения к этой стране в соответствии с методологией с точки зрения различных способов, которыми прокси могут появляться в национальном законодательстве. Хорошим примером этого является прокси B, супружеское согласие на сделки с землей, в соответствии с которыми в Руководящих принципах указывается, какой тип правовых положений соответствует пороговому значению прокси, с уделением особого внимания трем различным режимам брака - отдельной, частичной общинной или общинной собственности. </w:t>
      </w:r>
      <w:r w:rsidR="008957EC">
        <w:rPr>
          <w:rFonts w:ascii="Times New Roman" w:hAnsi="Times New Roman" w:cs="Times New Roman"/>
          <w:sz w:val="24"/>
          <w:szCs w:val="24"/>
        </w:rPr>
        <w:t>Аналогичным образом</w:t>
      </w:r>
      <w:r w:rsidRPr="00113FCF">
        <w:rPr>
          <w:rFonts w:ascii="Times New Roman" w:hAnsi="Times New Roman" w:cs="Times New Roman"/>
          <w:sz w:val="24"/>
          <w:szCs w:val="24"/>
        </w:rPr>
        <w:t xml:space="preserve">, методика дает четкие указания о том, как </w:t>
      </w:r>
      <w:r w:rsidR="008957EC">
        <w:rPr>
          <w:rFonts w:ascii="Times New Roman" w:hAnsi="Times New Roman" w:cs="Times New Roman"/>
          <w:sz w:val="24"/>
          <w:szCs w:val="24"/>
        </w:rPr>
        <w:t>пересматривать</w:t>
      </w:r>
      <w:r w:rsidRPr="00113FCF">
        <w:rPr>
          <w:rFonts w:ascii="Times New Roman" w:hAnsi="Times New Roman" w:cs="Times New Roman"/>
          <w:sz w:val="24"/>
          <w:szCs w:val="24"/>
        </w:rPr>
        <w:t xml:space="preserve"> правовые режимы, которые не предусматривают частную собственность - путем предоставления примеров того, </w:t>
      </w:r>
      <w:r w:rsidR="008957EC" w:rsidRPr="008957EC">
        <w:rPr>
          <w:rFonts w:ascii="Times New Roman" w:hAnsi="Times New Roman" w:cs="Times New Roman"/>
          <w:sz w:val="24"/>
          <w:szCs w:val="24"/>
        </w:rPr>
        <w:t>какой тип «собственности» будет соответствовать эквиваленту</w:t>
      </w:r>
      <w:r w:rsidR="008957EC">
        <w:rPr>
          <w:rFonts w:ascii="Times New Roman" w:hAnsi="Times New Roman" w:cs="Times New Roman"/>
          <w:sz w:val="24"/>
          <w:szCs w:val="24"/>
        </w:rPr>
        <w:t xml:space="preserve"> </w:t>
      </w:r>
      <w:r w:rsidR="008957EC" w:rsidRPr="008957EC">
        <w:rPr>
          <w:rFonts w:ascii="Times New Roman" w:hAnsi="Times New Roman" w:cs="Times New Roman"/>
          <w:sz w:val="24"/>
          <w:szCs w:val="24"/>
        </w:rPr>
        <w:t>собственности на собственность в системах, где все земли принадлежат государству</w:t>
      </w:r>
      <w:r w:rsidR="008957EC">
        <w:rPr>
          <w:rFonts w:ascii="Times New Roman" w:hAnsi="Times New Roman" w:cs="Times New Roman"/>
          <w:sz w:val="24"/>
          <w:szCs w:val="24"/>
        </w:rPr>
        <w:t>.</w:t>
      </w:r>
    </w:p>
    <w:p w:rsidR="008957EC" w:rsidRDefault="008957EC" w:rsidP="00113FCF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7EC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8957EC" w:rsidRDefault="008957EC" w:rsidP="00113FCF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EC">
        <w:rPr>
          <w:rFonts w:ascii="Times New Roman" w:hAnsi="Times New Roman" w:cs="Times New Roman"/>
          <w:sz w:val="24"/>
          <w:szCs w:val="24"/>
        </w:rPr>
        <w:t>Не доступно</w:t>
      </w:r>
    </w:p>
    <w:p w:rsidR="008957EC" w:rsidRDefault="008957EC" w:rsidP="00113FCF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EC">
        <w:rPr>
          <w:rFonts w:ascii="Times New Roman" w:hAnsi="Times New Roman" w:cs="Times New Roman"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8957EC" w:rsidRDefault="008957EC" w:rsidP="008957EC">
      <w:pPr>
        <w:pStyle w:val="a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EC">
        <w:rPr>
          <w:rFonts w:ascii="Times New Roman" w:hAnsi="Times New Roman" w:cs="Times New Roman"/>
          <w:sz w:val="24"/>
          <w:szCs w:val="24"/>
        </w:rPr>
        <w:t>Не доступно</w:t>
      </w:r>
    </w:p>
    <w:p w:rsidR="008957EC" w:rsidRDefault="008957EC" w:rsidP="00113FCF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качества:</w:t>
      </w:r>
    </w:p>
    <w:p w:rsidR="008957EC" w:rsidRDefault="008957EC" w:rsidP="008957EC">
      <w:pPr>
        <w:pStyle w:val="a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EC">
        <w:rPr>
          <w:rFonts w:ascii="Times New Roman" w:hAnsi="Times New Roman" w:cs="Times New Roman"/>
          <w:sz w:val="24"/>
          <w:szCs w:val="24"/>
        </w:rPr>
        <w:t>Не доступно</w:t>
      </w:r>
    </w:p>
    <w:p w:rsidR="008957EC" w:rsidRPr="008957EC" w:rsidRDefault="008957EC" w:rsidP="008957EC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7EC">
        <w:rPr>
          <w:rFonts w:ascii="Times New Roman" w:hAnsi="Times New Roman" w:cs="Times New Roman"/>
          <w:b/>
          <w:sz w:val="24"/>
          <w:szCs w:val="24"/>
        </w:rPr>
        <w:t>Источник данных</w:t>
      </w:r>
    </w:p>
    <w:p w:rsidR="008957EC" w:rsidRDefault="008957EC" w:rsidP="00113FCF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EC">
        <w:rPr>
          <w:rFonts w:ascii="Times New Roman" w:hAnsi="Times New Roman" w:cs="Times New Roman"/>
          <w:sz w:val="24"/>
          <w:szCs w:val="24"/>
        </w:rPr>
        <w:t>Источники и сбор данных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57EC" w:rsidRDefault="008957EC" w:rsidP="00113FCF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EC">
        <w:rPr>
          <w:rFonts w:ascii="Times New Roman" w:hAnsi="Times New Roman" w:cs="Times New Roman"/>
          <w:sz w:val="24"/>
          <w:szCs w:val="24"/>
        </w:rPr>
        <w:t>Источниками данных для измерения показателя 5.а.2 являются официальные версии национальной политики, первичного права и вторичного законодательства, которые должны быть общедоступными. Более конкретно, соответствующие законы включают следующее: земля, семья, брак, наследование, регистрация земли, законы о гендерном равенстве, конституция, аграрная реформа. Соответствующие политики включают политику в отношении земли, сельского хозяйства и пола.</w:t>
      </w:r>
    </w:p>
    <w:p w:rsidR="002A5C19" w:rsidRDefault="002A5C19" w:rsidP="00113FCF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9">
        <w:rPr>
          <w:rFonts w:ascii="Times New Roman" w:hAnsi="Times New Roman" w:cs="Times New Roman"/>
          <w:sz w:val="24"/>
          <w:szCs w:val="24"/>
        </w:rPr>
        <w:t>Для целей официальной отчетности на глобальном уровне будут сообщаться ТОЛЬКО</w:t>
      </w:r>
      <w:r>
        <w:rPr>
          <w:rFonts w:ascii="Times New Roman" w:hAnsi="Times New Roman" w:cs="Times New Roman"/>
          <w:sz w:val="24"/>
          <w:szCs w:val="24"/>
        </w:rPr>
        <w:t xml:space="preserve"> прокси</w:t>
      </w:r>
      <w:r w:rsidRPr="002A5C19">
        <w:rPr>
          <w:rFonts w:ascii="Times New Roman" w:hAnsi="Times New Roman" w:cs="Times New Roman"/>
          <w:sz w:val="24"/>
          <w:szCs w:val="24"/>
        </w:rPr>
        <w:t xml:space="preserve">, локализованных в </w:t>
      </w:r>
      <w:r>
        <w:rPr>
          <w:rFonts w:ascii="Times New Roman" w:hAnsi="Times New Roman" w:cs="Times New Roman"/>
          <w:sz w:val="24"/>
          <w:szCs w:val="24"/>
        </w:rPr>
        <w:t>первичном</w:t>
      </w:r>
      <w:r w:rsidRPr="002A5C19">
        <w:rPr>
          <w:rFonts w:ascii="Times New Roman" w:hAnsi="Times New Roman" w:cs="Times New Roman"/>
          <w:sz w:val="24"/>
          <w:szCs w:val="24"/>
        </w:rPr>
        <w:t xml:space="preserve"> и/или вторичном праве, из-за их обязательного характера. Однако для значимости оценки соответствующая политика рассматривается для анализа, поскольку они представляют собой основы закона, в которых излагаются принципы, указывающие на </w:t>
      </w:r>
      <w:r w:rsidRPr="002A5C19">
        <w:rPr>
          <w:rFonts w:ascii="Times New Roman" w:hAnsi="Times New Roman" w:cs="Times New Roman"/>
          <w:sz w:val="24"/>
          <w:szCs w:val="24"/>
        </w:rPr>
        <w:lastRenderedPageBreak/>
        <w:t>направление в сторону страны, направлен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A5C1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5C19">
        <w:rPr>
          <w:rFonts w:ascii="Times New Roman" w:hAnsi="Times New Roman" w:cs="Times New Roman"/>
          <w:sz w:val="24"/>
          <w:szCs w:val="24"/>
        </w:rPr>
        <w:t xml:space="preserve"> на продвижение и очень часто предлагают реформы, которые необходимо принять в правовые рамки. В этом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Pr="002A5C19">
        <w:rPr>
          <w:rFonts w:ascii="Times New Roman" w:hAnsi="Times New Roman" w:cs="Times New Roman"/>
          <w:sz w:val="24"/>
          <w:szCs w:val="24"/>
        </w:rPr>
        <w:t xml:space="preserve">, если прокси присутствуют в этих типах инструментов, они представляют собой важный шаг в направлении более гендерно-правовой </w:t>
      </w:r>
      <w:r>
        <w:rPr>
          <w:rFonts w:ascii="Times New Roman" w:hAnsi="Times New Roman" w:cs="Times New Roman"/>
          <w:sz w:val="24"/>
          <w:szCs w:val="24"/>
        </w:rPr>
        <w:t>основы</w:t>
      </w:r>
      <w:r w:rsidRPr="002A5C19">
        <w:rPr>
          <w:rFonts w:ascii="Times New Roman" w:hAnsi="Times New Roman" w:cs="Times New Roman"/>
          <w:sz w:val="24"/>
          <w:szCs w:val="24"/>
        </w:rPr>
        <w:t>.</w:t>
      </w:r>
    </w:p>
    <w:p w:rsidR="002A5C19" w:rsidRDefault="002A5C19" w:rsidP="00113FCF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9">
        <w:rPr>
          <w:rFonts w:ascii="Times New Roman" w:hAnsi="Times New Roman" w:cs="Times New Roman"/>
          <w:sz w:val="24"/>
          <w:szCs w:val="24"/>
        </w:rPr>
        <w:t xml:space="preserve">Данные извлекаются непосредственно из законов, действующих в момент проведения оценки. Сбор данных/предоставление влечет за собой оценку соответствующих законов для определения наличия или отсутствия шести </w:t>
      </w:r>
      <w:r>
        <w:rPr>
          <w:rFonts w:ascii="Times New Roman" w:hAnsi="Times New Roman" w:cs="Times New Roman"/>
          <w:sz w:val="24"/>
          <w:szCs w:val="24"/>
        </w:rPr>
        <w:t>прокси</w:t>
      </w:r>
      <w:r w:rsidRPr="002A5C19">
        <w:rPr>
          <w:rFonts w:ascii="Times New Roman" w:hAnsi="Times New Roman" w:cs="Times New Roman"/>
          <w:sz w:val="24"/>
          <w:szCs w:val="24"/>
        </w:rPr>
        <w:t xml:space="preserve"> в правовой структуре. Данные будут собраны в электронном опросе, состоящем из следующих трех форм:</w:t>
      </w:r>
    </w:p>
    <w:p w:rsidR="002A5C19" w:rsidRPr="002A5C19" w:rsidRDefault="002A5C19" w:rsidP="002A5C19">
      <w:pPr>
        <w:pStyle w:val="a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9">
        <w:rPr>
          <w:rFonts w:ascii="Times New Roman" w:hAnsi="Times New Roman" w:cs="Times New Roman"/>
          <w:sz w:val="24"/>
          <w:szCs w:val="24"/>
        </w:rPr>
        <w:t>Форма 1 «Контрольный перечень политических и правовых документов». Эта форма предоставляет контрольный список соответствующих политик и правовых документов для каждого прокси.</w:t>
      </w:r>
    </w:p>
    <w:p w:rsidR="002A5C19" w:rsidRPr="002A5C19" w:rsidRDefault="002A5C19" w:rsidP="002A5C19">
      <w:pPr>
        <w:pStyle w:val="a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9">
        <w:rPr>
          <w:rFonts w:ascii="Times New Roman" w:hAnsi="Times New Roman" w:cs="Times New Roman"/>
          <w:sz w:val="24"/>
          <w:szCs w:val="24"/>
        </w:rPr>
        <w:t>Форма 2 «Перечень политических и правовых документов для отчетности по показателю 5.a.2». Эта форма содержит информацию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A5C19">
        <w:rPr>
          <w:rFonts w:ascii="Times New Roman" w:hAnsi="Times New Roman" w:cs="Times New Roman"/>
          <w:sz w:val="24"/>
          <w:szCs w:val="24"/>
        </w:rPr>
        <w:t xml:space="preserve"> инструментах, содержащих прокси, и соответствующие положения.</w:t>
      </w:r>
    </w:p>
    <w:p w:rsidR="002A5C19" w:rsidRDefault="002A5C19" w:rsidP="002A5C19">
      <w:pPr>
        <w:pStyle w:val="a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9">
        <w:rPr>
          <w:rFonts w:ascii="Times New Roman" w:hAnsi="Times New Roman" w:cs="Times New Roman"/>
          <w:sz w:val="24"/>
          <w:szCs w:val="24"/>
        </w:rPr>
        <w:t xml:space="preserve">Форма 3 «Вопросник по </w:t>
      </w:r>
      <w:r>
        <w:rPr>
          <w:rFonts w:ascii="Times New Roman" w:hAnsi="Times New Roman" w:cs="Times New Roman"/>
          <w:sz w:val="24"/>
          <w:szCs w:val="24"/>
        </w:rPr>
        <w:t>показателю</w:t>
      </w:r>
      <w:r w:rsidRPr="002A5C19">
        <w:rPr>
          <w:rFonts w:ascii="Times New Roman" w:hAnsi="Times New Roman" w:cs="Times New Roman"/>
          <w:sz w:val="24"/>
          <w:szCs w:val="24"/>
        </w:rPr>
        <w:t xml:space="preserve"> 5.a.2». Эта форма суммирует результаты оценки для каждого прокси.</w:t>
      </w:r>
    </w:p>
    <w:p w:rsidR="002A5C19" w:rsidRDefault="002A5C19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9">
        <w:rPr>
          <w:rFonts w:ascii="Times New Roman" w:hAnsi="Times New Roman" w:cs="Times New Roman"/>
          <w:sz w:val="24"/>
          <w:szCs w:val="24"/>
        </w:rPr>
        <w:t>Для завершения оценки индикатора 5.a.2 национальные эксперты по правовым вопросам должны изучить национальные правовые и политические рамки и завершить электронный опрос в соответствии с методологическими рекомендациями. Это включает три шага, которые необходимо повторить для каждого прокси.</w:t>
      </w:r>
    </w:p>
    <w:p w:rsidR="002A5C19" w:rsidRPr="002A5C19" w:rsidRDefault="002A5C19" w:rsidP="002A5C19">
      <w:pPr>
        <w:pStyle w:val="a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9">
        <w:rPr>
          <w:rFonts w:ascii="Times New Roman" w:hAnsi="Times New Roman" w:cs="Times New Roman"/>
          <w:sz w:val="24"/>
          <w:szCs w:val="24"/>
        </w:rPr>
        <w:t xml:space="preserve">Соберите все соответствующие политические и юридические документы, используя контрольный список (Форма 1), содержащийся в электронном опросе, в качестве руководства по инструментам для проверки соответствующего </w:t>
      </w:r>
      <w:r>
        <w:rPr>
          <w:rFonts w:ascii="Times New Roman" w:hAnsi="Times New Roman" w:cs="Times New Roman"/>
          <w:sz w:val="24"/>
          <w:szCs w:val="24"/>
        </w:rPr>
        <w:t>прокси</w:t>
      </w:r>
      <w:r w:rsidRPr="002A5C19">
        <w:rPr>
          <w:rFonts w:ascii="Times New Roman" w:hAnsi="Times New Roman" w:cs="Times New Roman"/>
          <w:sz w:val="24"/>
          <w:szCs w:val="24"/>
        </w:rPr>
        <w:t>.</w:t>
      </w:r>
    </w:p>
    <w:p w:rsidR="002A5C19" w:rsidRPr="002A5C19" w:rsidRDefault="002A5C19" w:rsidP="002A5C19">
      <w:pPr>
        <w:pStyle w:val="a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9">
        <w:rPr>
          <w:rFonts w:ascii="Times New Roman" w:hAnsi="Times New Roman" w:cs="Times New Roman"/>
          <w:sz w:val="24"/>
          <w:szCs w:val="24"/>
        </w:rPr>
        <w:t xml:space="preserve">Используя подробные методологические рекомендации (разделы 2 и 3), определите, существует ли </w:t>
      </w:r>
      <w:r>
        <w:rPr>
          <w:rFonts w:ascii="Times New Roman" w:hAnsi="Times New Roman" w:cs="Times New Roman"/>
          <w:sz w:val="24"/>
          <w:szCs w:val="24"/>
        </w:rPr>
        <w:t>прокси</w:t>
      </w:r>
      <w:r w:rsidRPr="002A5C19">
        <w:rPr>
          <w:rFonts w:ascii="Times New Roman" w:hAnsi="Times New Roman" w:cs="Times New Roman"/>
          <w:sz w:val="24"/>
          <w:szCs w:val="24"/>
        </w:rPr>
        <w:t xml:space="preserve"> в правовой и политической структуре и в каких инструментах.</w:t>
      </w:r>
    </w:p>
    <w:p w:rsidR="002A5C19" w:rsidRDefault="002A5C19" w:rsidP="002A5C19">
      <w:pPr>
        <w:pStyle w:val="a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9">
        <w:rPr>
          <w:rFonts w:ascii="Times New Roman" w:hAnsi="Times New Roman" w:cs="Times New Roman"/>
          <w:sz w:val="24"/>
          <w:szCs w:val="24"/>
        </w:rPr>
        <w:t xml:space="preserve">Полный контрольный список (форма 1) и список инструментов (форма 2) для этого </w:t>
      </w:r>
      <w:r>
        <w:rPr>
          <w:rFonts w:ascii="Times New Roman" w:hAnsi="Times New Roman" w:cs="Times New Roman"/>
          <w:sz w:val="24"/>
          <w:szCs w:val="24"/>
        </w:rPr>
        <w:t>прокси</w:t>
      </w:r>
      <w:r w:rsidRPr="002A5C19">
        <w:rPr>
          <w:rFonts w:ascii="Times New Roman" w:hAnsi="Times New Roman" w:cs="Times New Roman"/>
          <w:sz w:val="24"/>
          <w:szCs w:val="24"/>
        </w:rPr>
        <w:t xml:space="preserve"> в электронном опросе, со ссылкой на инструмент и соответствующие положения, в которых </w:t>
      </w:r>
      <w:r>
        <w:rPr>
          <w:rFonts w:ascii="Times New Roman" w:hAnsi="Times New Roman" w:cs="Times New Roman"/>
          <w:sz w:val="24"/>
          <w:szCs w:val="24"/>
        </w:rPr>
        <w:t>применим</w:t>
      </w:r>
      <w:r w:rsidRPr="002A5C19">
        <w:rPr>
          <w:rFonts w:ascii="Times New Roman" w:hAnsi="Times New Roman" w:cs="Times New Roman"/>
          <w:sz w:val="24"/>
          <w:szCs w:val="24"/>
        </w:rPr>
        <w:t xml:space="preserve"> прокси, и соответствующие части формы 3 (вопросник) со ссылкой на инструмент где применим прокси. Включить гиперссылку на текст юридического и политического инструмента</w:t>
      </w:r>
    </w:p>
    <w:p w:rsidR="002A5C19" w:rsidRDefault="002A5C19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9">
        <w:rPr>
          <w:rFonts w:ascii="Times New Roman" w:hAnsi="Times New Roman" w:cs="Times New Roman"/>
          <w:sz w:val="24"/>
          <w:szCs w:val="24"/>
        </w:rPr>
        <w:t xml:space="preserve">После того, как эти три шага были предприняты для всех шести </w:t>
      </w:r>
      <w:r>
        <w:rPr>
          <w:rFonts w:ascii="Times New Roman" w:hAnsi="Times New Roman" w:cs="Times New Roman"/>
          <w:sz w:val="24"/>
          <w:szCs w:val="24"/>
        </w:rPr>
        <w:t>прокси</w:t>
      </w:r>
      <w:r w:rsidRPr="002A5C19">
        <w:rPr>
          <w:rFonts w:ascii="Times New Roman" w:hAnsi="Times New Roman" w:cs="Times New Roman"/>
          <w:sz w:val="24"/>
          <w:szCs w:val="24"/>
        </w:rPr>
        <w:t xml:space="preserve">, национальное ответственное учреждение определит уровень защиты прав женщин на землю, присутствующих в правовой структуре, в соответствии с количеством </w:t>
      </w:r>
      <w:r w:rsidR="00784DA2">
        <w:rPr>
          <w:rFonts w:ascii="Times New Roman" w:hAnsi="Times New Roman" w:cs="Times New Roman"/>
          <w:sz w:val="24"/>
          <w:szCs w:val="24"/>
        </w:rPr>
        <w:t xml:space="preserve">применимых </w:t>
      </w:r>
      <w:r w:rsidRPr="002A5C19">
        <w:rPr>
          <w:rFonts w:ascii="Times New Roman" w:hAnsi="Times New Roman" w:cs="Times New Roman"/>
          <w:sz w:val="24"/>
          <w:szCs w:val="24"/>
        </w:rPr>
        <w:t>прокси и затем классифицирует страну в одной из шести классификационных групп</w:t>
      </w:r>
      <w:r w:rsidR="00784DA2">
        <w:rPr>
          <w:rFonts w:ascii="Times New Roman" w:hAnsi="Times New Roman" w:cs="Times New Roman"/>
          <w:sz w:val="24"/>
          <w:szCs w:val="24"/>
        </w:rPr>
        <w:t>,</w:t>
      </w:r>
      <w:r w:rsidRPr="002A5C19">
        <w:rPr>
          <w:rFonts w:ascii="Times New Roman" w:hAnsi="Times New Roman" w:cs="Times New Roman"/>
          <w:sz w:val="24"/>
          <w:szCs w:val="24"/>
        </w:rPr>
        <w:t xml:space="preserve"> описан</w:t>
      </w:r>
      <w:r w:rsidR="00784DA2">
        <w:rPr>
          <w:rFonts w:ascii="Times New Roman" w:hAnsi="Times New Roman" w:cs="Times New Roman"/>
          <w:sz w:val="24"/>
          <w:szCs w:val="24"/>
        </w:rPr>
        <w:t>ных</w:t>
      </w:r>
      <w:r w:rsidRPr="002A5C19">
        <w:rPr>
          <w:rFonts w:ascii="Times New Roman" w:hAnsi="Times New Roman" w:cs="Times New Roman"/>
          <w:sz w:val="24"/>
          <w:szCs w:val="24"/>
        </w:rPr>
        <w:t xml:space="preserve"> выше.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A2">
        <w:rPr>
          <w:rFonts w:ascii="Times New Roman" w:hAnsi="Times New Roman" w:cs="Times New Roman"/>
          <w:sz w:val="24"/>
          <w:szCs w:val="24"/>
        </w:rPr>
        <w:t xml:space="preserve">Эти результаты будут сообщены ФАО для контроля качества и глобальной отчетности в Секретариат ООН по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784DA2">
        <w:rPr>
          <w:rFonts w:ascii="Times New Roman" w:hAnsi="Times New Roman" w:cs="Times New Roman"/>
          <w:sz w:val="24"/>
          <w:szCs w:val="24"/>
        </w:rPr>
        <w:t>.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A2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A2">
        <w:rPr>
          <w:rFonts w:ascii="Times New Roman" w:hAnsi="Times New Roman" w:cs="Times New Roman"/>
          <w:sz w:val="24"/>
          <w:szCs w:val="24"/>
        </w:rPr>
        <w:t>Описание: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доступно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A2">
        <w:rPr>
          <w:rFonts w:ascii="Times New Roman" w:hAnsi="Times New Roman" w:cs="Times New Roman"/>
          <w:b/>
          <w:sz w:val="24"/>
          <w:szCs w:val="24"/>
        </w:rPr>
        <w:t>Календарь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данных: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A2">
        <w:rPr>
          <w:rFonts w:ascii="Times New Roman" w:hAnsi="Times New Roman" w:cs="Times New Roman"/>
          <w:sz w:val="24"/>
          <w:szCs w:val="24"/>
        </w:rPr>
        <w:t>Ожидается, что страны будут сообщать каждые два года, начиная с 2018 года.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A2">
        <w:rPr>
          <w:rFonts w:ascii="Times New Roman" w:hAnsi="Times New Roman" w:cs="Times New Roman"/>
          <w:sz w:val="24"/>
          <w:szCs w:val="24"/>
        </w:rPr>
        <w:t>Все страны в состоянии начать отчетность в первый год, поскольку источник данных (законы) доступен во всех из них, а «измерение» показателя очень прост. Кроме того, оценка может быть проведена одним правовым экспертом за очень короткий промежуток времени (около 15 дней).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A2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A2">
        <w:rPr>
          <w:rFonts w:ascii="Times New Roman" w:hAnsi="Times New Roman" w:cs="Times New Roman"/>
          <w:sz w:val="24"/>
          <w:szCs w:val="24"/>
        </w:rPr>
        <w:t xml:space="preserve">Правительствам следует назначить национальный орган, ответственный за сбор данных и мониторинг за </w:t>
      </w:r>
      <w:r>
        <w:rPr>
          <w:rFonts w:ascii="Times New Roman" w:hAnsi="Times New Roman" w:cs="Times New Roman"/>
          <w:sz w:val="24"/>
          <w:szCs w:val="24"/>
        </w:rPr>
        <w:t>показателем</w:t>
      </w:r>
      <w:r w:rsidRPr="00784DA2">
        <w:rPr>
          <w:rFonts w:ascii="Times New Roman" w:hAnsi="Times New Roman" w:cs="Times New Roman"/>
          <w:sz w:val="24"/>
          <w:szCs w:val="24"/>
        </w:rPr>
        <w:t xml:space="preserve"> 5.a.2. Соответствующий показатель имеет три важные особенности, которые должны руководствоваться решением правительства в отношении выбора учреждения, которое будет отвечать за мониторинг этого показателя: правовой характер показателя, аспекты землевладения и гендерные/женские права. В связи с этим наиболее адекватными национальными учреждениями, которые могут быть назначены для этой ответственности, являются учреждения, связанные с землей (например, министерства земель или национальные учреждения, регулирующие земельные вопросы) или национальный гендерный институт (например, комиссии по гендерному равенству, женские дела или гендерные министерства). В качестве альтернативы, также будет уместно национальное учреждение, отвечающее за поддержание верховенства права, такое как министерства юстиции или комиссии по правам человека.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A2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784DA2" w:rsidRDefault="00784DA2" w:rsidP="002A5C19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A2">
        <w:rPr>
          <w:rFonts w:ascii="Times New Roman" w:hAnsi="Times New Roman" w:cs="Times New Roman"/>
          <w:sz w:val="24"/>
          <w:szCs w:val="24"/>
        </w:rPr>
        <w:t xml:space="preserve">ФАО отвечает за составление и представление отчетности по этому показателю на глобальном уровне. После проверки и проверки результатов национальное ответственное лицо передает электронное обследование в ФАО. После получения представленных форм ФАО проведет проверку качества и вернется в национальное ответственное учреждение в случае необходимости уточнения или пересмотра. Затем ФАО вычислит показатель на основе информации, предоставленной странами, и сообщит о результатах в Секретариат ООН по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784DA2">
        <w:rPr>
          <w:rFonts w:ascii="Times New Roman" w:hAnsi="Times New Roman" w:cs="Times New Roman"/>
          <w:sz w:val="24"/>
          <w:szCs w:val="24"/>
        </w:rPr>
        <w:t>.</w:t>
      </w:r>
    </w:p>
    <w:p w:rsidR="00784DA2" w:rsidRPr="0085419D" w:rsidRDefault="00784DA2" w:rsidP="00784DA2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A2">
        <w:rPr>
          <w:rFonts w:ascii="Times New Roman" w:hAnsi="Times New Roman" w:cs="Times New Roman"/>
          <w:b/>
          <w:sz w:val="24"/>
          <w:szCs w:val="24"/>
        </w:rPr>
        <w:t>Ссылки</w:t>
      </w:r>
      <w:r w:rsidRPr="0085419D">
        <w:rPr>
          <w:rFonts w:ascii="Times New Roman" w:hAnsi="Times New Roman" w:cs="Times New Roman"/>
          <w:b/>
          <w:sz w:val="24"/>
          <w:szCs w:val="24"/>
        </w:rPr>
        <w:t>:</w:t>
      </w:r>
    </w:p>
    <w:p w:rsidR="00784DA2" w:rsidRPr="0085419D" w:rsidRDefault="00657E7C" w:rsidP="00784DA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://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.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fao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.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gender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-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landrights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-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database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="00784DA2" w:rsidRPr="008541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4DA2" w:rsidRPr="0085419D" w:rsidRDefault="00657E7C" w:rsidP="00784DA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://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.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fao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.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gender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-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landrights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-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database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legislation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-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assessment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-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tool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="00784DA2" w:rsidRPr="0085419D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://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.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fao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.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nr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tenure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voluntary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-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guidelines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="00784DA2" w:rsidRPr="00854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A2" w:rsidRPr="0085419D" w:rsidRDefault="00657E7C" w:rsidP="00784DA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://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.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un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.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womenwatch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daw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  <w:r w:rsidR="00784DA2" w:rsidRPr="00784DA2">
          <w:rPr>
            <w:rFonts w:ascii="Times New Roman" w:hAnsi="Times New Roman" w:cs="Times New Roman"/>
            <w:sz w:val="24"/>
            <w:szCs w:val="24"/>
            <w:lang w:val="en-US"/>
          </w:rPr>
          <w:t>cedaw</w:t>
        </w:r>
        <w:r w:rsidR="00784DA2" w:rsidRPr="0085419D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="00784DA2" w:rsidRPr="00854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A2" w:rsidRPr="0085419D" w:rsidRDefault="00784DA2" w:rsidP="00784DA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DA2" w:rsidRDefault="00784DA2" w:rsidP="00784DA2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A2">
        <w:rPr>
          <w:rFonts w:ascii="Times New Roman" w:hAnsi="Times New Roman" w:cs="Times New Roman"/>
          <w:b/>
          <w:sz w:val="24"/>
          <w:szCs w:val="24"/>
        </w:rPr>
        <w:t>Связанные индикаторы:</w:t>
      </w:r>
    </w:p>
    <w:p w:rsidR="00784DA2" w:rsidRPr="00784DA2" w:rsidRDefault="00784DA2" w:rsidP="00784DA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A2">
        <w:rPr>
          <w:rFonts w:ascii="Times New Roman" w:hAnsi="Times New Roman" w:cs="Times New Roman"/>
          <w:sz w:val="24"/>
          <w:szCs w:val="24"/>
        </w:rPr>
        <w:t xml:space="preserve">Цель 1, в частности,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bookmarkStart w:id="0" w:name="_GoBack"/>
      <w:bookmarkEnd w:id="0"/>
      <w:r w:rsidRPr="00784DA2">
        <w:rPr>
          <w:rFonts w:ascii="Times New Roman" w:hAnsi="Times New Roman" w:cs="Times New Roman"/>
          <w:sz w:val="24"/>
          <w:szCs w:val="24"/>
        </w:rPr>
        <w:t xml:space="preserve"> 1.4.2 и цель 5, в частности 5.a.1 и 5.1.1.</w:t>
      </w:r>
    </w:p>
    <w:sectPr w:rsidR="00784DA2" w:rsidRPr="00784DA2" w:rsidSect="008541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AC" w:rsidRDefault="003F7EAC" w:rsidP="005F4B43">
      <w:pPr>
        <w:spacing w:after="0" w:line="240" w:lineRule="auto"/>
      </w:pPr>
      <w:r>
        <w:separator/>
      </w:r>
    </w:p>
  </w:endnote>
  <w:endnote w:type="continuationSeparator" w:id="1">
    <w:p w:rsidR="003F7EAC" w:rsidRDefault="003F7EAC" w:rsidP="005F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AC" w:rsidRDefault="003F7EAC" w:rsidP="005F4B43">
      <w:pPr>
        <w:spacing w:after="0" w:line="240" w:lineRule="auto"/>
      </w:pPr>
      <w:r>
        <w:separator/>
      </w:r>
    </w:p>
  </w:footnote>
  <w:footnote w:type="continuationSeparator" w:id="1">
    <w:p w:rsidR="003F7EAC" w:rsidRDefault="003F7EAC" w:rsidP="005F4B43">
      <w:pPr>
        <w:spacing w:after="0" w:line="240" w:lineRule="auto"/>
      </w:pPr>
      <w:r>
        <w:continuationSeparator/>
      </w:r>
    </w:p>
  </w:footnote>
  <w:footnote w:id="2">
    <w:p w:rsidR="002A5C19" w:rsidRPr="005C2A9A" w:rsidRDefault="002A5C19" w:rsidP="005C2A9A">
      <w:pPr>
        <w:pStyle w:val="ab"/>
        <w:jc w:val="both"/>
        <w:rPr>
          <w:rFonts w:ascii="Times New Roman" w:hAnsi="Times New Roman" w:cs="Times New Roman"/>
        </w:rPr>
      </w:pPr>
      <w:r w:rsidRPr="005C2A9A">
        <w:rPr>
          <w:rStyle w:val="ad"/>
          <w:rFonts w:ascii="Times New Roman" w:hAnsi="Times New Roman" w:cs="Times New Roman"/>
        </w:rPr>
        <w:footnoteRef/>
      </w:r>
      <w:r w:rsidRPr="005C2A9A">
        <w:rPr>
          <w:rFonts w:ascii="Times New Roman" w:hAnsi="Times New Roman" w:cs="Times New Roman"/>
        </w:rPr>
        <w:t xml:space="preserve"> Методология, разработанная для оценки прогресса в отношении показателя 5.а.2, предполагает, что политика ведет к законотворчеству, в широком смысле следуя описанному ниже процессу:</w:t>
      </w:r>
    </w:p>
    <w:p w:rsidR="002A5C19" w:rsidRPr="005C2A9A" w:rsidRDefault="002A5C19" w:rsidP="005C2A9A">
      <w:pPr>
        <w:pStyle w:val="ab"/>
        <w:jc w:val="both"/>
        <w:rPr>
          <w:rFonts w:ascii="Times New Roman" w:hAnsi="Times New Roman" w:cs="Times New Roman"/>
        </w:rPr>
      </w:pPr>
      <w:r w:rsidRPr="005C2A9A">
        <w:rPr>
          <w:rFonts w:ascii="Times New Roman" w:hAnsi="Times New Roman" w:cs="Times New Roman"/>
        </w:rPr>
        <w:t>Проект политики производится, как правило, национальным министерством или государственным департаментом. Затем политика принимается с использованием установленных процедур. Это приводит к законопроекту, который либо вносит поправки, либо вводит новое законодательство для обсуждения в парламенте. Затем закон принимается парламентом, создавая новый Закон или Устав (первичное законодательство). За этим следуют инструменты, обычно в виде директив, приказов, положений, административных правил, правил или подзаконных актов (вторичное законодательство).</w:t>
      </w:r>
    </w:p>
  </w:footnote>
  <w:footnote w:id="3">
    <w:p w:rsidR="002A5C19" w:rsidRPr="00ED59DD" w:rsidRDefault="002A5C19" w:rsidP="00ED59DD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D59DD">
        <w:rPr>
          <w:rFonts w:ascii="Times New Roman" w:hAnsi="Times New Roman" w:cs="Times New Roman"/>
        </w:rPr>
        <w:t>В соответствии с методологией все прокси имеют одинаковый вес. Это означает, что ни одно измерение не является более важным, чем другое с точки зрения поддержки гендерного равен</w:t>
      </w:r>
      <w:r>
        <w:rPr>
          <w:rFonts w:ascii="Times New Roman" w:hAnsi="Times New Roman" w:cs="Times New Roman"/>
        </w:rPr>
        <w:t xml:space="preserve">ства </w:t>
      </w:r>
      <w:r w:rsidRPr="00ED59DD">
        <w:rPr>
          <w:rFonts w:ascii="Times New Roman" w:hAnsi="Times New Roman" w:cs="Times New Roman"/>
        </w:rPr>
        <w:t>на владение и/или распоряжение землей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245"/>
    <w:multiLevelType w:val="hybridMultilevel"/>
    <w:tmpl w:val="C9D0C856"/>
    <w:lvl w:ilvl="0" w:tplc="E0DC16D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33E9"/>
    <w:multiLevelType w:val="hybridMultilevel"/>
    <w:tmpl w:val="A272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519C7"/>
    <w:multiLevelType w:val="hybridMultilevel"/>
    <w:tmpl w:val="CE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CB2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A57"/>
    <w:multiLevelType w:val="hybridMultilevel"/>
    <w:tmpl w:val="B6FE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A477E"/>
    <w:multiLevelType w:val="hybridMultilevel"/>
    <w:tmpl w:val="ECF6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1EA"/>
    <w:rsid w:val="00057689"/>
    <w:rsid w:val="000A2E38"/>
    <w:rsid w:val="000A443B"/>
    <w:rsid w:val="000A7067"/>
    <w:rsid w:val="000B15F6"/>
    <w:rsid w:val="000C2903"/>
    <w:rsid w:val="00104154"/>
    <w:rsid w:val="00113FCF"/>
    <w:rsid w:val="00115AF9"/>
    <w:rsid w:val="001255D3"/>
    <w:rsid w:val="00133714"/>
    <w:rsid w:val="00144C33"/>
    <w:rsid w:val="0015601B"/>
    <w:rsid w:val="00195A65"/>
    <w:rsid w:val="00204DD4"/>
    <w:rsid w:val="00221549"/>
    <w:rsid w:val="002479FE"/>
    <w:rsid w:val="00254E52"/>
    <w:rsid w:val="0027692A"/>
    <w:rsid w:val="002A5C19"/>
    <w:rsid w:val="002E25BB"/>
    <w:rsid w:val="002F72C6"/>
    <w:rsid w:val="00317A51"/>
    <w:rsid w:val="00366993"/>
    <w:rsid w:val="003B6939"/>
    <w:rsid w:val="003E45E1"/>
    <w:rsid w:val="003F79E9"/>
    <w:rsid w:val="003F7EAC"/>
    <w:rsid w:val="00425B36"/>
    <w:rsid w:val="00445D8B"/>
    <w:rsid w:val="004640D5"/>
    <w:rsid w:val="00496C83"/>
    <w:rsid w:val="004E0A90"/>
    <w:rsid w:val="005A09ED"/>
    <w:rsid w:val="005C1427"/>
    <w:rsid w:val="005C2A9A"/>
    <w:rsid w:val="005D6C02"/>
    <w:rsid w:val="005E3A12"/>
    <w:rsid w:val="005E4B11"/>
    <w:rsid w:val="005F4B43"/>
    <w:rsid w:val="0061079F"/>
    <w:rsid w:val="00630038"/>
    <w:rsid w:val="00632D5B"/>
    <w:rsid w:val="006332B5"/>
    <w:rsid w:val="00657E7C"/>
    <w:rsid w:val="00664F3E"/>
    <w:rsid w:val="00701552"/>
    <w:rsid w:val="00780B23"/>
    <w:rsid w:val="00784DA2"/>
    <w:rsid w:val="007A322D"/>
    <w:rsid w:val="007A6542"/>
    <w:rsid w:val="007D0D57"/>
    <w:rsid w:val="007E18AB"/>
    <w:rsid w:val="007F3E2C"/>
    <w:rsid w:val="0081501A"/>
    <w:rsid w:val="00843E3D"/>
    <w:rsid w:val="0085419D"/>
    <w:rsid w:val="008868E0"/>
    <w:rsid w:val="008957EC"/>
    <w:rsid w:val="00896C84"/>
    <w:rsid w:val="008A050C"/>
    <w:rsid w:val="008A46E5"/>
    <w:rsid w:val="008C202D"/>
    <w:rsid w:val="00902ADD"/>
    <w:rsid w:val="00904350"/>
    <w:rsid w:val="00911C4E"/>
    <w:rsid w:val="00912426"/>
    <w:rsid w:val="00922C1A"/>
    <w:rsid w:val="00952A86"/>
    <w:rsid w:val="009E147A"/>
    <w:rsid w:val="00A64C67"/>
    <w:rsid w:val="00A73A3A"/>
    <w:rsid w:val="00A75550"/>
    <w:rsid w:val="00A81901"/>
    <w:rsid w:val="00A8726E"/>
    <w:rsid w:val="00AB3CA4"/>
    <w:rsid w:val="00AB71DC"/>
    <w:rsid w:val="00AD24E5"/>
    <w:rsid w:val="00AD4636"/>
    <w:rsid w:val="00AE51AA"/>
    <w:rsid w:val="00B00C69"/>
    <w:rsid w:val="00B03CB0"/>
    <w:rsid w:val="00B43DA3"/>
    <w:rsid w:val="00B67D65"/>
    <w:rsid w:val="00BC0D1D"/>
    <w:rsid w:val="00BD48E1"/>
    <w:rsid w:val="00BD516B"/>
    <w:rsid w:val="00BF50AE"/>
    <w:rsid w:val="00C202E7"/>
    <w:rsid w:val="00C365FB"/>
    <w:rsid w:val="00C814AB"/>
    <w:rsid w:val="00C92999"/>
    <w:rsid w:val="00CA08AE"/>
    <w:rsid w:val="00CA2E3B"/>
    <w:rsid w:val="00CB595E"/>
    <w:rsid w:val="00CC4640"/>
    <w:rsid w:val="00CE463D"/>
    <w:rsid w:val="00D05EF1"/>
    <w:rsid w:val="00D269B1"/>
    <w:rsid w:val="00D30460"/>
    <w:rsid w:val="00D43482"/>
    <w:rsid w:val="00D716F4"/>
    <w:rsid w:val="00DB2DA1"/>
    <w:rsid w:val="00DB333C"/>
    <w:rsid w:val="00DC61EA"/>
    <w:rsid w:val="00DE75B6"/>
    <w:rsid w:val="00E06D23"/>
    <w:rsid w:val="00E33028"/>
    <w:rsid w:val="00E67FB4"/>
    <w:rsid w:val="00ED2580"/>
    <w:rsid w:val="00ED59DD"/>
    <w:rsid w:val="00EE480B"/>
    <w:rsid w:val="00EF6815"/>
    <w:rsid w:val="00F33283"/>
    <w:rsid w:val="00F54A7C"/>
    <w:rsid w:val="00FB0BD0"/>
    <w:rsid w:val="00FC304F"/>
    <w:rsid w:val="00FD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D71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4">
    <w:name w:val="Hyperlink"/>
    <w:basedOn w:val="a0"/>
    <w:uiPriority w:val="99"/>
    <w:unhideWhenUsed/>
    <w:rsid w:val="00A73A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B43"/>
  </w:style>
  <w:style w:type="paragraph" w:styleId="a7">
    <w:name w:val="footer"/>
    <w:basedOn w:val="a"/>
    <w:link w:val="a8"/>
    <w:uiPriority w:val="99"/>
    <w:unhideWhenUsed/>
    <w:rsid w:val="005F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B43"/>
  </w:style>
  <w:style w:type="paragraph" w:styleId="a9">
    <w:name w:val="List Paragraph"/>
    <w:basedOn w:val="a"/>
    <w:uiPriority w:val="34"/>
    <w:qFormat/>
    <w:rsid w:val="00DB333C"/>
    <w:pPr>
      <w:ind w:left="720"/>
      <w:contextualSpacing/>
    </w:pPr>
  </w:style>
  <w:style w:type="paragraph" w:styleId="aa">
    <w:name w:val="No Spacing"/>
    <w:uiPriority w:val="1"/>
    <w:qFormat/>
    <w:rsid w:val="00D05EF1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C2A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C2A9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C2A9A"/>
    <w:rPr>
      <w:vertAlign w:val="superscript"/>
    </w:rPr>
  </w:style>
  <w:style w:type="table" w:styleId="ae">
    <w:name w:val="Table Grid"/>
    <w:basedOn w:val="a1"/>
    <w:uiPriority w:val="39"/>
    <w:rsid w:val="00FD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C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D71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4">
    <w:name w:val="Hyperlink"/>
    <w:basedOn w:val="a0"/>
    <w:uiPriority w:val="99"/>
    <w:unhideWhenUsed/>
    <w:rsid w:val="00A73A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B43"/>
  </w:style>
  <w:style w:type="paragraph" w:styleId="a7">
    <w:name w:val="footer"/>
    <w:basedOn w:val="a"/>
    <w:link w:val="a8"/>
    <w:uiPriority w:val="99"/>
    <w:unhideWhenUsed/>
    <w:rsid w:val="005F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B43"/>
  </w:style>
  <w:style w:type="paragraph" w:styleId="a9">
    <w:name w:val="List Paragraph"/>
    <w:basedOn w:val="a"/>
    <w:uiPriority w:val="34"/>
    <w:qFormat/>
    <w:rsid w:val="00DB333C"/>
    <w:pPr>
      <w:ind w:left="720"/>
      <w:contextualSpacing/>
    </w:pPr>
  </w:style>
  <w:style w:type="paragraph" w:styleId="aa">
    <w:name w:val="No Spacing"/>
    <w:uiPriority w:val="1"/>
    <w:qFormat/>
    <w:rsid w:val="00D05EF1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C2A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C2A9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C2A9A"/>
    <w:rPr>
      <w:vertAlign w:val="superscript"/>
    </w:rPr>
  </w:style>
  <w:style w:type="table" w:styleId="ae">
    <w:name w:val="Table Grid"/>
    <w:basedOn w:val="a1"/>
    <w:uiPriority w:val="39"/>
    <w:rsid w:val="00FD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C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2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540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938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75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096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gender-landrights-database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womenwatch/daw/ceda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o.org/nr/tenure/voluntary-guidelines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org/gender-landrights-database/legislation-assessment-tool/en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16DF-5CF6-48C2-8947-44B15241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5610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sh.iskakova</cp:lastModifiedBy>
  <cp:revision>3</cp:revision>
  <cp:lastPrinted>2018-10-12T09:55:00Z</cp:lastPrinted>
  <dcterms:created xsi:type="dcterms:W3CDTF">2018-05-08T12:58:00Z</dcterms:created>
  <dcterms:modified xsi:type="dcterms:W3CDTF">2018-10-12T09:57:00Z</dcterms:modified>
</cp:coreProperties>
</file>