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t>0.a. Goal</w:t>
      </w:r>
    </w:p>
    <w:p w14:paraId="7ACA01A5" w14:textId="6E209444" w:rsidR="21B3BAE5" w:rsidRDefault="21B3BAE5" w:rsidP="009130E7">
      <w:pPr>
        <w:pStyle w:val="MGTHeader"/>
        <w:rPr>
          <w:rFonts w:eastAsia="Calibri"/>
        </w:rPr>
      </w:pPr>
      <w:r w:rsidRPr="5E24FABD">
        <w:rPr>
          <w:rFonts w:eastAsia="Calibri"/>
        </w:rPr>
        <w:t xml:space="preserve">Goal 11: Make cities and human settlements inclusive, safe, </w:t>
      </w:r>
      <w:proofErr w:type="gramStart"/>
      <w:r w:rsidRPr="5E24FABD">
        <w:rPr>
          <w:rFonts w:eastAsia="Calibri"/>
        </w:rPr>
        <w:t>resilient</w:t>
      </w:r>
      <w:proofErr w:type="gramEnd"/>
      <w:r w:rsidRPr="5E24FABD">
        <w:rPr>
          <w:rFonts w:eastAsia="Calibri"/>
        </w:rPr>
        <w:t xml:space="preserve"> and sustainable</w:t>
      </w:r>
    </w:p>
    <w:p w14:paraId="084142D2" w14:textId="77777777" w:rsidR="00D24330" w:rsidRPr="00A96255" w:rsidRDefault="00D24330" w:rsidP="00D24330">
      <w:pPr>
        <w:pStyle w:val="MIndHeader"/>
      </w:pPr>
      <w:r>
        <w:t>0.b. Target</w:t>
      </w:r>
    </w:p>
    <w:p w14:paraId="3C156824" w14:textId="4F0E2BAA" w:rsidR="207CDBA3" w:rsidRDefault="207CDBA3" w:rsidP="009130E7">
      <w:pPr>
        <w:pStyle w:val="MGTHeader"/>
        <w:rPr>
          <w:rFonts w:eastAsia="Calibri"/>
        </w:rPr>
      </w:pPr>
      <w:r w:rsidRPr="5E24FABD">
        <w:rPr>
          <w:rFonts w:eastAsia="Calibri"/>
        </w:rPr>
        <w:t>Target 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p w14:paraId="3E67E7E0" w14:textId="7FDB358D" w:rsidR="00D24330" w:rsidRPr="00A96255" w:rsidRDefault="00D24330" w:rsidP="00D24330">
      <w:pPr>
        <w:pStyle w:val="MIndHeader"/>
      </w:pPr>
      <w:r w:rsidRPr="00A96255">
        <w:t>0.c. Indicator</w:t>
      </w:r>
    </w:p>
    <w:p w14:paraId="3E0FD13F" w14:textId="77777777" w:rsidR="007959FE" w:rsidRDefault="007959FE" w:rsidP="00D24330">
      <w:pPr>
        <w:pStyle w:val="MIndHeader"/>
        <w:rPr>
          <w:color w:val="333333"/>
          <w:sz w:val="21"/>
          <w:szCs w:val="21"/>
        </w:rPr>
      </w:pPr>
      <w:r w:rsidRPr="007959FE">
        <w:rPr>
          <w:color w:val="333333"/>
          <w:sz w:val="21"/>
          <w:szCs w:val="21"/>
        </w:rPr>
        <w:t>Indicator 11.b.2: Proportion of local governments that adopt and implement local disaster risk reduction strategies in line with national disaster risk reduction strategies</w:t>
      </w:r>
    </w:p>
    <w:p w14:paraId="37E5E4F6" w14:textId="38EED936" w:rsidR="00D24330" w:rsidRPr="00901F72" w:rsidRDefault="00D24330" w:rsidP="00D24330">
      <w:pPr>
        <w:pStyle w:val="MIndHeader"/>
        <w:rPr>
          <w:lang w:val="es-ES"/>
        </w:rPr>
      </w:pPr>
      <w:r w:rsidRPr="00901F72">
        <w:rPr>
          <w:lang w:val="es-ES"/>
        </w:rPr>
        <w:t>0.d. Series</w:t>
      </w:r>
    </w:p>
    <w:p w14:paraId="3DDAE044" w14:textId="77777777" w:rsidR="00617A14" w:rsidRPr="00901F72" w:rsidRDefault="00617A14" w:rsidP="00901F72">
      <w:pPr>
        <w:pStyle w:val="MGTHeader"/>
        <w:rPr>
          <w:lang w:val="es-ES"/>
        </w:rPr>
      </w:pPr>
    </w:p>
    <w:p w14:paraId="157DACE7" w14:textId="36CBA738" w:rsidR="00D24330" w:rsidRPr="00901F72" w:rsidRDefault="00D24330" w:rsidP="00D24330">
      <w:pPr>
        <w:pStyle w:val="MIndHeader"/>
        <w:rPr>
          <w:lang w:val="es-ES"/>
        </w:rPr>
      </w:pPr>
      <w:r w:rsidRPr="00901F72">
        <w:rPr>
          <w:lang w:val="es-ES"/>
        </w:rPr>
        <w:t xml:space="preserve">0.e. </w:t>
      </w:r>
      <w:proofErr w:type="spellStart"/>
      <w:r w:rsidRPr="00901F72">
        <w:rPr>
          <w:lang w:val="es-ES"/>
        </w:rPr>
        <w:t>Metadata</w:t>
      </w:r>
      <w:proofErr w:type="spellEnd"/>
      <w:r w:rsidRPr="00901F72">
        <w:rPr>
          <w:lang w:val="es-ES"/>
        </w:rPr>
        <w:t xml:space="preserve"> </w:t>
      </w:r>
      <w:proofErr w:type="spellStart"/>
      <w:r w:rsidRPr="00901F72">
        <w:rPr>
          <w:lang w:val="es-ES"/>
        </w:rPr>
        <w:t>update</w:t>
      </w:r>
      <w:proofErr w:type="spellEnd"/>
    </w:p>
    <w:p w14:paraId="03424B60" w14:textId="182F8440" w:rsidR="00D24330" w:rsidRPr="00901F72" w:rsidRDefault="008F7A80" w:rsidP="00D24330">
      <w:pPr>
        <w:pStyle w:val="MGTHeader"/>
        <w:rPr>
          <w:lang w:val="es-ES"/>
        </w:rPr>
      </w:pPr>
      <w:r w:rsidRPr="00901F72">
        <w:rPr>
          <w:lang w:val="es-ES"/>
        </w:rPr>
        <w:t>2018</w:t>
      </w:r>
      <w:r w:rsidR="2C58F3C8" w:rsidRPr="00901F72">
        <w:rPr>
          <w:lang w:val="es-ES"/>
        </w:rPr>
        <w:t>-02-01</w:t>
      </w:r>
    </w:p>
    <w:p w14:paraId="415C9FF1" w14:textId="77777777" w:rsidR="00D24330" w:rsidRPr="00A96255" w:rsidRDefault="00D24330" w:rsidP="00D24330">
      <w:pPr>
        <w:pStyle w:val="MIndHeader"/>
      </w:pPr>
      <w:r w:rsidRPr="00A96255">
        <w:t>0.f. Related indicators</w:t>
      </w:r>
    </w:p>
    <w:p w14:paraId="099D628B" w14:textId="3983FF5C" w:rsidR="007F1B66" w:rsidRPr="007F1B66" w:rsidRDefault="007F1B66" w:rsidP="008F7A80">
      <w:pPr>
        <w:pStyle w:val="MGTHeader"/>
      </w:pPr>
      <w:r w:rsidRPr="007F1B66">
        <w:t>1.5; 11.5; 11.b; 13.1; 2.4; 3.6; 3.9; 3.d; 4.a; 6.6; 9.1; 9.a; 11.1; 11.3; 11.c; 13.2; 13.3; 13.a; 13.b; 14.2; 15.1; 15.2; 15.3; 15.9.</w:t>
      </w:r>
    </w:p>
    <w:p w14:paraId="077BC49E" w14:textId="77777777" w:rsidR="00D24330" w:rsidRPr="00A96255" w:rsidRDefault="00D24330" w:rsidP="00D24330">
      <w:pPr>
        <w:pStyle w:val="MIndHeader"/>
      </w:pPr>
      <w:r w:rsidRPr="00A96255">
        <w:t>0.g. International organisations(s) responsible for global monitoring</w:t>
      </w:r>
    </w:p>
    <w:p w14:paraId="7B2B62FE" w14:textId="77777777" w:rsidR="007959FE" w:rsidRPr="007959FE" w:rsidRDefault="007959FE" w:rsidP="008F7A80">
      <w:pPr>
        <w:pStyle w:val="MGTHeader"/>
      </w:pPr>
      <w:r w:rsidRPr="007959FE">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7202421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5DB5A73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b/>
          <w:bCs/>
          <w:color w:val="4A4A4A"/>
          <w:sz w:val="21"/>
          <w:szCs w:val="21"/>
          <w:lang w:eastAsia="en-GB"/>
        </w:rPr>
        <w:t>Definition:</w:t>
      </w:r>
    </w:p>
    <w:p w14:paraId="1CDD49EB"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The Sendai Framework for Disaster Risk Reduction 2015-2030 was adopted by UN Member States in March 2015 as a global policy of disaster risk reduction. One of the targets is: “Substantially increase the number of countries with national and local disaster risk reduction strategies by 2020”.</w:t>
      </w:r>
    </w:p>
    <w:p w14:paraId="70697AC9"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 xml:space="preserve">In line with the Sendai Framework for Disaster Risk Reduction 2015-2030, disaster risk reduction strategies and policies should mainstream and integrate disaster risk reduction within and across all sectors, across different timescales and with targets, </w:t>
      </w:r>
      <w:proofErr w:type="gramStart"/>
      <w:r w:rsidRPr="007959FE">
        <w:rPr>
          <w:rFonts w:ascii="Calibri" w:eastAsia="Times New Roman" w:hAnsi="Calibri" w:cs="Times New Roman"/>
          <w:color w:val="4A4A4A"/>
          <w:sz w:val="21"/>
          <w:szCs w:val="21"/>
          <w:lang w:eastAsia="en-GB"/>
        </w:rPr>
        <w:t>indicators</w:t>
      </w:r>
      <w:proofErr w:type="gramEnd"/>
      <w:r w:rsidRPr="007959FE">
        <w:rPr>
          <w:rFonts w:ascii="Calibri" w:eastAsia="Times New Roman" w:hAnsi="Calibri" w:cs="Times New Roman"/>
          <w:color w:val="4A4A4A"/>
          <w:sz w:val="21"/>
          <w:szCs w:val="21"/>
          <w:lang w:eastAsia="en-GB"/>
        </w:rPr>
        <w:t xml:space="preserve"> and time frames. These strategies should be aimed at preventing the creation of disaster risk, the reduction of existing risk and the strengthening of economic, social, health and environmental resilience.</w:t>
      </w:r>
    </w:p>
    <w:p w14:paraId="199856A0" w14:textId="77777777" w:rsidR="007959FE" w:rsidRPr="007959FE" w:rsidRDefault="007959FE" w:rsidP="007959FE">
      <w:pPr>
        <w:shd w:val="clear" w:color="auto" w:fill="FFFFFF"/>
        <w:spacing w:after="0"/>
        <w:rPr>
          <w:rFonts w:ascii="Calibri" w:eastAsia="Times New Roman" w:hAnsi="Calibri" w:cs="Times New Roman"/>
          <w:color w:val="4A4A4A"/>
          <w:sz w:val="21"/>
          <w:szCs w:val="21"/>
          <w:lang w:eastAsia="en-GB"/>
        </w:rPr>
      </w:pPr>
    </w:p>
    <w:p w14:paraId="153B09C3" w14:textId="04D5F224" w:rsidR="00D51E7C" w:rsidRPr="00436B01" w:rsidRDefault="007959FE" w:rsidP="00436B01">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(OIEWG) established by the General Assembly (resolution 69/284) has developed a set of indicators to measure global progress in the implementation of the Sendai Framework, which was endorsed by the UNGA (OIEWG </w:t>
      </w:r>
      <w:hyperlink r:id="rId11" w:history="1">
        <w:r w:rsidRPr="007959FE">
          <w:rPr>
            <w:rFonts w:ascii="Calibri" w:eastAsia="Times New Roman" w:hAnsi="Calibri" w:cs="Arial"/>
            <w:color w:val="4A4A4A"/>
            <w:lang w:eastAsia="en-GB"/>
          </w:rPr>
          <w:t>report A/71/644</w:t>
        </w:r>
      </w:hyperlink>
      <w:r w:rsidRPr="007959FE">
        <w:rPr>
          <w:rFonts w:ascii="Calibri" w:eastAsia="Times New Roman" w:hAnsi="Calibri" w:cs="Arial"/>
          <w:color w:val="4A4A4A"/>
          <w:sz w:val="21"/>
          <w:szCs w:val="21"/>
          <w:lang w:eastAsia="en-GB"/>
        </w:rPr>
        <w:t>). The relevant SDG indicators reflect the Sendai Framework indicators.</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t>3.a. Data sources</w:t>
      </w:r>
    </w:p>
    <w:p w14:paraId="74D644C3"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Sendai Framework Monitor, reported to UNISDR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120F4B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The national Sendai Framework Focal Points will compile all inputs from their line ministries, NSO, and other entities, if appropriate, and report through the Sendai Framework Monitoring System.</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46C49E99"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2015 -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435FF41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Every year from Q2 2018 </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79B1CBDA"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National Sendai Framework Focal Points usually represent the coordinating lead institution chairing the National DRR platform which is comprised of special purpose agencies including national disaster agencies, civil protection agencies, and meteorological agencies.</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5E07BC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3D063F4C" w14:textId="1EB6FDC3"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6D0AC15A" w14:textId="17A7EE6F" w:rsidR="007959FE" w:rsidRPr="00436B01" w:rsidRDefault="00576CFA" w:rsidP="00436B01">
      <w:pPr>
        <w:pStyle w:val="MHeader2"/>
      </w:pPr>
      <w:r w:rsidRPr="00A96255">
        <w:lastRenderedPageBreak/>
        <w:t>4.a. Rationale</w:t>
      </w:r>
    </w:p>
    <w:p w14:paraId="6DDC294F" w14:textId="3EE1872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Increasing the proportion of local governments that adopt and implement local disaster risk reduction strategies, which the Sendai Framework calls for, will contribute to sustainable </w:t>
      </w:r>
      <w:proofErr w:type="gramStart"/>
      <w:r w:rsidRPr="007959FE">
        <w:rPr>
          <w:rFonts w:ascii="Calibri" w:eastAsia="Times New Roman" w:hAnsi="Calibri" w:cs="Arial"/>
          <w:color w:val="4A4A4A"/>
          <w:sz w:val="21"/>
          <w:szCs w:val="21"/>
          <w:lang w:eastAsia="en-GB"/>
        </w:rPr>
        <w:t>development</w:t>
      </w:r>
      <w:proofErr w:type="gramEnd"/>
      <w:r w:rsidRPr="007959FE">
        <w:rPr>
          <w:rFonts w:ascii="Calibri" w:eastAsia="Times New Roman" w:hAnsi="Calibri" w:cs="Arial"/>
          <w:color w:val="4A4A4A"/>
          <w:sz w:val="21"/>
          <w:szCs w:val="21"/>
          <w:lang w:eastAsia="en-GB"/>
        </w:rPr>
        <w:t xml:space="preserve"> </w:t>
      </w:r>
      <w:r w:rsidRPr="007959FE">
        <w:rPr>
          <w:rFonts w:ascii="Calibri" w:eastAsia="Times New Roman" w:hAnsi="Calibri" w:cs="Times New Roman"/>
          <w:color w:val="4A4A4A"/>
          <w:sz w:val="21"/>
          <w:szCs w:val="21"/>
          <w:lang w:eastAsia="en-GB"/>
        </w:rPr>
        <w:t xml:space="preserve">and strengthen economic, social, health and environmental resilience. </w:t>
      </w:r>
      <w:r w:rsidRPr="007959FE">
        <w:rPr>
          <w:rFonts w:ascii="Calibri" w:eastAsia="Times New Roman" w:hAnsi="Calibri" w:cs="Arial"/>
          <w:color w:val="4A4A4A"/>
          <w:sz w:val="21"/>
          <w:szCs w:val="21"/>
          <w:lang w:eastAsia="en-GB"/>
        </w:rPr>
        <w:t xml:space="preserve">Their economic, </w:t>
      </w:r>
      <w:proofErr w:type="gramStart"/>
      <w:r w:rsidRPr="007959FE">
        <w:rPr>
          <w:rFonts w:ascii="Calibri" w:eastAsia="Times New Roman" w:hAnsi="Calibri" w:cs="Arial"/>
          <w:color w:val="4A4A4A"/>
          <w:sz w:val="21"/>
          <w:szCs w:val="21"/>
          <w:lang w:eastAsia="en-GB"/>
        </w:rPr>
        <w:t>environmental</w:t>
      </w:r>
      <w:proofErr w:type="gramEnd"/>
      <w:r w:rsidRPr="007959FE">
        <w:rPr>
          <w:rFonts w:ascii="Calibri" w:eastAsia="Times New Roman" w:hAnsi="Calibri" w:cs="Arial"/>
          <w:color w:val="4A4A4A"/>
          <w:sz w:val="21"/>
          <w:szCs w:val="21"/>
          <w:lang w:eastAsia="en-GB"/>
        </w:rPr>
        <w:t xml:space="preserve"> and social perspectives </w:t>
      </w:r>
      <w:r w:rsidRPr="007959FE">
        <w:rPr>
          <w:rFonts w:ascii="Calibri" w:eastAsia="Times New Roman" w:hAnsi="Calibri" w:cs="Times New Roman"/>
          <w:color w:val="4A4A4A"/>
          <w:sz w:val="21"/>
          <w:szCs w:val="21"/>
          <w:lang w:eastAsia="en-GB"/>
        </w:rPr>
        <w:t>would include poverty eradication, urban resilience, and climate change adaptation</w:t>
      </w:r>
      <w:r w:rsidRPr="007959FE">
        <w:rPr>
          <w:rFonts w:ascii="Calibri" w:eastAsia="Times New Roman" w:hAnsi="Calibri" w:cs="Arial"/>
          <w:color w:val="4A4A4A"/>
          <w:sz w:val="21"/>
          <w:szCs w:val="21"/>
          <w:lang w:eastAsia="en-GB"/>
        </w:rPr>
        <w:t>.</w:t>
      </w:r>
    </w:p>
    <w:p w14:paraId="3229A413"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p>
    <w:p w14:paraId="2529B069" w14:textId="618DCD10" w:rsidR="00E1050F" w:rsidRPr="00A96255" w:rsidRDefault="00E1050F" w:rsidP="00F719A8">
      <w:pPr>
        <w:pStyle w:val="MHeader2"/>
      </w:pPr>
      <w:r w:rsidRPr="00A96255">
        <w:t>4.b. Comment and limitations</w:t>
      </w:r>
    </w:p>
    <w:p w14:paraId="6DB2E137"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The </w:t>
      </w:r>
      <w:r w:rsidRPr="007959FE">
        <w:rPr>
          <w:rFonts w:ascii="Calibri" w:eastAsia="Times New Roman" w:hAnsi="Calibri" w:cs="Times New Roman"/>
          <w:color w:val="4A4A4A"/>
          <w:sz w:val="21"/>
          <w:szCs w:val="21"/>
          <w:lang w:eastAsia="en-GB"/>
        </w:rPr>
        <w:t>Hyogo Framework for Action Monitor (</w:t>
      </w:r>
      <w:r w:rsidRPr="007959FE">
        <w:rPr>
          <w:rFonts w:ascii="Calibri" w:eastAsia="Times New Roman" w:hAnsi="Calibri" w:cs="Arial"/>
          <w:color w:val="4A4A4A"/>
          <w:sz w:val="21"/>
          <w:szCs w:val="21"/>
          <w:lang w:eastAsia="en-GB"/>
        </w:rPr>
        <w:t xml:space="preserve">HFA Monitor) started in 2007 and over time, the number of countries reporting to UNISDR increased from 60 in 2007 to approximately 100 countries in 2015 undertaking voluntary self-assessment of progress in implementing the HFA. During the four reporting cycles the HFA Monitor has generated the world’s largest repository of information on national disaster risk reduction policy inter alia. </w:t>
      </w:r>
      <w:r w:rsidRPr="007959FE">
        <w:rPr>
          <w:rFonts w:ascii="Calibri" w:eastAsia="Times New Roman" w:hAnsi="Calibri" w:cs="Times New Roman"/>
          <w:color w:val="4A4A4A"/>
          <w:sz w:val="21"/>
          <w:szCs w:val="21"/>
          <w:lang w:eastAsia="en-GB"/>
        </w:rPr>
        <w:t xml:space="preserve">In 2018 the Sendai Framework Monitor system will </w:t>
      </w:r>
      <w:proofErr w:type="gramStart"/>
      <w:r w:rsidRPr="007959FE">
        <w:rPr>
          <w:rFonts w:ascii="Calibri" w:eastAsia="Times New Roman" w:hAnsi="Calibri" w:cs="Times New Roman"/>
          <w:color w:val="4A4A4A"/>
          <w:sz w:val="21"/>
          <w:szCs w:val="21"/>
          <w:lang w:eastAsia="en-GB"/>
        </w:rPr>
        <w:t>launch</w:t>
      </w:r>
      <w:proofErr w:type="gramEnd"/>
      <w:r w:rsidRPr="007959FE">
        <w:rPr>
          <w:rFonts w:ascii="Calibri" w:eastAsia="Times New Roman" w:hAnsi="Calibri" w:cs="Times New Roman"/>
          <w:color w:val="4A4A4A"/>
          <w:sz w:val="21"/>
          <w:szCs w:val="21"/>
          <w:lang w:eastAsia="en-GB"/>
        </w:rPr>
        <w:t xml:space="preserve"> and all Member States are expected to report data of the previous year(s).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5B365B06"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Member States count the number of local governments that adopt and implement local DRR strategies in line with the national strategy and express it as a percentage of the total number of local governments in the country.</w:t>
      </w:r>
    </w:p>
    <w:p w14:paraId="4F4EE3A0"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207F40ED"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Local governments are determined by the reporting country for this indicator, considering sub-national public administrations with responsibility to develop local disaster risk reduction strategies. It is recommended that countries report on progress made by the lowest level of government accorded the mandate for disaster risk reduction, as the Sendai Framework promotes the adoption and implementation of local disaster risk reduction strategies in every local authority.</w:t>
      </w:r>
    </w:p>
    <w:p w14:paraId="4CEA88BB"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5C8C5675"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Each Member State will calculate the ratio of the number of local governments with local DRR strategies in line with national strategies and the total number of local governments.</w:t>
      </w:r>
    </w:p>
    <w:p w14:paraId="0EDDAF42"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699927E7"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Global Average will then be calculated as below through arithmetic average of the data from each Member State.</w:t>
      </w:r>
    </w:p>
    <w:p w14:paraId="339CBA36"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p>
    <w:p w14:paraId="1EA075AC" w14:textId="77777777" w:rsidR="007959FE" w:rsidRPr="007959FE" w:rsidRDefault="007959FE" w:rsidP="007959FE">
      <w:pPr>
        <w:shd w:val="clear" w:color="auto" w:fill="FFFFFF"/>
        <w:spacing w:after="0"/>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 Further information of the methodology can be obtained in the Technical Guidance (see reference).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0025F830" w14:textId="31A98DAF"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53B3A22D" w14:textId="77777777" w:rsidR="007959FE" w:rsidRPr="00B028B4" w:rsidRDefault="007959FE" w:rsidP="007959FE">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B028B4">
        <w:rPr>
          <w:rFonts w:ascii="Calibri" w:eastAsia="Times New Roman" w:hAnsi="Calibri" w:cs="Arial"/>
          <w:b/>
          <w:bCs/>
          <w:color w:val="1C75BC"/>
          <w:sz w:val="21"/>
          <w:szCs w:val="21"/>
          <w:lang w:eastAsia="en-GB"/>
        </w:rPr>
        <w:t>At country level</w:t>
      </w:r>
    </w:p>
    <w:p w14:paraId="2D616F57"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If a country does not report (missing Value), it will </w:t>
      </w:r>
      <w:proofErr w:type="gramStart"/>
      <w:r w:rsidRPr="007959FE">
        <w:rPr>
          <w:rFonts w:ascii="Calibri" w:eastAsia="Times New Roman" w:hAnsi="Calibri" w:cs="Arial"/>
          <w:color w:val="4A4A4A"/>
          <w:sz w:val="21"/>
          <w:szCs w:val="21"/>
          <w:lang w:eastAsia="en-GB"/>
        </w:rPr>
        <w:t>be considered to be</w:t>
      </w:r>
      <w:proofErr w:type="gramEnd"/>
      <w:r w:rsidRPr="007959FE">
        <w:rPr>
          <w:rFonts w:ascii="Calibri" w:eastAsia="Times New Roman" w:hAnsi="Calibri" w:cs="Arial"/>
          <w:color w:val="4A4A4A"/>
          <w:sz w:val="21"/>
          <w:szCs w:val="21"/>
          <w:lang w:eastAsia="en-GB"/>
        </w:rPr>
        <w:t xml:space="preserve"> 0 or null as same as the HFA Monitor.</w:t>
      </w:r>
    </w:p>
    <w:p w14:paraId="0DF93207"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p>
    <w:p w14:paraId="2C00ECB8" w14:textId="77777777" w:rsidR="007959FE" w:rsidRPr="00B028B4" w:rsidRDefault="007959FE" w:rsidP="007959FE">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B028B4">
        <w:rPr>
          <w:rFonts w:ascii="Calibri" w:eastAsia="Times New Roman" w:hAnsi="Calibri" w:cs="Arial"/>
          <w:b/>
          <w:bCs/>
          <w:color w:val="1C75BC"/>
          <w:sz w:val="21"/>
          <w:szCs w:val="21"/>
          <w:lang w:eastAsia="en-GB"/>
        </w:rPr>
        <w:lastRenderedPageBreak/>
        <w:t>At regional and global levels</w:t>
      </w:r>
    </w:p>
    <w:p w14:paraId="3A860ED5" w14:textId="77777777" w:rsidR="007959FE" w:rsidRPr="007959FE" w:rsidRDefault="007959FE" w:rsidP="007959FE">
      <w:pPr>
        <w:shd w:val="clear" w:color="auto" w:fill="FFFFFF"/>
        <w:spacing w:after="0" w:line="336" w:lineRule="atLeast"/>
        <w:ind w:left="495"/>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4.g. Regional aggregations</w:t>
      </w:r>
    </w:p>
    <w:p w14:paraId="3B82A7C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It could be calculated as an arithmetic average of reports by Member States.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9B8B347" w14:textId="77777777" w:rsidR="007959FE" w:rsidRPr="007959FE" w:rsidRDefault="007959FE" w:rsidP="007959FE">
      <w:pPr>
        <w:numPr>
          <w:ilvl w:val="0"/>
          <w:numId w:val="6"/>
        </w:numPr>
        <w:shd w:val="clear" w:color="auto" w:fill="FFFFFF"/>
        <w:spacing w:after="0" w:line="240" w:lineRule="auto"/>
        <w:contextualSpacing/>
        <w:jc w:val="both"/>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 xml:space="preserve">Technical guidance for monitoring and reporting on progress in achieving the global targets of the Sendai Framework for Disaster Risk Reduction </w:t>
      </w:r>
    </w:p>
    <w:p w14:paraId="0DC26DC8" w14:textId="77777777" w:rsidR="007959FE" w:rsidRPr="007959FE" w:rsidRDefault="003C6C2C" w:rsidP="007959FE">
      <w:pPr>
        <w:spacing w:after="0" w:line="240" w:lineRule="auto"/>
        <w:ind w:left="720"/>
        <w:contextualSpacing/>
        <w:jc w:val="both"/>
        <w:rPr>
          <w:rFonts w:ascii="Calibri" w:eastAsia="Times New Roman" w:hAnsi="Calibri" w:cs="Times New Roman"/>
          <w:color w:val="4A4A4A"/>
          <w:sz w:val="21"/>
          <w:szCs w:val="21"/>
          <w:lang w:eastAsia="en-GB"/>
        </w:rPr>
      </w:pPr>
      <w:hyperlink r:id="rId12" w:history="1">
        <w:r w:rsidR="007959FE" w:rsidRPr="007959FE">
          <w:rPr>
            <w:rFonts w:ascii="Calibri" w:eastAsia="Times New Roman" w:hAnsi="Calibri" w:cs="Times New Roman"/>
            <w:color w:val="0000FF"/>
            <w:sz w:val="21"/>
            <w:szCs w:val="21"/>
            <w:u w:val="single"/>
            <w:lang w:eastAsia="en-GB"/>
          </w:rPr>
          <w:t>http://www.preventionweb.net/events/view/55594</w:t>
        </w:r>
      </w:hyperlink>
      <w:r w:rsidR="007959FE" w:rsidRPr="007959FE">
        <w:rPr>
          <w:rFonts w:ascii="Calibri" w:eastAsia="Times New Roman" w:hAnsi="Calibri" w:cs="Times New Roman"/>
          <w:color w:val="4A4A4A"/>
          <w:sz w:val="21"/>
          <w:szCs w:val="21"/>
          <w:lang w:eastAsia="en-GB"/>
        </w:rPr>
        <w:t xml:space="preserve">  </w:t>
      </w:r>
    </w:p>
    <w:p w14:paraId="76FA53F7" w14:textId="77777777" w:rsidR="007959FE" w:rsidRPr="007959FE" w:rsidRDefault="007959FE" w:rsidP="007959FE">
      <w:pPr>
        <w:shd w:val="clear" w:color="auto" w:fill="FFFFFF"/>
        <w:spacing w:after="0" w:line="240" w:lineRule="auto"/>
        <w:ind w:left="720"/>
        <w:contextualSpacing/>
        <w:jc w:val="both"/>
        <w:rPr>
          <w:rFonts w:ascii="Calibri" w:eastAsia="Times New Roman" w:hAnsi="Calibri" w:cs="Times New Roman"/>
          <w:color w:val="4A4A4A"/>
          <w:sz w:val="21"/>
          <w:szCs w:val="21"/>
          <w:lang w:eastAsia="en-GB"/>
        </w:rPr>
      </w:pPr>
      <w:r w:rsidRPr="007959FE">
        <w:rPr>
          <w:rFonts w:ascii="Calibri" w:eastAsia="Times New Roman" w:hAnsi="Calibri" w:cs="Times New Roman"/>
          <w:color w:val="4A4A4A"/>
          <w:sz w:val="21"/>
          <w:szCs w:val="21"/>
          <w:lang w:eastAsia="en-GB"/>
        </w:rPr>
        <w:t>(The latest version will be uploaded on this site in early November)</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F667665" w14:textId="77777777" w:rsidR="007959FE" w:rsidRPr="007959FE" w:rsidRDefault="007959FE" w:rsidP="007959FE">
      <w:pPr>
        <w:numPr>
          <w:ilvl w:val="0"/>
          <w:numId w:val="7"/>
        </w:numPr>
        <w:shd w:val="clear" w:color="auto" w:fill="FFFFFF"/>
        <w:spacing w:after="0"/>
        <w:contextualSpacing/>
        <w:rPr>
          <w:rFonts w:ascii="Calibri" w:eastAsia="Times New Roman" w:hAnsi="Calibri" w:cs="Times New Roman"/>
          <w:color w:val="4A4A4A"/>
          <w:sz w:val="21"/>
          <w:szCs w:val="21"/>
          <w:lang w:eastAsia="en-US"/>
        </w:rPr>
      </w:pPr>
      <w:r w:rsidRPr="007959FE">
        <w:rPr>
          <w:rFonts w:ascii="Calibri" w:eastAsia="Times New Roman" w:hAnsi="Calibri" w:cs="Times New Roman"/>
          <w:color w:val="4A4A4A"/>
          <w:sz w:val="21"/>
          <w:szCs w:val="21"/>
          <w:lang w:eastAsia="en-GB"/>
        </w:rPr>
        <w:t xml:space="preserve">Description of practices and guidelines for quality assurance followed at your agency. </w:t>
      </w:r>
    </w:p>
    <w:p w14:paraId="68D8B25E" w14:textId="77777777" w:rsidR="007959FE" w:rsidRPr="007959FE" w:rsidRDefault="007959FE" w:rsidP="007959FE">
      <w:pPr>
        <w:shd w:val="clear" w:color="auto" w:fill="FFFFFF"/>
        <w:spacing w:after="0"/>
        <w:rPr>
          <w:rFonts w:ascii="Calibri" w:eastAsia="Times New Roman" w:hAnsi="Calibri" w:cs="Times New Roman"/>
          <w:color w:val="4A4A4A"/>
          <w:sz w:val="21"/>
          <w:szCs w:val="21"/>
        </w:rPr>
      </w:pPr>
    </w:p>
    <w:p w14:paraId="5C3FAA65" w14:textId="77777777" w:rsidR="007959FE" w:rsidRPr="007959FE" w:rsidRDefault="007959FE" w:rsidP="007959FE">
      <w:pPr>
        <w:numPr>
          <w:ilvl w:val="0"/>
          <w:numId w:val="7"/>
        </w:numPr>
        <w:shd w:val="clear" w:color="auto" w:fill="FFFFFF"/>
        <w:spacing w:after="0"/>
        <w:contextualSpacing/>
        <w:rPr>
          <w:rFonts w:ascii="Calibri" w:eastAsia="Calibri" w:hAnsi="Calibri" w:cs="Arial"/>
          <w:color w:val="4A86E8"/>
          <w:sz w:val="20"/>
          <w:szCs w:val="20"/>
          <w:lang w:eastAsia="en-US"/>
        </w:rPr>
      </w:pPr>
      <w:r w:rsidRPr="007959FE">
        <w:rPr>
          <w:rFonts w:ascii="Calibri" w:eastAsia="Times New Roman" w:hAnsi="Calibri" w:cs="Times New Roman"/>
          <w:color w:val="4A4A4A"/>
          <w:sz w:val="21"/>
          <w:szCs w:val="21"/>
          <w:lang w:eastAsia="en-GB"/>
        </w:rPr>
        <w:t xml:space="preserve">UNISDR Regional Office will have a regular contact with National Sendai Framework Focal Points (data providers).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4E3E5136" w:rsidR="00576CFA" w:rsidRPr="00B028B4" w:rsidRDefault="00D51E7C" w:rsidP="00576CFA">
      <w:pPr>
        <w:pStyle w:val="MText"/>
        <w:rPr>
          <w:b/>
          <w:bCs/>
        </w:rPr>
      </w:pPr>
      <w:r w:rsidRPr="00B028B4">
        <w:rPr>
          <w:b/>
          <w:bCs/>
        </w:rPr>
        <w:t>Data availability:</w:t>
      </w:r>
    </w:p>
    <w:p w14:paraId="0C0F6962"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 xml:space="preserve">UNISDR conducted the </w:t>
      </w:r>
      <w:r w:rsidRPr="007959FE">
        <w:rPr>
          <w:rFonts w:ascii="Calibri" w:eastAsia="Times New Roman" w:hAnsi="Calibri" w:cs="Arial"/>
          <w:i/>
          <w:iCs/>
          <w:color w:val="4A4A4A"/>
          <w:sz w:val="21"/>
          <w:szCs w:val="21"/>
          <w:lang w:eastAsia="en-GB"/>
        </w:rPr>
        <w:t>Sendai Framework Data Readiness Review</w:t>
      </w:r>
      <w:r w:rsidRPr="007959FE">
        <w:rPr>
          <w:rFonts w:ascii="Calibri" w:eastAsia="Times New Roman" w:hAnsi="Calibri" w:cs="Arial"/>
          <w:color w:val="4A4A4A"/>
          <w:sz w:val="21"/>
          <w:szCs w:val="21"/>
          <w:lang w:eastAsia="en-GB"/>
        </w:rPr>
        <w:t xml:space="preserve"> which 87 Member States responded between February and April in 2017. </w:t>
      </w:r>
    </w:p>
    <w:p w14:paraId="464A927E"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p>
    <w:p w14:paraId="35E2C6F6"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In Q1 2018 all Member States will be invited to start reporting. Since in the previous monitoring approximately 100 countries reported their National HFA Monitor in each cycle, we expect the similar number of reporting.</w:t>
      </w:r>
    </w:p>
    <w:p w14:paraId="2D0542F7" w14:textId="3DE6BFAB" w:rsidR="00D51E7C" w:rsidRPr="00C019E5" w:rsidRDefault="00D51E7C" w:rsidP="00576CFA">
      <w:pPr>
        <w:pStyle w:val="MText"/>
        <w:rPr>
          <w:highlight w:val="cyan"/>
        </w:rPr>
      </w:pPr>
    </w:p>
    <w:p w14:paraId="5853D6F7" w14:textId="7B1FFEE6" w:rsidR="00D51E7C" w:rsidRPr="00B028B4" w:rsidRDefault="00D51E7C" w:rsidP="00576CFA">
      <w:pPr>
        <w:pStyle w:val="MText"/>
        <w:rPr>
          <w:b/>
          <w:bCs/>
        </w:rPr>
      </w:pPr>
      <w:r w:rsidRPr="00B028B4">
        <w:rPr>
          <w:b/>
          <w:bCs/>
        </w:rPr>
        <w:t>Time series:</w:t>
      </w:r>
    </w:p>
    <w:p w14:paraId="73FDECE7"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from 2015</w:t>
      </w:r>
    </w:p>
    <w:p w14:paraId="1582AC87" w14:textId="77777777" w:rsidR="007959FE" w:rsidRPr="00C019E5" w:rsidRDefault="007959FE" w:rsidP="00576CFA">
      <w:pPr>
        <w:pStyle w:val="MText"/>
        <w:rPr>
          <w:highlight w:val="cyan"/>
        </w:rPr>
      </w:pPr>
    </w:p>
    <w:p w14:paraId="72C7C370" w14:textId="4C988F93" w:rsidR="00D51E7C" w:rsidRPr="00B028B4" w:rsidRDefault="00D51E7C" w:rsidP="00576CFA">
      <w:pPr>
        <w:pStyle w:val="MText"/>
        <w:rPr>
          <w:b/>
          <w:bCs/>
        </w:rPr>
      </w:pPr>
      <w:r w:rsidRPr="00B028B4">
        <w:rPr>
          <w:b/>
          <w:bCs/>
        </w:rPr>
        <w:t>Disaggregation:</w:t>
      </w:r>
    </w:p>
    <w:p w14:paraId="1EBF8F1B"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By country</w:t>
      </w:r>
    </w:p>
    <w:p w14:paraId="35E1C578"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By local government (applying sub-national administrative unit)</w:t>
      </w:r>
    </w:p>
    <w:p w14:paraId="13C8E853" w14:textId="77777777" w:rsidR="007959FE" w:rsidRDefault="007959FE" w:rsidP="00576CFA">
      <w:pPr>
        <w:pStyle w:val="MText"/>
      </w:pPr>
    </w:p>
    <w:p w14:paraId="4D0520F7" w14:textId="11F0E737" w:rsidR="00382CF3" w:rsidRPr="00A96255" w:rsidRDefault="00B31E2C" w:rsidP="000412A0">
      <w:pPr>
        <w:pStyle w:val="MHeader"/>
        <w:spacing w:after="100"/>
      </w:pPr>
      <w:r w:rsidRPr="00A96255">
        <w:lastRenderedPageBreak/>
        <w:t>6. Comparability / d</w:t>
      </w:r>
      <w:r w:rsidR="00576CFA" w:rsidRPr="00A96255">
        <w:t>eviatio</w:t>
      </w:r>
      <w:r w:rsidR="00382CF3" w:rsidRPr="00A96255">
        <w:t>n from international standards</w:t>
      </w:r>
    </w:p>
    <w:p w14:paraId="3595E072" w14:textId="30EB5C1C" w:rsidR="00D51E7C" w:rsidRPr="00B028B4" w:rsidRDefault="00D51E7C" w:rsidP="00576CFA">
      <w:pPr>
        <w:pStyle w:val="MText"/>
        <w:rPr>
          <w:b/>
          <w:bCs/>
        </w:rPr>
      </w:pPr>
      <w:r w:rsidRPr="00B028B4">
        <w:rPr>
          <w:b/>
          <w:bCs/>
        </w:rPr>
        <w:t>Sources of discrepancies:</w:t>
      </w:r>
    </w:p>
    <w:p w14:paraId="6D61B98F" w14:textId="77777777" w:rsidR="007959FE" w:rsidRPr="007959FE" w:rsidRDefault="007959FE" w:rsidP="007959FE">
      <w:pPr>
        <w:shd w:val="clear" w:color="auto" w:fill="FFFFFF"/>
        <w:spacing w:after="0" w:line="336" w:lineRule="atLeast"/>
        <w:rPr>
          <w:rFonts w:ascii="Calibri" w:eastAsia="Times New Roman" w:hAnsi="Calibri" w:cs="Arial"/>
          <w:color w:val="4A4A4A"/>
          <w:sz w:val="21"/>
          <w:szCs w:val="21"/>
          <w:lang w:eastAsia="en-GB"/>
        </w:rPr>
      </w:pPr>
      <w:r w:rsidRPr="007959FE">
        <w:rPr>
          <w:rFonts w:ascii="Calibri" w:eastAsia="Times New Roman" w:hAnsi="Calibri" w:cs="Arial"/>
          <w:color w:val="4A4A4A"/>
          <w:sz w:val="21"/>
          <w:szCs w:val="21"/>
          <w:lang w:eastAsia="en-GB"/>
        </w:rPr>
        <w:t>N/A (There is no global database collecting DRR policy information besides the HFA Monitor and the succeeding Sendai Framework Monitor.)</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1424388"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r w:rsidRPr="007F1B66">
        <w:rPr>
          <w:rFonts w:ascii="Calibri" w:eastAsia="Times New Roman" w:hAnsi="Calibri" w:cs="Arial"/>
          <w:b/>
          <w:bCs/>
          <w:color w:val="4A4A4A"/>
          <w:sz w:val="21"/>
          <w:szCs w:val="21"/>
          <w:lang w:eastAsia="en-GB"/>
        </w:rPr>
        <w:t>URL:</w:t>
      </w:r>
    </w:p>
    <w:p w14:paraId="4488F032" w14:textId="77777777" w:rsidR="007F1B66" w:rsidRPr="007F1B66" w:rsidRDefault="003C6C2C" w:rsidP="007F1B66">
      <w:pPr>
        <w:numPr>
          <w:ilvl w:val="0"/>
          <w:numId w:val="8"/>
        </w:numPr>
        <w:shd w:val="clear" w:color="auto" w:fill="FFFFFF"/>
        <w:spacing w:after="0"/>
        <w:contextualSpacing/>
        <w:rPr>
          <w:rFonts w:ascii="Calibri" w:eastAsia="Calibri" w:hAnsi="Calibri" w:cs="Times New Roman"/>
          <w:color w:val="0000FF"/>
          <w:sz w:val="24"/>
          <w:szCs w:val="24"/>
          <w:u w:val="single"/>
          <w:lang w:eastAsia="en-US"/>
        </w:rPr>
      </w:pPr>
      <w:hyperlink r:id="rId13" w:history="1">
        <w:r w:rsidR="007F1B66" w:rsidRPr="007F1B66">
          <w:rPr>
            <w:rFonts w:ascii="Calibri" w:eastAsia="Times New Roman" w:hAnsi="Calibri" w:cs="Times New Roman"/>
            <w:color w:val="0000FF"/>
            <w:sz w:val="21"/>
            <w:szCs w:val="21"/>
            <w:u w:val="single"/>
            <w:lang w:eastAsia="en-GB"/>
          </w:rPr>
          <w:t>http://www.preventionweb.net/files/50683_oiewgreportenglish.pdf</w:t>
        </w:r>
      </w:hyperlink>
    </w:p>
    <w:p w14:paraId="547399FC" w14:textId="77777777" w:rsidR="007F1B66" w:rsidRPr="007F1B66" w:rsidRDefault="003C6C2C" w:rsidP="007F1B66">
      <w:pPr>
        <w:numPr>
          <w:ilvl w:val="0"/>
          <w:numId w:val="8"/>
        </w:numPr>
        <w:shd w:val="clear" w:color="auto" w:fill="FFFFFF"/>
        <w:spacing w:after="0"/>
        <w:contextualSpacing/>
        <w:rPr>
          <w:rFonts w:ascii="Calibri" w:eastAsia="Times New Roman" w:hAnsi="Calibri" w:cs="Times New Roman"/>
          <w:color w:val="0000FF" w:themeColor="hyperlink"/>
          <w:sz w:val="21"/>
          <w:szCs w:val="21"/>
          <w:u w:val="single"/>
          <w:lang w:eastAsia="en-GB"/>
        </w:rPr>
      </w:pPr>
      <w:hyperlink r:id="rId14" w:history="1">
        <w:r w:rsidR="007F1B66" w:rsidRPr="007F1B66">
          <w:rPr>
            <w:rFonts w:ascii="Calibri" w:eastAsia="Times New Roman" w:hAnsi="Calibri" w:cs="Times New Roman"/>
            <w:color w:val="0000FF"/>
            <w:sz w:val="21"/>
            <w:szCs w:val="21"/>
            <w:u w:val="single"/>
            <w:lang w:eastAsia="en-GB"/>
          </w:rPr>
          <w:t>http://www.preventionweb.net/english/hyogo/progress/</w:t>
        </w:r>
      </w:hyperlink>
    </w:p>
    <w:p w14:paraId="71E740FF" w14:textId="77777777" w:rsidR="007F1B66" w:rsidRPr="007F1B66" w:rsidRDefault="003C6C2C" w:rsidP="007F1B66">
      <w:pPr>
        <w:numPr>
          <w:ilvl w:val="0"/>
          <w:numId w:val="8"/>
        </w:numPr>
        <w:shd w:val="clear" w:color="auto" w:fill="FFFFFF"/>
        <w:spacing w:after="0"/>
        <w:contextualSpacing/>
        <w:rPr>
          <w:rFonts w:ascii="Times New Roman" w:eastAsia="Calibri" w:hAnsi="Times New Roman" w:cs="Arial"/>
          <w:sz w:val="24"/>
          <w:szCs w:val="24"/>
          <w:lang w:eastAsia="en-US"/>
        </w:rPr>
      </w:pPr>
      <w:hyperlink r:id="rId15" w:history="1">
        <w:r w:rsidR="007F1B66" w:rsidRPr="007F1B66">
          <w:rPr>
            <w:rFonts w:ascii="Calibri" w:eastAsia="Times New Roman" w:hAnsi="Calibri" w:cs="Times New Roman"/>
            <w:color w:val="0000FF"/>
            <w:sz w:val="21"/>
            <w:szCs w:val="21"/>
            <w:u w:val="single"/>
            <w:lang w:eastAsia="en-GB"/>
          </w:rPr>
          <w:t>http://www.preventionweb.net/events/view/55594</w:t>
        </w:r>
      </w:hyperlink>
      <w:r w:rsidR="007F1B66" w:rsidRPr="007F1B66">
        <w:rPr>
          <w:rFonts w:ascii="Calibri" w:eastAsia="Times New Roman" w:hAnsi="Calibri" w:cs="Times New Roman"/>
          <w:color w:val="0000FF" w:themeColor="hyperlink"/>
          <w:sz w:val="21"/>
          <w:szCs w:val="21"/>
          <w:u w:val="single"/>
          <w:lang w:eastAsia="en-GB"/>
        </w:rPr>
        <w:t xml:space="preserve"> &lt;uploaded soon&gt;</w:t>
      </w:r>
    </w:p>
    <w:p w14:paraId="4FB5586B"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p>
    <w:p w14:paraId="7B0DDC5B" w14:textId="77777777" w:rsidR="007F1B66" w:rsidRPr="007F1B66" w:rsidRDefault="007F1B66" w:rsidP="007F1B66">
      <w:pPr>
        <w:shd w:val="clear" w:color="auto" w:fill="FFFFFF"/>
        <w:spacing w:after="0" w:line="336" w:lineRule="atLeast"/>
        <w:rPr>
          <w:rFonts w:ascii="Calibri" w:eastAsia="Times New Roman" w:hAnsi="Calibri" w:cs="Arial"/>
          <w:color w:val="4A4A4A"/>
          <w:sz w:val="21"/>
          <w:szCs w:val="21"/>
          <w:lang w:eastAsia="en-GB"/>
        </w:rPr>
      </w:pPr>
      <w:r w:rsidRPr="007F1B66">
        <w:rPr>
          <w:rFonts w:ascii="Calibri" w:eastAsia="Times New Roman" w:hAnsi="Calibri" w:cs="Arial"/>
          <w:b/>
          <w:bCs/>
          <w:color w:val="4A4A4A"/>
          <w:sz w:val="21"/>
          <w:szCs w:val="21"/>
          <w:lang w:eastAsia="en-GB"/>
        </w:rPr>
        <w:t>References:</w:t>
      </w:r>
    </w:p>
    <w:p w14:paraId="6404BD5D" w14:textId="77777777" w:rsidR="007F1B66" w:rsidRPr="007F1B66" w:rsidRDefault="007F1B66" w:rsidP="007F1B66">
      <w:pPr>
        <w:numPr>
          <w:ilvl w:val="0"/>
          <w:numId w:val="9"/>
        </w:numPr>
        <w:shd w:val="clear" w:color="auto" w:fill="FFFFFF"/>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Report of the open-ended intergovernmental expert working group on indicators and terminology relating to disaster risk reduction [A/71/644]</w:t>
      </w:r>
    </w:p>
    <w:p w14:paraId="24E1959E" w14:textId="77777777" w:rsidR="007F1B66" w:rsidRPr="007F1B66" w:rsidRDefault="007F1B66" w:rsidP="007F1B66">
      <w:pPr>
        <w:shd w:val="clear" w:color="auto" w:fill="FFFFFF"/>
        <w:spacing w:after="0" w:line="240" w:lineRule="auto"/>
        <w:ind w:left="720"/>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The IAEG-SDGs and the UN Statistical Commission deferred the responsibility for the further refinement and development of the methodology for disaster-related SDGs indicators to the OIEWG and formally adopted the OIEWG Report.</w:t>
      </w:r>
    </w:p>
    <w:p w14:paraId="7D359966" w14:textId="77777777" w:rsidR="007F1B66" w:rsidRPr="007F1B66" w:rsidRDefault="007F1B66" w:rsidP="007F1B66">
      <w:pPr>
        <w:shd w:val="clear" w:color="auto" w:fill="FFFFFF"/>
        <w:spacing w:after="0" w:line="336" w:lineRule="atLeast"/>
        <w:ind w:left="720"/>
        <w:rPr>
          <w:rFonts w:ascii="Calibri" w:eastAsia="Times New Roman" w:hAnsi="Calibri" w:cs="Calibri"/>
          <w:color w:val="404040" w:themeColor="text1" w:themeTint="BF"/>
          <w:sz w:val="21"/>
          <w:szCs w:val="21"/>
          <w:lang w:eastAsia="en-GB"/>
        </w:rPr>
      </w:pPr>
    </w:p>
    <w:p w14:paraId="0C4AD771" w14:textId="77777777" w:rsidR="007F1B66" w:rsidRPr="007F1B66" w:rsidRDefault="007F1B66" w:rsidP="007F1B66">
      <w:pPr>
        <w:numPr>
          <w:ilvl w:val="0"/>
          <w:numId w:val="9"/>
        </w:numPr>
        <w:shd w:val="clear" w:color="auto" w:fill="FFFFFF"/>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Hyogo Framework for Action Progress Reports</w:t>
      </w:r>
    </w:p>
    <w:p w14:paraId="2E37C76B" w14:textId="77777777" w:rsidR="007F1B66" w:rsidRPr="007F1B66" w:rsidRDefault="007F1B66" w:rsidP="007F1B66">
      <w:pPr>
        <w:shd w:val="clear" w:color="auto" w:fill="FFFFFF"/>
        <w:spacing w:after="0" w:line="240" w:lineRule="auto"/>
        <w:ind w:left="720"/>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During the four reporting cycles the HFA Monitor has generated the world’s largest repository of information on national DRR policy inter alia.</w:t>
      </w:r>
    </w:p>
    <w:p w14:paraId="2CEA24A5" w14:textId="77777777" w:rsidR="007F1B66" w:rsidRPr="007F1B66" w:rsidRDefault="007F1B66" w:rsidP="007F1B66">
      <w:pPr>
        <w:shd w:val="clear" w:color="auto" w:fill="FFFFFF"/>
        <w:spacing w:after="0"/>
        <w:ind w:left="426" w:firstLine="141"/>
        <w:rPr>
          <w:rFonts w:ascii="Calibri" w:eastAsia="Times New Roman" w:hAnsi="Calibri" w:cs="Calibri"/>
          <w:color w:val="404040" w:themeColor="text1" w:themeTint="BF"/>
          <w:sz w:val="21"/>
          <w:szCs w:val="21"/>
          <w:lang w:eastAsia="en-GB"/>
        </w:rPr>
      </w:pPr>
    </w:p>
    <w:p w14:paraId="2D8CA070" w14:textId="77777777" w:rsidR="007F1B66" w:rsidRPr="007F1B66" w:rsidRDefault="007F1B66" w:rsidP="007F1B66">
      <w:pPr>
        <w:numPr>
          <w:ilvl w:val="0"/>
          <w:numId w:val="9"/>
        </w:numPr>
        <w:spacing w:after="0" w:line="240" w:lineRule="auto"/>
        <w:contextualSpacing/>
        <w:jc w:val="both"/>
        <w:rPr>
          <w:rFonts w:ascii="Calibri" w:eastAsia="Times New Roman" w:hAnsi="Calibri" w:cs="Calibri"/>
          <w:color w:val="404040" w:themeColor="text1" w:themeTint="BF"/>
          <w:sz w:val="21"/>
          <w:szCs w:val="21"/>
          <w:lang w:eastAsia="en-GB"/>
        </w:rPr>
      </w:pPr>
      <w:r w:rsidRPr="007F1B66">
        <w:rPr>
          <w:rFonts w:ascii="Calibri" w:eastAsia="Times New Roman" w:hAnsi="Calibri" w:cs="Calibri"/>
          <w:color w:val="404040" w:themeColor="text1" w:themeTint="BF"/>
          <w:sz w:val="21"/>
          <w:szCs w:val="21"/>
          <w:lang w:eastAsia="en-GB"/>
        </w:rPr>
        <w:t>Technical guidance for monitoring and reporting on progress in achieving the global targets of the Sendai Framework for Disaster Risk Reduction (Draft)</w:t>
      </w:r>
    </w:p>
    <w:p w14:paraId="06F3C201" w14:textId="77777777" w:rsidR="007F1B66" w:rsidRPr="007F1B66" w:rsidRDefault="007F1B66" w:rsidP="007F1B66">
      <w:pPr>
        <w:spacing w:after="0" w:line="240" w:lineRule="auto"/>
        <w:ind w:left="720"/>
        <w:contextualSpacing/>
        <w:jc w:val="both"/>
        <w:rPr>
          <w:rFonts w:ascii="Calibri" w:eastAsia="Calibri" w:hAnsi="Calibri" w:cs="Calibri"/>
          <w:color w:val="404040" w:themeColor="text1" w:themeTint="BF"/>
          <w:sz w:val="21"/>
          <w:szCs w:val="21"/>
          <w:lang w:eastAsia="en-US"/>
        </w:rPr>
      </w:pPr>
      <w:r w:rsidRPr="007F1B66">
        <w:rPr>
          <w:rFonts w:ascii="Calibri" w:eastAsia="Calibri" w:hAnsi="Calibri" w:cs="Calibri"/>
          <w:color w:val="404040" w:themeColor="text1" w:themeTint="BF"/>
          <w:sz w:val="21"/>
          <w:szCs w:val="21"/>
          <w:lang w:eastAsia="en-US"/>
        </w:rPr>
        <w:t>The latest version will be available on-line in early November</w:t>
      </w:r>
    </w:p>
    <w:p w14:paraId="384B0992" w14:textId="36889691" w:rsidR="00186795" w:rsidRDefault="00186795"/>
    <w:sectPr w:rsidR="00186795">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843F" w14:textId="77777777" w:rsidR="003C6C2C" w:rsidRDefault="003C6C2C" w:rsidP="00573C0B">
      <w:pPr>
        <w:spacing w:after="0" w:line="240" w:lineRule="auto"/>
      </w:pPr>
      <w:r>
        <w:separator/>
      </w:r>
    </w:p>
  </w:endnote>
  <w:endnote w:type="continuationSeparator" w:id="0">
    <w:p w14:paraId="1D87A303" w14:textId="77777777" w:rsidR="003C6C2C" w:rsidRDefault="003C6C2C" w:rsidP="00573C0B">
      <w:pPr>
        <w:spacing w:after="0" w:line="240" w:lineRule="auto"/>
      </w:pPr>
      <w:r>
        <w:continuationSeparator/>
      </w:r>
    </w:p>
  </w:endnote>
  <w:endnote w:type="continuationNotice" w:id="1">
    <w:p w14:paraId="56C742C8" w14:textId="77777777" w:rsidR="003C6C2C" w:rsidRDefault="003C6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9FF3AB5" w14:paraId="198E106E" w14:textId="77777777" w:rsidTr="29FF3AB5">
      <w:tc>
        <w:tcPr>
          <w:tcW w:w="3005" w:type="dxa"/>
        </w:tcPr>
        <w:p w14:paraId="7067AF77" w14:textId="30F756B2" w:rsidR="29FF3AB5" w:rsidRDefault="29FF3AB5" w:rsidP="29FF3AB5">
          <w:pPr>
            <w:pStyle w:val="Header"/>
            <w:ind w:left="-115"/>
          </w:pPr>
        </w:p>
      </w:tc>
      <w:tc>
        <w:tcPr>
          <w:tcW w:w="3005" w:type="dxa"/>
        </w:tcPr>
        <w:p w14:paraId="316A0D53" w14:textId="45FB36B9" w:rsidR="29FF3AB5" w:rsidRDefault="29FF3AB5" w:rsidP="29FF3AB5">
          <w:pPr>
            <w:pStyle w:val="Header"/>
            <w:jc w:val="center"/>
          </w:pPr>
        </w:p>
      </w:tc>
      <w:tc>
        <w:tcPr>
          <w:tcW w:w="3005" w:type="dxa"/>
        </w:tcPr>
        <w:p w14:paraId="6CB718E4" w14:textId="3874D020" w:rsidR="29FF3AB5" w:rsidRDefault="29FF3AB5" w:rsidP="29FF3AB5">
          <w:pPr>
            <w:pStyle w:val="Header"/>
            <w:ind w:right="-115"/>
            <w:jc w:val="right"/>
          </w:pPr>
        </w:p>
      </w:tc>
    </w:tr>
  </w:tbl>
  <w:p w14:paraId="4B4FB8E9" w14:textId="1C8845A1" w:rsidR="29FF3AB5" w:rsidRDefault="29FF3AB5" w:rsidP="29FF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217B" w14:textId="77777777" w:rsidR="003C6C2C" w:rsidRDefault="003C6C2C" w:rsidP="00573C0B">
      <w:pPr>
        <w:spacing w:after="0" w:line="240" w:lineRule="auto"/>
      </w:pPr>
      <w:r>
        <w:separator/>
      </w:r>
    </w:p>
  </w:footnote>
  <w:footnote w:type="continuationSeparator" w:id="0">
    <w:p w14:paraId="70D3886B" w14:textId="77777777" w:rsidR="003C6C2C" w:rsidRDefault="003C6C2C" w:rsidP="00573C0B">
      <w:pPr>
        <w:spacing w:after="0" w:line="240" w:lineRule="auto"/>
      </w:pPr>
      <w:r>
        <w:continuationSeparator/>
      </w:r>
    </w:p>
  </w:footnote>
  <w:footnote w:type="continuationNotice" w:id="1">
    <w:p w14:paraId="7E66EC86" w14:textId="77777777" w:rsidR="003C6C2C" w:rsidRDefault="003C6C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44F02709" w:rsidR="00077F46" w:rsidRPr="00757E8A" w:rsidRDefault="29FF3AB5"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29FF3AB5">
      <w:rPr>
        <w:color w:val="404040" w:themeColor="text1" w:themeTint="BF"/>
        <w:sz w:val="18"/>
        <w:szCs w:val="18"/>
      </w:rPr>
      <w:t>Last updated:</w:t>
    </w:r>
    <w:bookmarkEnd w:id="5"/>
    <w:bookmarkEnd w:id="6"/>
    <w:bookmarkEnd w:id="7"/>
    <w:bookmarkEnd w:id="8"/>
    <w:bookmarkEnd w:id="9"/>
    <w:bookmarkEnd w:id="10"/>
    <w:r w:rsidRPr="29FF3AB5">
      <w:rPr>
        <w:color w:val="404040" w:themeColor="text1" w:themeTint="BF"/>
        <w:sz w:val="18"/>
        <w:szCs w:val="18"/>
      </w:rPr>
      <w:t xml:space="preserve"> 2018-02-01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680"/>
    <w:multiLevelType w:val="multilevel"/>
    <w:tmpl w:val="0FE2C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76BA"/>
    <w:multiLevelType w:val="hybridMultilevel"/>
    <w:tmpl w:val="AE16F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6EF0"/>
    <w:multiLevelType w:val="hybridMultilevel"/>
    <w:tmpl w:val="B43A8A1C"/>
    <w:lvl w:ilvl="0" w:tplc="721E8646">
      <w:start w:val="1"/>
      <w:numFmt w:val="decimal"/>
      <w:lvlText w:val="%1)"/>
      <w:lvlJc w:val="left"/>
      <w:pPr>
        <w:ind w:left="720" w:hanging="360"/>
      </w:pPr>
      <w:rPr>
        <w:strike w:val="0"/>
        <w:dstrike w:val="0"/>
        <w:color w:val="4A4A4A"/>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0E42"/>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C6C2C"/>
    <w:rsid w:val="003F0BD3"/>
    <w:rsid w:val="003F278A"/>
    <w:rsid w:val="003F7A02"/>
    <w:rsid w:val="00422EA5"/>
    <w:rsid w:val="00422EFA"/>
    <w:rsid w:val="0042791F"/>
    <w:rsid w:val="00436B01"/>
    <w:rsid w:val="004456ED"/>
    <w:rsid w:val="0048045A"/>
    <w:rsid w:val="004841B8"/>
    <w:rsid w:val="004930F2"/>
    <w:rsid w:val="004B0F1C"/>
    <w:rsid w:val="004F2EE6"/>
    <w:rsid w:val="004F7D75"/>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7A14"/>
    <w:rsid w:val="00621893"/>
    <w:rsid w:val="006351E1"/>
    <w:rsid w:val="006447B1"/>
    <w:rsid w:val="00662775"/>
    <w:rsid w:val="006852FC"/>
    <w:rsid w:val="006912C3"/>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959FE"/>
    <w:rsid w:val="007B0364"/>
    <w:rsid w:val="007D0981"/>
    <w:rsid w:val="007D1929"/>
    <w:rsid w:val="007F1B66"/>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8F7A80"/>
    <w:rsid w:val="00901F72"/>
    <w:rsid w:val="009130E7"/>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028B4"/>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72D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36AA9"/>
    <w:rsid w:val="00F4130B"/>
    <w:rsid w:val="00F556A2"/>
    <w:rsid w:val="00F719A8"/>
    <w:rsid w:val="00F878B9"/>
    <w:rsid w:val="00FB24E8"/>
    <w:rsid w:val="00FB3B2B"/>
    <w:rsid w:val="00FC18DA"/>
    <w:rsid w:val="00FC3917"/>
    <w:rsid w:val="00FD60DA"/>
    <w:rsid w:val="00FF07B4"/>
    <w:rsid w:val="207CDBA3"/>
    <w:rsid w:val="21B3BAE5"/>
    <w:rsid w:val="29FF3AB5"/>
    <w:rsid w:val="2C58F3C8"/>
    <w:rsid w:val="593B5695"/>
    <w:rsid w:val="5E24FA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9763">
      <w:bodyDiv w:val="1"/>
      <w:marLeft w:val="0"/>
      <w:marRight w:val="0"/>
      <w:marTop w:val="0"/>
      <w:marBottom w:val="0"/>
      <w:divBdr>
        <w:top w:val="none" w:sz="0" w:space="0" w:color="auto"/>
        <w:left w:val="none" w:sz="0" w:space="0" w:color="auto"/>
        <w:bottom w:val="none" w:sz="0" w:space="0" w:color="auto"/>
        <w:right w:val="none" w:sz="0" w:space="0" w:color="auto"/>
      </w:divBdr>
    </w:div>
    <w:div w:id="339888524">
      <w:bodyDiv w:val="1"/>
      <w:marLeft w:val="0"/>
      <w:marRight w:val="0"/>
      <w:marTop w:val="0"/>
      <w:marBottom w:val="0"/>
      <w:divBdr>
        <w:top w:val="none" w:sz="0" w:space="0" w:color="auto"/>
        <w:left w:val="none" w:sz="0" w:space="0" w:color="auto"/>
        <w:bottom w:val="none" w:sz="0" w:space="0" w:color="auto"/>
        <w:right w:val="none" w:sz="0" w:space="0" w:color="auto"/>
      </w:divBdr>
    </w:div>
    <w:div w:id="349918601">
      <w:bodyDiv w:val="1"/>
      <w:marLeft w:val="0"/>
      <w:marRight w:val="0"/>
      <w:marTop w:val="0"/>
      <w:marBottom w:val="0"/>
      <w:divBdr>
        <w:top w:val="none" w:sz="0" w:space="0" w:color="auto"/>
        <w:left w:val="none" w:sz="0" w:space="0" w:color="auto"/>
        <w:bottom w:val="none" w:sz="0" w:space="0" w:color="auto"/>
        <w:right w:val="none" w:sz="0" w:space="0" w:color="auto"/>
      </w:divBdr>
    </w:div>
    <w:div w:id="570048062">
      <w:bodyDiv w:val="1"/>
      <w:marLeft w:val="0"/>
      <w:marRight w:val="0"/>
      <w:marTop w:val="0"/>
      <w:marBottom w:val="0"/>
      <w:divBdr>
        <w:top w:val="none" w:sz="0" w:space="0" w:color="auto"/>
        <w:left w:val="none" w:sz="0" w:space="0" w:color="auto"/>
        <w:bottom w:val="none" w:sz="0" w:space="0" w:color="auto"/>
        <w:right w:val="none" w:sz="0" w:space="0" w:color="auto"/>
      </w:divBdr>
    </w:div>
    <w:div w:id="630021009">
      <w:bodyDiv w:val="1"/>
      <w:marLeft w:val="0"/>
      <w:marRight w:val="0"/>
      <w:marTop w:val="0"/>
      <w:marBottom w:val="0"/>
      <w:divBdr>
        <w:top w:val="none" w:sz="0" w:space="0" w:color="auto"/>
        <w:left w:val="none" w:sz="0" w:space="0" w:color="auto"/>
        <w:bottom w:val="none" w:sz="0" w:space="0" w:color="auto"/>
        <w:right w:val="none" w:sz="0" w:space="0" w:color="auto"/>
      </w:divBdr>
    </w:div>
    <w:div w:id="630482413">
      <w:bodyDiv w:val="1"/>
      <w:marLeft w:val="0"/>
      <w:marRight w:val="0"/>
      <w:marTop w:val="0"/>
      <w:marBottom w:val="0"/>
      <w:divBdr>
        <w:top w:val="none" w:sz="0" w:space="0" w:color="auto"/>
        <w:left w:val="none" w:sz="0" w:space="0" w:color="auto"/>
        <w:bottom w:val="none" w:sz="0" w:space="0" w:color="auto"/>
        <w:right w:val="none" w:sz="0" w:space="0" w:color="auto"/>
      </w:divBdr>
    </w:div>
    <w:div w:id="648678883">
      <w:bodyDiv w:val="1"/>
      <w:marLeft w:val="0"/>
      <w:marRight w:val="0"/>
      <w:marTop w:val="0"/>
      <w:marBottom w:val="0"/>
      <w:divBdr>
        <w:top w:val="none" w:sz="0" w:space="0" w:color="auto"/>
        <w:left w:val="none" w:sz="0" w:space="0" w:color="auto"/>
        <w:bottom w:val="none" w:sz="0" w:space="0" w:color="auto"/>
        <w:right w:val="none" w:sz="0" w:space="0" w:color="auto"/>
      </w:divBdr>
    </w:div>
    <w:div w:id="731008414">
      <w:bodyDiv w:val="1"/>
      <w:marLeft w:val="0"/>
      <w:marRight w:val="0"/>
      <w:marTop w:val="0"/>
      <w:marBottom w:val="0"/>
      <w:divBdr>
        <w:top w:val="none" w:sz="0" w:space="0" w:color="auto"/>
        <w:left w:val="none" w:sz="0" w:space="0" w:color="auto"/>
        <w:bottom w:val="none" w:sz="0" w:space="0" w:color="auto"/>
        <w:right w:val="none" w:sz="0" w:space="0" w:color="auto"/>
      </w:divBdr>
    </w:div>
    <w:div w:id="799540666">
      <w:bodyDiv w:val="1"/>
      <w:marLeft w:val="0"/>
      <w:marRight w:val="0"/>
      <w:marTop w:val="0"/>
      <w:marBottom w:val="0"/>
      <w:divBdr>
        <w:top w:val="none" w:sz="0" w:space="0" w:color="auto"/>
        <w:left w:val="none" w:sz="0" w:space="0" w:color="auto"/>
        <w:bottom w:val="none" w:sz="0" w:space="0" w:color="auto"/>
        <w:right w:val="none" w:sz="0" w:space="0" w:color="auto"/>
      </w:divBdr>
    </w:div>
    <w:div w:id="963194963">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79002427">
      <w:bodyDiv w:val="1"/>
      <w:marLeft w:val="0"/>
      <w:marRight w:val="0"/>
      <w:marTop w:val="0"/>
      <w:marBottom w:val="0"/>
      <w:divBdr>
        <w:top w:val="none" w:sz="0" w:space="0" w:color="auto"/>
        <w:left w:val="none" w:sz="0" w:space="0" w:color="auto"/>
        <w:bottom w:val="none" w:sz="0" w:space="0" w:color="auto"/>
        <w:right w:val="none" w:sz="0" w:space="0" w:color="auto"/>
      </w:divBdr>
    </w:div>
    <w:div w:id="1179077206">
      <w:bodyDiv w:val="1"/>
      <w:marLeft w:val="0"/>
      <w:marRight w:val="0"/>
      <w:marTop w:val="0"/>
      <w:marBottom w:val="0"/>
      <w:divBdr>
        <w:top w:val="none" w:sz="0" w:space="0" w:color="auto"/>
        <w:left w:val="none" w:sz="0" w:space="0" w:color="auto"/>
        <w:bottom w:val="none" w:sz="0" w:space="0" w:color="auto"/>
        <w:right w:val="none" w:sz="0" w:space="0" w:color="auto"/>
      </w:divBdr>
    </w:div>
    <w:div w:id="1180654321">
      <w:bodyDiv w:val="1"/>
      <w:marLeft w:val="0"/>
      <w:marRight w:val="0"/>
      <w:marTop w:val="0"/>
      <w:marBottom w:val="0"/>
      <w:divBdr>
        <w:top w:val="none" w:sz="0" w:space="0" w:color="auto"/>
        <w:left w:val="none" w:sz="0" w:space="0" w:color="auto"/>
        <w:bottom w:val="none" w:sz="0" w:space="0" w:color="auto"/>
        <w:right w:val="none" w:sz="0" w:space="0" w:color="auto"/>
      </w:divBdr>
    </w:div>
    <w:div w:id="1266116627">
      <w:bodyDiv w:val="1"/>
      <w:marLeft w:val="0"/>
      <w:marRight w:val="0"/>
      <w:marTop w:val="0"/>
      <w:marBottom w:val="0"/>
      <w:divBdr>
        <w:top w:val="none" w:sz="0" w:space="0" w:color="auto"/>
        <w:left w:val="none" w:sz="0" w:space="0" w:color="auto"/>
        <w:bottom w:val="none" w:sz="0" w:space="0" w:color="auto"/>
        <w:right w:val="none" w:sz="0" w:space="0" w:color="auto"/>
      </w:divBdr>
    </w:div>
    <w:div w:id="1338196574">
      <w:bodyDiv w:val="1"/>
      <w:marLeft w:val="0"/>
      <w:marRight w:val="0"/>
      <w:marTop w:val="0"/>
      <w:marBottom w:val="0"/>
      <w:divBdr>
        <w:top w:val="none" w:sz="0" w:space="0" w:color="auto"/>
        <w:left w:val="none" w:sz="0" w:space="0" w:color="auto"/>
        <w:bottom w:val="none" w:sz="0" w:space="0" w:color="auto"/>
        <w:right w:val="none" w:sz="0" w:space="0" w:color="auto"/>
      </w:divBdr>
    </w:div>
    <w:div w:id="1406611009">
      <w:bodyDiv w:val="1"/>
      <w:marLeft w:val="0"/>
      <w:marRight w:val="0"/>
      <w:marTop w:val="0"/>
      <w:marBottom w:val="0"/>
      <w:divBdr>
        <w:top w:val="none" w:sz="0" w:space="0" w:color="auto"/>
        <w:left w:val="none" w:sz="0" w:space="0" w:color="auto"/>
        <w:bottom w:val="none" w:sz="0" w:space="0" w:color="auto"/>
        <w:right w:val="none" w:sz="0" w:space="0" w:color="auto"/>
      </w:divBdr>
    </w:div>
    <w:div w:id="1464229450">
      <w:bodyDiv w:val="1"/>
      <w:marLeft w:val="0"/>
      <w:marRight w:val="0"/>
      <w:marTop w:val="0"/>
      <w:marBottom w:val="0"/>
      <w:divBdr>
        <w:top w:val="none" w:sz="0" w:space="0" w:color="auto"/>
        <w:left w:val="none" w:sz="0" w:space="0" w:color="auto"/>
        <w:bottom w:val="none" w:sz="0" w:space="0" w:color="auto"/>
        <w:right w:val="none" w:sz="0" w:space="0" w:color="auto"/>
      </w:divBdr>
    </w:div>
    <w:div w:id="1556965667">
      <w:bodyDiv w:val="1"/>
      <w:marLeft w:val="0"/>
      <w:marRight w:val="0"/>
      <w:marTop w:val="0"/>
      <w:marBottom w:val="0"/>
      <w:divBdr>
        <w:top w:val="none" w:sz="0" w:space="0" w:color="auto"/>
        <w:left w:val="none" w:sz="0" w:space="0" w:color="auto"/>
        <w:bottom w:val="none" w:sz="0" w:space="0" w:color="auto"/>
        <w:right w:val="none" w:sz="0" w:space="0" w:color="auto"/>
      </w:divBdr>
    </w:div>
    <w:div w:id="1658151214">
      <w:bodyDiv w:val="1"/>
      <w:marLeft w:val="0"/>
      <w:marRight w:val="0"/>
      <w:marTop w:val="0"/>
      <w:marBottom w:val="0"/>
      <w:divBdr>
        <w:top w:val="none" w:sz="0" w:space="0" w:color="auto"/>
        <w:left w:val="none" w:sz="0" w:space="0" w:color="auto"/>
        <w:bottom w:val="none" w:sz="0" w:space="0" w:color="auto"/>
        <w:right w:val="none" w:sz="0" w:space="0" w:color="auto"/>
      </w:divBdr>
    </w:div>
    <w:div w:id="1949240001">
      <w:bodyDiv w:val="1"/>
      <w:marLeft w:val="0"/>
      <w:marRight w:val="0"/>
      <w:marTop w:val="0"/>
      <w:marBottom w:val="0"/>
      <w:divBdr>
        <w:top w:val="none" w:sz="0" w:space="0" w:color="auto"/>
        <w:left w:val="none" w:sz="0" w:space="0" w:color="auto"/>
        <w:bottom w:val="none" w:sz="0" w:space="0" w:color="auto"/>
        <w:right w:val="none" w:sz="0" w:space="0" w:color="auto"/>
      </w:divBdr>
    </w:div>
    <w:div w:id="1986232194">
      <w:bodyDiv w:val="1"/>
      <w:marLeft w:val="0"/>
      <w:marRight w:val="0"/>
      <w:marTop w:val="0"/>
      <w:marBottom w:val="0"/>
      <w:divBdr>
        <w:top w:val="none" w:sz="0" w:space="0" w:color="auto"/>
        <w:left w:val="none" w:sz="0" w:space="0" w:color="auto"/>
        <w:bottom w:val="none" w:sz="0" w:space="0" w:color="auto"/>
        <w:right w:val="none" w:sz="0" w:space="0" w:color="auto"/>
      </w:divBdr>
    </w:div>
    <w:div w:id="20159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entionweb.net/files/50683_oiewgreportenglis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ventionweb.net/events/view/5559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ionweb.net/publications/view/51748" TargetMode="External"/><Relationship Id="rId5" Type="http://schemas.openxmlformats.org/officeDocument/2006/relationships/numbering" Target="numbering.xml"/><Relationship Id="rId15" Type="http://schemas.openxmlformats.org/officeDocument/2006/relationships/hyperlink" Target="http://www.preventionweb.net/events/view/5559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ionweb.net/english/hyogo/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F5BFE-C0E1-4A13-8ED3-F6A1EC24FE8D}">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1283</Words>
  <Characters>7314</Characters>
  <Application>Microsoft Office Word</Application>
  <DocSecurity>0</DocSecurity>
  <Lines>60</Lines>
  <Paragraphs>17</Paragraphs>
  <ScaleCrop>false</ScaleCrop>
  <Company>United Nations</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2020-12-13T01:47:00Z</dcterms:created>
  <dcterms:modified xsi:type="dcterms:W3CDTF">2021-12-17T16:37:00Z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