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08" w:rsidRPr="00780F08" w:rsidRDefault="00780F08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</w:pPr>
      <w:r w:rsidRPr="00E81B35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>Цель</w:t>
      </w:r>
      <w:r w:rsidRPr="00780F08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 xml:space="preserve"> 1: </w:t>
      </w:r>
      <w:r w:rsidRPr="00E81B35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>Повсеместная</w:t>
      </w:r>
      <w:r w:rsidRPr="00780F08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 xml:space="preserve"> </w:t>
      </w:r>
      <w:r w:rsidRPr="00E81B35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>ликвидация</w:t>
      </w:r>
      <w:r w:rsidRPr="00780F08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 xml:space="preserve"> </w:t>
      </w:r>
      <w:r w:rsidRPr="00E81B35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>нищеты</w:t>
      </w:r>
      <w:r w:rsidRPr="00780F08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 xml:space="preserve"> </w:t>
      </w:r>
      <w:r w:rsidRPr="00E81B35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>во</w:t>
      </w:r>
      <w:r w:rsidRPr="00780F08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 xml:space="preserve"> </w:t>
      </w:r>
      <w:r w:rsidRPr="00E81B35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>всех</w:t>
      </w:r>
      <w:r w:rsidRPr="00780F08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 xml:space="preserve"> </w:t>
      </w:r>
      <w:r w:rsidRPr="00E81B35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>ее</w:t>
      </w:r>
      <w:r w:rsidRPr="00780F08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 xml:space="preserve"> </w:t>
      </w:r>
      <w:r w:rsidRPr="00E81B35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>формах</w:t>
      </w:r>
    </w:p>
    <w:p w:rsidR="002F63E5" w:rsidRDefault="00780F08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35"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B35">
        <w:rPr>
          <w:rFonts w:ascii="Times New Roman" w:hAnsi="Times New Roman" w:cs="Times New Roman"/>
          <w:b/>
          <w:sz w:val="24"/>
          <w:szCs w:val="24"/>
        </w:rPr>
        <w:t>К 2030 году обеспечить, чтобы все мужчины и женщины, особенно малоимущие и уязвимые, имели равные права на экономические ресурсы, а также доступ к базовым услугам, владению и распоряжению землей и другими формами собственности, наследуемому имуществу, природным ресурсам, соответствующим новым технологиям и финансовым услугам, включая микрофинансирование</w:t>
      </w:r>
    </w:p>
    <w:p w:rsidR="00780F08" w:rsidRDefault="00780F08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1.4.1 </w:t>
      </w:r>
      <w:r w:rsidRPr="00780F08">
        <w:rPr>
          <w:rFonts w:ascii="Times New Roman" w:hAnsi="Times New Roman" w:cs="Times New Roman"/>
          <w:b/>
          <w:sz w:val="24"/>
          <w:szCs w:val="24"/>
        </w:rPr>
        <w:t>Доля населения, живущего в домохозяйствах с доступом к базовым услугам</w:t>
      </w:r>
    </w:p>
    <w:p w:rsidR="00780F08" w:rsidRDefault="00780F08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F08" w:rsidRPr="00E81B35" w:rsidRDefault="00780F08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</w:pPr>
      <w:r w:rsidRPr="00E81B35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>Институциональная информация</w:t>
      </w:r>
    </w:p>
    <w:p w:rsidR="00780F08" w:rsidRPr="00E81B35" w:rsidRDefault="00780F08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</w:pPr>
      <w:r w:rsidRPr="00E81B35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>Организаци</w:t>
      </w:r>
      <w:proofErr w:type="gramStart"/>
      <w:r w:rsidRPr="00E81B35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>я(</w:t>
      </w:r>
      <w:proofErr w:type="gramEnd"/>
      <w:r w:rsidRPr="00E81B35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>и):</w:t>
      </w:r>
    </w:p>
    <w:p w:rsidR="00780F08" w:rsidRPr="00E81B35" w:rsidRDefault="00780F08" w:rsidP="00780F08">
      <w:pPr>
        <w:jc w:val="both"/>
        <w:rPr>
          <w:rFonts w:ascii="Times New Roman" w:hAnsi="Times New Roman" w:cs="Times New Roman"/>
          <w:sz w:val="24"/>
          <w:szCs w:val="24"/>
        </w:rPr>
      </w:pPr>
      <w:r w:rsidRPr="00E81B35">
        <w:rPr>
          <w:rFonts w:ascii="Times New Roman" w:hAnsi="Times New Roman" w:cs="Times New Roman"/>
          <w:sz w:val="24"/>
          <w:szCs w:val="24"/>
        </w:rPr>
        <w:t>ООН-</w:t>
      </w:r>
      <w:proofErr w:type="spellStart"/>
      <w:r w:rsidRPr="00E81B35">
        <w:rPr>
          <w:rFonts w:ascii="Times New Roman" w:hAnsi="Times New Roman" w:cs="Times New Roman"/>
          <w:sz w:val="24"/>
          <w:szCs w:val="24"/>
        </w:rPr>
        <w:t>Хабитат</w:t>
      </w:r>
      <w:proofErr w:type="spellEnd"/>
      <w:r w:rsidRPr="00E81B35">
        <w:rPr>
          <w:rFonts w:ascii="Times New Roman" w:hAnsi="Times New Roman" w:cs="Times New Roman"/>
          <w:sz w:val="24"/>
          <w:szCs w:val="24"/>
        </w:rPr>
        <w:t xml:space="preserve"> и Всемирный банк</w:t>
      </w:r>
    </w:p>
    <w:p w:rsidR="00780F08" w:rsidRPr="00E81B35" w:rsidRDefault="00780F08" w:rsidP="00780F0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35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780F08" w:rsidRPr="00E81B35" w:rsidRDefault="00780F08" w:rsidP="00780F0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35">
        <w:rPr>
          <w:rFonts w:ascii="Times New Roman" w:hAnsi="Times New Roman" w:cs="Times New Roman"/>
          <w:b/>
          <w:sz w:val="24"/>
          <w:szCs w:val="24"/>
        </w:rPr>
        <w:t>Определение:</w:t>
      </w:r>
    </w:p>
    <w:p w:rsidR="00780F08" w:rsidRPr="00780F08" w:rsidRDefault="007D1185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Бедность имеет много аспектов.</w:t>
      </w:r>
      <w:r w:rsidR="00780F08" w:rsidRPr="00780F08">
        <w:rPr>
          <w:rFonts w:ascii="Times New Roman" w:hAnsi="Times New Roman" w:cs="Times New Roman"/>
          <w:sz w:val="24"/>
          <w:szCs w:val="24"/>
        </w:rPr>
        <w:t xml:space="preserve"> Это не только отсутствие материального благополучия, но и отсутствие возможностей жить терпимой жизнью. Международная черта бедности была обновлена в 2015 году до 1,90 долларов США в день с использованием паритета покупательной способности в 2011 году (</w:t>
      </w:r>
      <w:r w:rsidR="00B72F77">
        <w:rPr>
          <w:rFonts w:ascii="Times New Roman" w:hAnsi="Times New Roman" w:cs="Times New Roman"/>
          <w:sz w:val="24"/>
          <w:szCs w:val="24"/>
        </w:rPr>
        <w:t>ВБ</w:t>
      </w:r>
      <w:r w:rsidR="00780F08" w:rsidRPr="00780F08">
        <w:rPr>
          <w:rFonts w:ascii="Times New Roman" w:hAnsi="Times New Roman" w:cs="Times New Roman"/>
          <w:sz w:val="24"/>
          <w:szCs w:val="24"/>
        </w:rPr>
        <w:t xml:space="preserve"> 2015). Жизнь под крайней чертой бедности часто охватывает лишения безопасной питьевой воды, надлежащую санитарию, доступ к современной энергии, устойчивую мобильность к экономическим ресурсам, информационные технологии, зд</w:t>
      </w:r>
      <w:r w:rsidR="00B72F77">
        <w:rPr>
          <w:rFonts w:ascii="Times New Roman" w:hAnsi="Times New Roman" w:cs="Times New Roman"/>
          <w:sz w:val="24"/>
          <w:szCs w:val="24"/>
        </w:rPr>
        <w:t>равоохранение, образование и т.д</w:t>
      </w:r>
      <w:r w:rsidR="00780F08" w:rsidRPr="00780F08">
        <w:rPr>
          <w:rFonts w:ascii="Times New Roman" w:hAnsi="Times New Roman" w:cs="Times New Roman"/>
          <w:sz w:val="24"/>
          <w:szCs w:val="24"/>
        </w:rPr>
        <w:t>. Бедность также является проявлением голода и недоедания, ограниченным доступом к образовани</w:t>
      </w:r>
      <w:r w:rsidR="00B72F77">
        <w:rPr>
          <w:rFonts w:ascii="Times New Roman" w:hAnsi="Times New Roman" w:cs="Times New Roman"/>
          <w:sz w:val="24"/>
          <w:szCs w:val="24"/>
        </w:rPr>
        <w:t>ю</w:t>
      </w:r>
      <w:r w:rsidR="00780F08" w:rsidRPr="00780F08">
        <w:rPr>
          <w:rFonts w:ascii="Times New Roman" w:hAnsi="Times New Roman" w:cs="Times New Roman"/>
          <w:sz w:val="24"/>
          <w:szCs w:val="24"/>
        </w:rPr>
        <w:t xml:space="preserve"> и других основных услуг, социальной дискриминации и отчуждения, а также отсутствия участия в процессе принятия решений. Другими словами, нищета является многоплановой и охватывает многие аспекты жизни, начиная от доступа к средствам к существованию и</w:t>
      </w:r>
      <w:r w:rsidR="00B72F77">
        <w:rPr>
          <w:rFonts w:ascii="Times New Roman" w:hAnsi="Times New Roman" w:cs="Times New Roman"/>
          <w:sz w:val="24"/>
          <w:szCs w:val="24"/>
        </w:rPr>
        <w:t xml:space="preserve"> заканчивая</w:t>
      </w:r>
      <w:r w:rsidR="00780F08" w:rsidRPr="00780F08">
        <w:rPr>
          <w:rFonts w:ascii="Times New Roman" w:hAnsi="Times New Roman" w:cs="Times New Roman"/>
          <w:sz w:val="24"/>
          <w:szCs w:val="24"/>
        </w:rPr>
        <w:t xml:space="preserve"> </w:t>
      </w:r>
      <w:r w:rsidR="00B72F77">
        <w:rPr>
          <w:rFonts w:ascii="Times New Roman" w:hAnsi="Times New Roman" w:cs="Times New Roman"/>
          <w:sz w:val="24"/>
          <w:szCs w:val="24"/>
        </w:rPr>
        <w:t xml:space="preserve">доступа к </w:t>
      </w:r>
      <w:r w:rsidR="00780F08" w:rsidRPr="00780F08">
        <w:rPr>
          <w:rFonts w:ascii="Times New Roman" w:hAnsi="Times New Roman" w:cs="Times New Roman"/>
          <w:sz w:val="24"/>
          <w:szCs w:val="24"/>
        </w:rPr>
        <w:t>способам выживания.</w:t>
      </w:r>
    </w:p>
    <w:p w:rsidR="00780F08" w:rsidRPr="00780F08" w:rsidRDefault="00780F08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F08" w:rsidRDefault="00780F08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F08">
        <w:rPr>
          <w:rFonts w:ascii="Times New Roman" w:hAnsi="Times New Roman" w:cs="Times New Roman"/>
          <w:sz w:val="24"/>
          <w:szCs w:val="24"/>
        </w:rPr>
        <w:t>Среди различных аспектов бедности этот показатель фокусируется на «доступе к базовым услугам». Предоставление доступа к основным услугам, таким как безопасная питьевая вода, средства санитарии, устойчивая энергетика и мобильность, жилье, образование, здравоох</w:t>
      </w:r>
      <w:r w:rsidR="004E087E">
        <w:rPr>
          <w:rFonts w:ascii="Times New Roman" w:hAnsi="Times New Roman" w:cs="Times New Roman"/>
          <w:sz w:val="24"/>
          <w:szCs w:val="24"/>
        </w:rPr>
        <w:t>ранение и т.д., п</w:t>
      </w:r>
      <w:r w:rsidRPr="00780F08">
        <w:rPr>
          <w:rFonts w:ascii="Times New Roman" w:hAnsi="Times New Roman" w:cs="Times New Roman"/>
          <w:sz w:val="24"/>
          <w:szCs w:val="24"/>
        </w:rPr>
        <w:t>омогает улучшить качество жизни бедных. Отсутствие предоставления базовых услуг и отсутствие расширения возможностей и участия местных органов власти в предоставлении базовых услуг подрывают экономический рост и качество жизни в любом сообществе. Адекватные базовые системы предоставления услуг способствуют социально-экономическим улучшениям и способствуют достижению экономического роста, социальной интеграции, сокращения бедности и равенства. Более конкретно, улучшение базовых услуг может способствовать повышению благосостояния и производительности сообществ, созданию рабочих мест, экономии времени и усилий людей в области транспортировки воды, поддержке продовольственной безопасности, более эффективному использованию энергии, производству основных товаров, улучшению здоровья (путем медицинского уход, чистая вода или сбор твердых отходов) или повысить уровень образования.</w:t>
      </w:r>
    </w:p>
    <w:p w:rsidR="00780F08" w:rsidRDefault="00780F08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F08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7E0">
        <w:rPr>
          <w:rFonts w:ascii="Times New Roman" w:hAnsi="Times New Roman" w:cs="Times New Roman"/>
          <w:sz w:val="24"/>
          <w:szCs w:val="24"/>
        </w:rPr>
        <w:t xml:space="preserve">В плане реализации Кито для Новой </w:t>
      </w:r>
      <w:r w:rsidR="004E087E">
        <w:rPr>
          <w:rFonts w:ascii="Times New Roman" w:hAnsi="Times New Roman" w:cs="Times New Roman"/>
          <w:sz w:val="24"/>
          <w:szCs w:val="24"/>
        </w:rPr>
        <w:t>Г</w:t>
      </w:r>
      <w:r w:rsidRPr="007C27E0">
        <w:rPr>
          <w:rFonts w:ascii="Times New Roman" w:hAnsi="Times New Roman" w:cs="Times New Roman"/>
          <w:sz w:val="24"/>
          <w:szCs w:val="24"/>
        </w:rPr>
        <w:t xml:space="preserve">ородской </w:t>
      </w:r>
      <w:r w:rsidR="004E087E">
        <w:rPr>
          <w:rFonts w:ascii="Times New Roman" w:hAnsi="Times New Roman" w:cs="Times New Roman"/>
          <w:sz w:val="24"/>
          <w:szCs w:val="24"/>
        </w:rPr>
        <w:t>П</w:t>
      </w:r>
      <w:r w:rsidRPr="007C27E0">
        <w:rPr>
          <w:rFonts w:ascii="Times New Roman" w:hAnsi="Times New Roman" w:cs="Times New Roman"/>
          <w:sz w:val="24"/>
          <w:szCs w:val="24"/>
        </w:rPr>
        <w:t xml:space="preserve">рограммы, принятой на конференции </w:t>
      </w:r>
      <w:proofErr w:type="spellStart"/>
      <w:r w:rsidRPr="007C27E0">
        <w:rPr>
          <w:rFonts w:ascii="Times New Roman" w:hAnsi="Times New Roman" w:cs="Times New Roman"/>
          <w:sz w:val="24"/>
          <w:szCs w:val="24"/>
        </w:rPr>
        <w:t>Хабитат</w:t>
      </w:r>
      <w:proofErr w:type="spellEnd"/>
      <w:r w:rsidRPr="007C27E0">
        <w:rPr>
          <w:rFonts w:ascii="Times New Roman" w:hAnsi="Times New Roman" w:cs="Times New Roman"/>
          <w:sz w:val="24"/>
          <w:szCs w:val="24"/>
        </w:rPr>
        <w:t xml:space="preserve"> III, государства-члены обязуются «поощрять справедливый и доступный доступ к устойчивой базовой физической и социальной инфраструктуре для всех без </w:t>
      </w:r>
      <w:r w:rsidRPr="007C27E0">
        <w:rPr>
          <w:rFonts w:ascii="Times New Roman" w:hAnsi="Times New Roman" w:cs="Times New Roman"/>
          <w:sz w:val="24"/>
          <w:szCs w:val="24"/>
        </w:rPr>
        <w:lastRenderedPageBreak/>
        <w:t>дискриминации, включая доступные земельные участки с обслуживанием, жилье, современные и возобновляемые источники энергии, безопасная питьевая вода и санитария, безопасное, питательное и достаточное питание, удаление отходов, устойчивая мобильность, здравоохранение и планирование</w:t>
      </w:r>
      <w:proofErr w:type="gramEnd"/>
      <w:r w:rsidRPr="007C27E0">
        <w:rPr>
          <w:rFonts w:ascii="Times New Roman" w:hAnsi="Times New Roman" w:cs="Times New Roman"/>
          <w:sz w:val="24"/>
          <w:szCs w:val="24"/>
        </w:rPr>
        <w:t xml:space="preserve"> семьи, образование, культура и информационно-коммуникационные технологии». Они далее обязуются «обеспечить, чтобы эти службы отвечали правам и потребностям женщин, детей и молодежи, пожилых людей и инвалидов, мигрантов, коренных народов и местных общин, в зависимости от случая, и потребностей других лиц в уязвимых ситуациях»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7E0" w:rsidRDefault="004E087E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Базовая</w:t>
      </w:r>
      <w:r w:rsidR="007C27E0" w:rsidRPr="007C27E0">
        <w:rPr>
          <w:rFonts w:ascii="Times New Roman" w:hAnsi="Times New Roman" w:cs="Times New Roman"/>
          <w:sz w:val="24"/>
          <w:szCs w:val="24"/>
        </w:rPr>
        <w:t xml:space="preserve"> услуга должна быть направлена на подход, ориентированный на спрос, который подходит для местных потребностей, и, следовательно, способен реагировать на концепцию «Доступ для всех» - как указано в </w:t>
      </w:r>
      <w:r>
        <w:rPr>
          <w:rFonts w:ascii="Times New Roman" w:hAnsi="Times New Roman" w:cs="Times New Roman"/>
          <w:sz w:val="24"/>
          <w:szCs w:val="24"/>
        </w:rPr>
        <w:t>НГП</w:t>
      </w:r>
      <w:r w:rsidR="007C27E0" w:rsidRPr="007C27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Базовые</w:t>
      </w:r>
      <w:r w:rsidR="007C27E0" w:rsidRPr="007C27E0">
        <w:rPr>
          <w:rFonts w:ascii="Times New Roman" w:hAnsi="Times New Roman" w:cs="Times New Roman"/>
          <w:sz w:val="24"/>
          <w:szCs w:val="24"/>
        </w:rPr>
        <w:t xml:space="preserve"> услуги имеют основополагающее значение для повышения уровня жизни. Правительства несут ответственность за их предоставление. Этот показатель будет измерять уровни доступности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E087E">
        <w:rPr>
          <w:rFonts w:ascii="Times New Roman" w:hAnsi="Times New Roman" w:cs="Times New Roman"/>
          <w:sz w:val="24"/>
          <w:szCs w:val="24"/>
        </w:rPr>
        <w:t>азовы</w:t>
      </w:r>
      <w:r w:rsidR="007C27E0" w:rsidRPr="007C27E0">
        <w:rPr>
          <w:rFonts w:ascii="Times New Roman" w:hAnsi="Times New Roman" w:cs="Times New Roman"/>
          <w:sz w:val="24"/>
          <w:szCs w:val="24"/>
        </w:rPr>
        <w:t xml:space="preserve">х услуг и направлять усилия правительств на предоставление справедливых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E087E">
        <w:rPr>
          <w:rFonts w:ascii="Times New Roman" w:hAnsi="Times New Roman" w:cs="Times New Roman"/>
          <w:sz w:val="24"/>
          <w:szCs w:val="24"/>
        </w:rPr>
        <w:t>азовы</w:t>
      </w:r>
      <w:r w:rsidRPr="007C27E0">
        <w:rPr>
          <w:rFonts w:ascii="Times New Roman" w:hAnsi="Times New Roman" w:cs="Times New Roman"/>
          <w:sz w:val="24"/>
          <w:szCs w:val="24"/>
        </w:rPr>
        <w:t xml:space="preserve">х </w:t>
      </w:r>
      <w:r w:rsidR="007C27E0" w:rsidRPr="007C27E0">
        <w:rPr>
          <w:rFonts w:ascii="Times New Roman" w:hAnsi="Times New Roman" w:cs="Times New Roman"/>
          <w:sz w:val="24"/>
          <w:szCs w:val="24"/>
        </w:rPr>
        <w:t>услуг для всех, чтобы искоренить нищету.</w:t>
      </w: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7E0">
        <w:rPr>
          <w:rFonts w:ascii="Times New Roman" w:hAnsi="Times New Roman" w:cs="Times New Roman"/>
          <w:b/>
          <w:sz w:val="24"/>
          <w:szCs w:val="24"/>
        </w:rPr>
        <w:t>Понятия и определения:</w:t>
      </w: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7E0">
        <w:rPr>
          <w:rFonts w:ascii="Times New Roman" w:hAnsi="Times New Roman" w:cs="Times New Roman"/>
          <w:sz w:val="24"/>
          <w:szCs w:val="24"/>
        </w:rPr>
        <w:t xml:space="preserve">Были определены следующие ключевые концепции для поддержки этого показателя в контексте искоренения нищеты. </w:t>
      </w:r>
      <w:r w:rsidR="004E087E">
        <w:rPr>
          <w:rFonts w:ascii="Times New Roman" w:hAnsi="Times New Roman" w:cs="Times New Roman"/>
          <w:sz w:val="24"/>
          <w:szCs w:val="24"/>
        </w:rPr>
        <w:t>Базовые</w:t>
      </w:r>
      <w:r w:rsidR="004E087E" w:rsidRPr="007C27E0">
        <w:rPr>
          <w:rFonts w:ascii="Times New Roman" w:hAnsi="Times New Roman" w:cs="Times New Roman"/>
          <w:sz w:val="24"/>
          <w:szCs w:val="24"/>
        </w:rPr>
        <w:t xml:space="preserve"> </w:t>
      </w:r>
      <w:r w:rsidRPr="007C27E0">
        <w:rPr>
          <w:rFonts w:ascii="Times New Roman" w:hAnsi="Times New Roman" w:cs="Times New Roman"/>
          <w:sz w:val="24"/>
          <w:szCs w:val="24"/>
        </w:rPr>
        <w:t>услуги относятся к системам предоставления государственных услуг, которые отвечают основным потребностям человека, включая питьевую воду, санитарию и гигиену, энергию, мобильность, сбор отходов, здравоохранение, образование и информационные технологии.</w:t>
      </w: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7E0">
        <w:rPr>
          <w:rFonts w:ascii="Times New Roman" w:hAnsi="Times New Roman" w:cs="Times New Roman"/>
          <w:b/>
          <w:sz w:val="24"/>
          <w:szCs w:val="24"/>
        </w:rPr>
        <w:t>Доступ к базовым услугам</w:t>
      </w:r>
      <w:r w:rsidRPr="007C27E0">
        <w:rPr>
          <w:rFonts w:ascii="Times New Roman" w:hAnsi="Times New Roman" w:cs="Times New Roman"/>
          <w:sz w:val="24"/>
          <w:szCs w:val="24"/>
        </w:rPr>
        <w:t xml:space="preserve"> подразумевает, что достаточное и доступное обслуживание надежно доступно с адекватным качеством.</w:t>
      </w: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7E0">
        <w:rPr>
          <w:rFonts w:ascii="Times New Roman" w:hAnsi="Times New Roman" w:cs="Times New Roman"/>
          <w:b/>
          <w:sz w:val="24"/>
          <w:szCs w:val="24"/>
        </w:rPr>
        <w:t>Доступ к основным услугам питьевой воды</w:t>
      </w:r>
      <w:r w:rsidRPr="007C27E0">
        <w:rPr>
          <w:rFonts w:ascii="Times New Roman" w:hAnsi="Times New Roman" w:cs="Times New Roman"/>
          <w:sz w:val="24"/>
          <w:szCs w:val="24"/>
        </w:rPr>
        <w:t xml:space="preserve"> относится к питьевой воде из улучшенного источника, доступной со временем сбора не более 30 минут для поездки туда и обратно, включая очередность. Улучшенные источники включают</w:t>
      </w:r>
      <w:r w:rsidR="004E087E">
        <w:rPr>
          <w:rFonts w:ascii="Times New Roman" w:hAnsi="Times New Roman" w:cs="Times New Roman"/>
          <w:sz w:val="24"/>
          <w:szCs w:val="24"/>
        </w:rPr>
        <w:t>:</w:t>
      </w:r>
      <w:r w:rsidRPr="007C27E0">
        <w:rPr>
          <w:rFonts w:ascii="Times New Roman" w:hAnsi="Times New Roman" w:cs="Times New Roman"/>
          <w:sz w:val="24"/>
          <w:szCs w:val="24"/>
        </w:rPr>
        <w:t xml:space="preserve"> водопроводной воды, скважин или трубчатых скважин, защищенных колодцев, защищенных пружин и упакованной или поставленной воды. Это определение основано на </w:t>
      </w:r>
      <w:r w:rsidR="004E087E">
        <w:rPr>
          <w:rFonts w:ascii="Times New Roman" w:hAnsi="Times New Roman" w:cs="Times New Roman"/>
          <w:sz w:val="24"/>
          <w:szCs w:val="24"/>
        </w:rPr>
        <w:t>показателе</w:t>
      </w:r>
      <w:r w:rsidRPr="007C2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7C27E0">
        <w:rPr>
          <w:rFonts w:ascii="Times New Roman" w:hAnsi="Times New Roman" w:cs="Times New Roman"/>
          <w:sz w:val="24"/>
          <w:szCs w:val="24"/>
        </w:rPr>
        <w:t xml:space="preserve"> 6.1.</w:t>
      </w: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7E0">
        <w:rPr>
          <w:rFonts w:ascii="Times New Roman" w:hAnsi="Times New Roman" w:cs="Times New Roman"/>
          <w:b/>
          <w:sz w:val="24"/>
          <w:szCs w:val="24"/>
        </w:rPr>
        <w:t>Доступ к основным службам санитарии</w:t>
      </w:r>
      <w:r w:rsidRPr="007C27E0">
        <w:rPr>
          <w:rFonts w:ascii="Times New Roman" w:hAnsi="Times New Roman" w:cs="Times New Roman"/>
          <w:sz w:val="24"/>
          <w:szCs w:val="24"/>
        </w:rPr>
        <w:t xml:space="preserve"> относится к использованию улучшенных объектов, которые не используются совместно с другими домохозяйствами. Улучшенные средства включают </w:t>
      </w:r>
      <w:r>
        <w:rPr>
          <w:rFonts w:ascii="Times New Roman" w:hAnsi="Times New Roman" w:cs="Times New Roman"/>
          <w:sz w:val="24"/>
          <w:szCs w:val="24"/>
        </w:rPr>
        <w:t>слив</w:t>
      </w:r>
      <w:r w:rsidRPr="007C27E0">
        <w:rPr>
          <w:rFonts w:ascii="Times New Roman" w:hAnsi="Times New Roman" w:cs="Times New Roman"/>
          <w:sz w:val="24"/>
          <w:szCs w:val="24"/>
        </w:rPr>
        <w:t>/заливку в канализационные системы,</w:t>
      </w:r>
      <w:r w:rsidR="004E087E">
        <w:rPr>
          <w:rFonts w:ascii="Times New Roman" w:hAnsi="Times New Roman" w:cs="Times New Roman"/>
          <w:sz w:val="24"/>
          <w:szCs w:val="24"/>
        </w:rPr>
        <w:t xml:space="preserve"> септики или ямы для уборки ямы,</w:t>
      </w:r>
      <w:r w:rsidRPr="007C27E0">
        <w:rPr>
          <w:rFonts w:ascii="Times New Roman" w:hAnsi="Times New Roman" w:cs="Times New Roman"/>
          <w:sz w:val="24"/>
          <w:szCs w:val="24"/>
        </w:rPr>
        <w:t xml:space="preserve"> вентилируемые улучшенные ямы для уборки, компостирующие туалеты или ямы с плитами. Это определение основано на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7C27E0">
        <w:rPr>
          <w:rFonts w:ascii="Times New Roman" w:hAnsi="Times New Roman" w:cs="Times New Roman"/>
          <w:sz w:val="24"/>
          <w:szCs w:val="24"/>
        </w:rPr>
        <w:t xml:space="preserve"> 6.2.</w:t>
      </w: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7E0">
        <w:rPr>
          <w:rFonts w:ascii="Times New Roman" w:hAnsi="Times New Roman" w:cs="Times New Roman"/>
          <w:b/>
          <w:sz w:val="24"/>
          <w:szCs w:val="24"/>
        </w:rPr>
        <w:t>Доступ к основным средствам гигиены</w:t>
      </w:r>
      <w:r w:rsidRPr="007C27E0">
        <w:rPr>
          <w:rFonts w:ascii="Times New Roman" w:hAnsi="Times New Roman" w:cs="Times New Roman"/>
          <w:sz w:val="24"/>
          <w:szCs w:val="24"/>
        </w:rPr>
        <w:t xml:space="preserve"> относится к доступности средства для мытья рук в помещениях с мылом и водой. Средства для мытья рук могут быть фиксированными или подвижными и содержать раковину с водопроводной водой, ведра с кранами, откидные краны и кувшины или емкости, предназначенные дл</w:t>
      </w:r>
      <w:r w:rsidR="004143B4">
        <w:rPr>
          <w:rFonts w:ascii="Times New Roman" w:hAnsi="Times New Roman" w:cs="Times New Roman"/>
          <w:sz w:val="24"/>
          <w:szCs w:val="24"/>
        </w:rPr>
        <w:t>я мытья рук. Мыло включает твердое мыло</w:t>
      </w:r>
      <w:r w:rsidRPr="007C27E0">
        <w:rPr>
          <w:rFonts w:ascii="Times New Roman" w:hAnsi="Times New Roman" w:cs="Times New Roman"/>
          <w:sz w:val="24"/>
          <w:szCs w:val="24"/>
        </w:rPr>
        <w:t xml:space="preserve">, жидкое мыло, порошковое моющее средство и мыльную воду, но не включает золу, почву, песок или другие средства для мытья рук. Это определение основано на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7C27E0">
        <w:rPr>
          <w:rFonts w:ascii="Times New Roman" w:hAnsi="Times New Roman" w:cs="Times New Roman"/>
          <w:sz w:val="24"/>
          <w:szCs w:val="24"/>
        </w:rPr>
        <w:t xml:space="preserve"> 6.2.</w:t>
      </w: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7E0">
        <w:rPr>
          <w:rFonts w:ascii="Times New Roman" w:hAnsi="Times New Roman" w:cs="Times New Roman"/>
          <w:b/>
          <w:sz w:val="24"/>
          <w:szCs w:val="24"/>
        </w:rPr>
        <w:lastRenderedPageBreak/>
        <w:t>Доступ к базовой мобильности</w:t>
      </w:r>
      <w:r w:rsidRPr="007C27E0">
        <w:rPr>
          <w:rFonts w:ascii="Times New Roman" w:hAnsi="Times New Roman" w:cs="Times New Roman"/>
          <w:sz w:val="24"/>
          <w:szCs w:val="24"/>
        </w:rPr>
        <w:t xml:space="preserve"> относится к доступу к дорогам с полной погодой в сельских районах (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7C27E0">
        <w:rPr>
          <w:rFonts w:ascii="Times New Roman" w:hAnsi="Times New Roman" w:cs="Times New Roman"/>
          <w:sz w:val="24"/>
          <w:szCs w:val="24"/>
        </w:rPr>
        <w:t xml:space="preserve"> 9.1.1) или к доступу к общественному транспорту в городском контексте (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7C27E0">
        <w:rPr>
          <w:rFonts w:ascii="Times New Roman" w:hAnsi="Times New Roman" w:cs="Times New Roman"/>
          <w:sz w:val="24"/>
          <w:szCs w:val="24"/>
        </w:rPr>
        <w:t xml:space="preserve"> 11.2.1). Поэтому вычисление «Доступ к базовой мобильности» должно быть сочетанием </w:t>
      </w:r>
      <w:proofErr w:type="gramStart"/>
      <w:r w:rsidRPr="007C27E0">
        <w:rPr>
          <w:rFonts w:ascii="Times New Roman" w:hAnsi="Times New Roman" w:cs="Times New Roman"/>
          <w:sz w:val="24"/>
          <w:szCs w:val="24"/>
        </w:rPr>
        <w:t>вышеуказанного</w:t>
      </w:r>
      <w:proofErr w:type="gramEnd"/>
      <w:r w:rsidRPr="007C27E0">
        <w:rPr>
          <w:rFonts w:ascii="Times New Roman" w:hAnsi="Times New Roman" w:cs="Times New Roman"/>
          <w:sz w:val="24"/>
          <w:szCs w:val="24"/>
        </w:rPr>
        <w:t>.</w:t>
      </w: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7E0">
        <w:rPr>
          <w:rFonts w:ascii="Times New Roman" w:hAnsi="Times New Roman" w:cs="Times New Roman"/>
          <w:b/>
          <w:sz w:val="24"/>
          <w:szCs w:val="24"/>
        </w:rPr>
        <w:t>В контексте сельских территорий:</w:t>
      </w: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7E0" w:rsidRDefault="007C27E0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7E0">
        <w:rPr>
          <w:rFonts w:ascii="Times New Roman" w:hAnsi="Times New Roman" w:cs="Times New Roman"/>
          <w:sz w:val="24"/>
          <w:szCs w:val="24"/>
        </w:rPr>
        <w:t xml:space="preserve">Для синергизма с </w:t>
      </w:r>
      <w:r w:rsidR="004143B4">
        <w:rPr>
          <w:rFonts w:ascii="Times New Roman" w:hAnsi="Times New Roman" w:cs="Times New Roman"/>
          <w:sz w:val="24"/>
          <w:szCs w:val="24"/>
        </w:rPr>
        <w:t>показателем ЦУР</w:t>
      </w:r>
      <w:r w:rsidRPr="007C27E0">
        <w:rPr>
          <w:rFonts w:ascii="Times New Roman" w:hAnsi="Times New Roman" w:cs="Times New Roman"/>
          <w:sz w:val="24"/>
          <w:szCs w:val="24"/>
        </w:rPr>
        <w:t xml:space="preserve"> 9.1.1 «</w:t>
      </w:r>
      <w:r w:rsidR="004143B4" w:rsidRPr="004143B4">
        <w:rPr>
          <w:rFonts w:ascii="Times New Roman" w:hAnsi="Times New Roman" w:cs="Times New Roman"/>
          <w:sz w:val="24"/>
          <w:szCs w:val="24"/>
        </w:rPr>
        <w:t>Доля сельского населения, проживающего в пределах 2 км от круглогодичной дороги</w:t>
      </w:r>
      <w:r w:rsidRPr="007C27E0">
        <w:rPr>
          <w:rFonts w:ascii="Times New Roman" w:hAnsi="Times New Roman" w:cs="Times New Roman"/>
          <w:sz w:val="24"/>
          <w:szCs w:val="24"/>
        </w:rPr>
        <w:t>», было предложено использовать Индекс доступа к сельскому хозяйству (RAI)</w:t>
      </w:r>
      <w:r w:rsidR="00F73DBC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7C27E0">
        <w:rPr>
          <w:rFonts w:ascii="Times New Roman" w:hAnsi="Times New Roman" w:cs="Times New Roman"/>
          <w:sz w:val="24"/>
          <w:szCs w:val="24"/>
        </w:rPr>
        <w:t>, который измеряет процентное соотношение населения &lt;</w:t>
      </w:r>
      <w:r w:rsidR="00F73DBC">
        <w:rPr>
          <w:rFonts w:ascii="Times New Roman" w:hAnsi="Times New Roman" w:cs="Times New Roman"/>
          <w:sz w:val="24"/>
          <w:szCs w:val="24"/>
        </w:rPr>
        <w:t xml:space="preserve"> </w:t>
      </w:r>
      <w:r w:rsidRPr="007C27E0">
        <w:rPr>
          <w:rFonts w:ascii="Times New Roman" w:hAnsi="Times New Roman" w:cs="Times New Roman"/>
          <w:sz w:val="24"/>
          <w:szCs w:val="24"/>
        </w:rPr>
        <w:t>2 км от общежития, сезонная дорога (эквивалентная прогулке 20-25 минут).</w:t>
      </w:r>
      <w:r w:rsidR="00F73DBC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F73DBC" w:rsidRDefault="00F73DBC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BC" w:rsidRDefault="00F73DBC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DBC">
        <w:rPr>
          <w:rFonts w:ascii="Times New Roman" w:hAnsi="Times New Roman" w:cs="Times New Roman"/>
          <w:sz w:val="24"/>
          <w:szCs w:val="24"/>
        </w:rPr>
        <w:t>Чтобы искоренить нищету, общины должны быть связаны с социально-экономическими возможностями на дорогах, которые проходят весь сезон и привлекают надежные и доступные услуги общественного транспорта. Во многих районах безопасные пешеходные дорожки, пешеходные дорожки и водные пути могут потребоваться в сочетании с дорогами или в качестве альтернативы. В целях упрощения особое внимание было уделено дорогам в этом определении (на основе индекса доступа к сельскому хозяйству - RAI)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Pr="00F73DBC">
        <w:rPr>
          <w:rFonts w:ascii="Times New Roman" w:hAnsi="Times New Roman" w:cs="Times New Roman"/>
          <w:sz w:val="24"/>
          <w:szCs w:val="24"/>
        </w:rPr>
        <w:t>, поскольку автомобильный транспорт отражает доступность для подавляющего большинства людей в сельских районах. В тех ситуациях, когда доминирует другой режим, такой как водный транспорт, определение будет изменено и контекстуально, чтобы отражать и фиксировать эти аспекты.</w:t>
      </w:r>
    </w:p>
    <w:p w:rsidR="00F73DBC" w:rsidRDefault="00F73DBC" w:rsidP="00780F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BC" w:rsidRP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DBC">
        <w:rPr>
          <w:rFonts w:ascii="Times New Roman" w:hAnsi="Times New Roman" w:cs="Times New Roman"/>
          <w:sz w:val="24"/>
          <w:szCs w:val="24"/>
        </w:rPr>
        <w:t>Доступ к мобильности показал некоторые из самых больших последствий для сокращения масштабов нищеты и имеет сильную корреляцию с результатами в области образования, экономики и здравоохранения («транспорт как средство защиты»).</w:t>
      </w:r>
    </w:p>
    <w:p w:rsidR="00F73DBC" w:rsidRP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BC" w:rsidRP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DBC">
        <w:rPr>
          <w:rFonts w:ascii="Times New Roman" w:hAnsi="Times New Roman" w:cs="Times New Roman"/>
          <w:sz w:val="24"/>
          <w:szCs w:val="24"/>
        </w:rPr>
        <w:t>Существующая методология RAI основывается на данных обследования уровня домашних хозяйств, однако в настоящее время она пересматривается на индекс, основанный на ГИС, который использует достижения в области цифровых технологий с целью создания более точного и экономичного инструмента.</w:t>
      </w:r>
    </w:p>
    <w:p w:rsidR="00F73DBC" w:rsidRP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DBC">
        <w:rPr>
          <w:rFonts w:ascii="Times New Roman" w:hAnsi="Times New Roman" w:cs="Times New Roman"/>
          <w:sz w:val="24"/>
          <w:szCs w:val="24"/>
        </w:rPr>
        <w:t>В качестве основного основополагающего предположения понимается, что женщины и мужчины в равной степени пользуются доступом к всепогодным дорогам.</w:t>
      </w:r>
    </w:p>
    <w:p w:rsid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BC" w:rsidRP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BC">
        <w:rPr>
          <w:rFonts w:ascii="Times New Roman" w:hAnsi="Times New Roman" w:cs="Times New Roman"/>
          <w:b/>
          <w:sz w:val="24"/>
          <w:szCs w:val="24"/>
        </w:rPr>
        <w:t>В контексте города:</w:t>
      </w:r>
    </w:p>
    <w:p w:rsid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DBC">
        <w:rPr>
          <w:rFonts w:ascii="Times New Roman" w:hAnsi="Times New Roman" w:cs="Times New Roman"/>
          <w:sz w:val="24"/>
          <w:szCs w:val="24"/>
        </w:rPr>
        <w:t xml:space="preserve">Городской контекст доступа к транспорту измеряется с использованием методологии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F73DBC">
        <w:rPr>
          <w:rFonts w:ascii="Times New Roman" w:hAnsi="Times New Roman" w:cs="Times New Roman"/>
          <w:sz w:val="24"/>
          <w:szCs w:val="24"/>
        </w:rPr>
        <w:t xml:space="preserve"> 11.2.1 </w:t>
      </w:r>
      <w:r w:rsidR="004143B4">
        <w:rPr>
          <w:rFonts w:ascii="Times New Roman" w:hAnsi="Times New Roman" w:cs="Times New Roman"/>
          <w:sz w:val="24"/>
          <w:szCs w:val="24"/>
        </w:rPr>
        <w:t>«</w:t>
      </w:r>
      <w:r w:rsidR="004143B4" w:rsidRPr="004143B4">
        <w:rPr>
          <w:rFonts w:ascii="Times New Roman" w:hAnsi="Times New Roman" w:cs="Times New Roman"/>
          <w:sz w:val="24"/>
          <w:szCs w:val="24"/>
        </w:rPr>
        <w:t>Доля населения, имеющего удобный доступ к общественному транспорту, в разбивке по полу, возрасту и признаку инвалидности</w:t>
      </w:r>
      <w:r w:rsidRPr="00F73DBC">
        <w:rPr>
          <w:rFonts w:ascii="Times New Roman" w:hAnsi="Times New Roman" w:cs="Times New Roman"/>
          <w:sz w:val="24"/>
          <w:szCs w:val="24"/>
        </w:rPr>
        <w:t>».</w:t>
      </w:r>
    </w:p>
    <w:p w:rsid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DBC">
        <w:rPr>
          <w:rFonts w:ascii="Times New Roman" w:hAnsi="Times New Roman" w:cs="Times New Roman"/>
          <w:sz w:val="24"/>
          <w:szCs w:val="24"/>
        </w:rPr>
        <w:lastRenderedPageBreak/>
        <w:t>Доступна методология метаданных (ООН-</w:t>
      </w:r>
      <w:proofErr w:type="spellStart"/>
      <w:r w:rsidRPr="00F73DBC">
        <w:rPr>
          <w:rFonts w:ascii="Times New Roman" w:hAnsi="Times New Roman" w:cs="Times New Roman"/>
          <w:sz w:val="24"/>
          <w:szCs w:val="24"/>
        </w:rPr>
        <w:t>Хабитат</w:t>
      </w:r>
      <w:proofErr w:type="spellEnd"/>
      <w:r w:rsidRPr="00F73DBC">
        <w:rPr>
          <w:rFonts w:ascii="Times New Roman" w:hAnsi="Times New Roman" w:cs="Times New Roman"/>
          <w:sz w:val="24"/>
          <w:szCs w:val="24"/>
        </w:rPr>
        <w:t>, являющаяся агентством-</w:t>
      </w:r>
      <w:r w:rsidR="004143B4">
        <w:rPr>
          <w:rFonts w:ascii="Times New Roman" w:hAnsi="Times New Roman" w:cs="Times New Roman"/>
          <w:sz w:val="24"/>
          <w:szCs w:val="24"/>
        </w:rPr>
        <w:t>куратором</w:t>
      </w:r>
      <w:r w:rsidRPr="00F73DBC">
        <w:rPr>
          <w:rFonts w:ascii="Times New Roman" w:hAnsi="Times New Roman" w:cs="Times New Roman"/>
          <w:sz w:val="24"/>
          <w:szCs w:val="24"/>
        </w:rPr>
        <w:t>) и использует комбинацию пространственного и качественного анализа. Буфер на 500 м вокруг каждой остановки общественного транспорта используется и накладывается на социально-демографические данные - для идентификации обслуживаемого населения. Мы знаем, что измерение пространственного доступа недостаточно и не учитывает временные аспекты, связанные с наличием общественного транспорта. В дополнение к вышесказанному, другие параметры отслеживания транспортной цели, связанные с плотностью улицы/</w:t>
      </w:r>
      <w:r w:rsidR="004143B4" w:rsidRPr="004143B4">
        <w:rPr>
          <w:rFonts w:ascii="Times New Roman" w:hAnsi="Times New Roman" w:cs="Times New Roman"/>
          <w:sz w:val="24"/>
          <w:szCs w:val="24"/>
        </w:rPr>
        <w:t>количество пересечений</w:t>
      </w:r>
      <w:r w:rsidRPr="00F73DBC">
        <w:rPr>
          <w:rFonts w:ascii="Times New Roman" w:hAnsi="Times New Roman" w:cs="Times New Roman"/>
          <w:sz w:val="24"/>
          <w:szCs w:val="24"/>
        </w:rPr>
        <w:t>, доступности или качества с точки зрения безопасности, времени в пути, универсального доступа, все отслеживаются.</w:t>
      </w:r>
    </w:p>
    <w:p w:rsid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DBC">
        <w:rPr>
          <w:rFonts w:ascii="Times New Roman" w:hAnsi="Times New Roman" w:cs="Times New Roman"/>
          <w:b/>
          <w:sz w:val="24"/>
          <w:szCs w:val="24"/>
        </w:rPr>
        <w:t>Доступ к услугам по сбору основных отходов</w:t>
      </w:r>
      <w:r w:rsidRPr="00F73DBC">
        <w:rPr>
          <w:rFonts w:ascii="Times New Roman" w:hAnsi="Times New Roman" w:cs="Times New Roman"/>
          <w:sz w:val="24"/>
          <w:szCs w:val="24"/>
        </w:rPr>
        <w:t xml:space="preserve"> относится к доступу населения к надежной службе сбора отходов, включая как официальные коммунальные, так и неформальные услуги. «Служба сбора» может быть «от двери до двери» или путем внесения депозита в контейнер сообщества. «Коллекция» включает сбор для рециркуляции, а также для обработки и удаления (так, например, включает сбор вторсырья у странствующих покупателей отходов). «Надежность» означает, что регулярная частота будет зависеть от местных условий и от любого предъявления отходов. Например, как смешанные отходы, так и органические отходы часто собираются ежедневно в тропическом климате по соображениям общественного здравоохранения и обычно не реже одного раза в неделю; сухие вторичные вторсырья, выделяемые источником, могут собираться реже.</w:t>
      </w:r>
    </w:p>
    <w:p w:rsidR="00116248" w:rsidRDefault="00116248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248">
        <w:rPr>
          <w:rFonts w:ascii="Times New Roman" w:hAnsi="Times New Roman" w:cs="Times New Roman"/>
          <w:b/>
          <w:sz w:val="24"/>
          <w:szCs w:val="24"/>
        </w:rPr>
        <w:t>Доступ к базовым услугам здравоохранения</w:t>
      </w:r>
      <w:r w:rsidRPr="00F73DBC">
        <w:rPr>
          <w:rFonts w:ascii="Times New Roman" w:hAnsi="Times New Roman" w:cs="Times New Roman"/>
          <w:sz w:val="24"/>
          <w:szCs w:val="24"/>
        </w:rPr>
        <w:t xml:space="preserve"> относится к доступу к услугам, которые распространяются в неотложных службах неотложной помощи и за ее пределами, стационарной и врачебной помощи, амбулаторных медицинских услугах, лабораторных и радиологических услугах и профилактических медицинских услугах. Основные медицинские услуги также распространяются на доступ к ограниченному лечению психических заболеваний и злоупотребления </w:t>
      </w:r>
      <w:proofErr w:type="spellStart"/>
      <w:r w:rsidRPr="00F73DBC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F73DBC">
        <w:rPr>
          <w:rFonts w:ascii="Times New Roman" w:hAnsi="Times New Roman" w:cs="Times New Roman"/>
          <w:sz w:val="24"/>
          <w:szCs w:val="24"/>
        </w:rPr>
        <w:t xml:space="preserve"> веществами в соответствии с минимальными стандартами, установленными местными и национальными министерствами здравоохранения.</w:t>
      </w:r>
    </w:p>
    <w:p w:rsid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248">
        <w:rPr>
          <w:rFonts w:ascii="Times New Roman" w:hAnsi="Times New Roman" w:cs="Times New Roman"/>
          <w:b/>
          <w:sz w:val="24"/>
          <w:szCs w:val="24"/>
        </w:rPr>
        <w:t>Доступ к базовому образованию</w:t>
      </w:r>
      <w:r w:rsidRPr="00F73DBC">
        <w:rPr>
          <w:rFonts w:ascii="Times New Roman" w:hAnsi="Times New Roman" w:cs="Times New Roman"/>
          <w:sz w:val="24"/>
          <w:szCs w:val="24"/>
        </w:rPr>
        <w:t xml:space="preserve"> относится к доступу к услугам в области образования, который предоставляет всем учащимся возможности, необходимые им для того, чтобы стать экономически продуктивными, развивать устойчивые источники сре</w:t>
      </w:r>
      <w:proofErr w:type="gramStart"/>
      <w:r w:rsidRPr="00F73DBC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F73DBC">
        <w:rPr>
          <w:rFonts w:ascii="Times New Roman" w:hAnsi="Times New Roman" w:cs="Times New Roman"/>
          <w:sz w:val="24"/>
          <w:szCs w:val="24"/>
        </w:rPr>
        <w:t>уществованию, содействовать мирным и демократическим обществам и повышать индивидуальное благосостояние. По этому показателю мы рассматриваем доступ к образовательным услугам в школе, в возрасте 5-21 лет. Право на образование является многогранным правом, которое должно иметь как минимум два измерения:</w:t>
      </w:r>
    </w:p>
    <w:p w:rsidR="005E47BD" w:rsidRPr="005E47BD" w:rsidRDefault="005E47BD" w:rsidP="005E47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7BD"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Pr="005E47BD">
        <w:rPr>
          <w:rFonts w:ascii="Times New Roman" w:hAnsi="Times New Roman" w:cs="Times New Roman"/>
          <w:sz w:val="24"/>
          <w:szCs w:val="24"/>
        </w:rPr>
        <w:t>количественный</w:t>
      </w:r>
      <w:proofErr w:type="gramEnd"/>
      <w:r w:rsidRPr="005E47BD">
        <w:rPr>
          <w:rFonts w:ascii="Times New Roman" w:hAnsi="Times New Roman" w:cs="Times New Roman"/>
          <w:sz w:val="24"/>
          <w:szCs w:val="24"/>
        </w:rPr>
        <w:t xml:space="preserve"> (для всех),</w:t>
      </w:r>
    </w:p>
    <w:p w:rsidR="005E47BD" w:rsidRDefault="005E47BD" w:rsidP="005E47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E47BD">
        <w:rPr>
          <w:rFonts w:ascii="Times New Roman" w:hAnsi="Times New Roman" w:cs="Times New Roman"/>
          <w:sz w:val="24"/>
          <w:szCs w:val="24"/>
        </w:rPr>
        <w:t>(б) качественное (право на то, какое образование, на какое время оно предоставляется кем и для кого, а также ведет к полному развитию человеческой личности, имеющему фундаментальное значение для выполнения других прав, свободы и поддержания мира.</w:t>
      </w:r>
      <w:proofErr w:type="gramEnd"/>
      <w:r w:rsidRPr="005E47BD">
        <w:rPr>
          <w:rFonts w:ascii="Times New Roman" w:hAnsi="Times New Roman" w:cs="Times New Roman"/>
          <w:sz w:val="24"/>
          <w:szCs w:val="24"/>
        </w:rPr>
        <w:t xml:space="preserve"> Статья 26 Всеобщей декларации (1948) отмечают, что: </w:t>
      </w:r>
      <w:r w:rsidRPr="005E47BD">
        <w:rPr>
          <w:rFonts w:ascii="Times New Roman" w:hAnsi="Times New Roman" w:cs="Times New Roman"/>
          <w:i/>
          <w:sz w:val="24"/>
          <w:szCs w:val="24"/>
        </w:rPr>
        <w:t xml:space="preserve">Каждый человек имеет право на образование. Образование должно быть бесплатным, по крайней мере, на начальном и фундаментальном уровнях. Начальное образование является обязательным. Техническое </w:t>
      </w:r>
      <w:r w:rsidRPr="005E47BD">
        <w:rPr>
          <w:rFonts w:ascii="Times New Roman" w:hAnsi="Times New Roman" w:cs="Times New Roman"/>
          <w:i/>
          <w:sz w:val="24"/>
          <w:szCs w:val="24"/>
        </w:rPr>
        <w:lastRenderedPageBreak/>
        <w:t>и профессиональное образование должно быть общедоступным, а высшее образование должно быть одинаково доступным для всех на основе заслуг.</w:t>
      </w:r>
    </w:p>
    <w:p w:rsidR="00116248" w:rsidRDefault="00116248" w:rsidP="005E47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47BD" w:rsidRDefault="005E47BD" w:rsidP="005E47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7BD">
        <w:rPr>
          <w:rFonts w:ascii="Times New Roman" w:hAnsi="Times New Roman" w:cs="Times New Roman"/>
          <w:b/>
          <w:sz w:val="24"/>
          <w:szCs w:val="24"/>
        </w:rPr>
        <w:t>Доступ к базовым информационным услугам</w:t>
      </w:r>
      <w:r w:rsidRPr="005E47BD">
        <w:rPr>
          <w:rFonts w:ascii="Times New Roman" w:hAnsi="Times New Roman" w:cs="Times New Roman"/>
          <w:sz w:val="24"/>
          <w:szCs w:val="24"/>
        </w:rPr>
        <w:t xml:space="preserve"> относится к широкополосному доступу в Интернет. Широкополосная связь определяется как технологии, которые обеспечивают рекламируемые скорости загрузки не менее 256 кбит/с. Основными типами широкополосных услуг являются: </w:t>
      </w:r>
    </w:p>
    <w:p w:rsidR="005E47BD" w:rsidRDefault="005E47BD" w:rsidP="005E47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7BD">
        <w:rPr>
          <w:rFonts w:ascii="Times New Roman" w:hAnsi="Times New Roman" w:cs="Times New Roman"/>
          <w:sz w:val="24"/>
          <w:szCs w:val="24"/>
        </w:rPr>
        <w:t xml:space="preserve">1) фиксированная (проводная) широкополосная сеть, такая как DSL, кабельный модем, высокоскоростные выделенные линии, оптоволоконные сети/здания, линия электропередач и другая фиксированная (проводная) широкополосная связь; </w:t>
      </w:r>
    </w:p>
    <w:p w:rsidR="005E47BD" w:rsidRDefault="005E47BD" w:rsidP="005E47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7BD">
        <w:rPr>
          <w:rFonts w:ascii="Times New Roman" w:hAnsi="Times New Roman" w:cs="Times New Roman"/>
          <w:sz w:val="24"/>
          <w:szCs w:val="24"/>
        </w:rPr>
        <w:t xml:space="preserve">2) наземная фиксированная (беспроводная) широкополосная сеть, такая как </w:t>
      </w:r>
      <w:proofErr w:type="spellStart"/>
      <w:r w:rsidRPr="005E47BD">
        <w:rPr>
          <w:rFonts w:ascii="Times New Roman" w:hAnsi="Times New Roman" w:cs="Times New Roman"/>
          <w:sz w:val="24"/>
          <w:szCs w:val="24"/>
        </w:rPr>
        <w:t>WiMAX</w:t>
      </w:r>
      <w:proofErr w:type="spellEnd"/>
      <w:r w:rsidRPr="005E47BD">
        <w:rPr>
          <w:rFonts w:ascii="Times New Roman" w:hAnsi="Times New Roman" w:cs="Times New Roman"/>
          <w:sz w:val="24"/>
          <w:szCs w:val="24"/>
        </w:rPr>
        <w:t xml:space="preserve">, фиксированная CDMA; </w:t>
      </w:r>
    </w:p>
    <w:p w:rsidR="005E47BD" w:rsidRDefault="005E47BD" w:rsidP="005E47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7BD">
        <w:rPr>
          <w:rFonts w:ascii="Times New Roman" w:hAnsi="Times New Roman" w:cs="Times New Roman"/>
          <w:sz w:val="24"/>
          <w:szCs w:val="24"/>
        </w:rPr>
        <w:t xml:space="preserve">3) спутниковая широкополосная сеть (через спутниковое соединение); </w:t>
      </w:r>
    </w:p>
    <w:p w:rsidR="005E47BD" w:rsidRDefault="005E47BD" w:rsidP="005E47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7BD">
        <w:rPr>
          <w:rFonts w:ascii="Times New Roman" w:hAnsi="Times New Roman" w:cs="Times New Roman"/>
          <w:sz w:val="24"/>
          <w:szCs w:val="24"/>
        </w:rPr>
        <w:t>4)</w:t>
      </w:r>
      <w:r w:rsidR="00116248">
        <w:rPr>
          <w:rFonts w:ascii="Times New Roman" w:hAnsi="Times New Roman" w:cs="Times New Roman"/>
          <w:sz w:val="24"/>
          <w:szCs w:val="24"/>
        </w:rPr>
        <w:t xml:space="preserve"> м</w:t>
      </w:r>
      <w:r w:rsidRPr="005E47BD">
        <w:rPr>
          <w:rFonts w:ascii="Times New Roman" w:hAnsi="Times New Roman" w:cs="Times New Roman"/>
          <w:sz w:val="24"/>
          <w:szCs w:val="24"/>
        </w:rPr>
        <w:t xml:space="preserve">обильная широкополосная сеть (по меньшей мере, 3G, например UMTS) через телефонную трубку, и </w:t>
      </w:r>
    </w:p>
    <w:p w:rsidR="005E47BD" w:rsidRPr="005E47BD" w:rsidRDefault="00116248" w:rsidP="005E47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</w:t>
      </w:r>
      <w:r w:rsidR="005E47BD" w:rsidRPr="005E47BD">
        <w:rPr>
          <w:rFonts w:ascii="Times New Roman" w:hAnsi="Times New Roman" w:cs="Times New Roman"/>
          <w:sz w:val="24"/>
          <w:szCs w:val="24"/>
        </w:rPr>
        <w:t>обильная широкополосная сеть (по меньшей мере, 3G, например UMTS) через карту (например, встроенную SIM-карту в компьютере) или USB-модем.</w:t>
      </w:r>
    </w:p>
    <w:p w:rsidR="005E47BD" w:rsidRDefault="005E47BD" w:rsidP="005E47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7BD" w:rsidRPr="005E47BD" w:rsidRDefault="005E47BD" w:rsidP="005E47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7BD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F73DBC" w:rsidRDefault="00F73DBC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7BD" w:rsidRDefault="005E47B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7BD">
        <w:rPr>
          <w:rFonts w:ascii="Times New Roman" w:hAnsi="Times New Roman" w:cs="Times New Roman"/>
          <w:sz w:val="24"/>
          <w:szCs w:val="24"/>
        </w:rPr>
        <w:t xml:space="preserve">Различные местные характеристики того, что представляет собой базовое обслуживание во всем мире некоторыми заинтересованными органами и заинтересованными сторонами, вынудили команду работать над модулями и глобальными руководствами по этому показателю. Это основано на определениях, доступных для многих других </w:t>
      </w:r>
      <w:r w:rsidR="00116248">
        <w:rPr>
          <w:rFonts w:ascii="Times New Roman" w:hAnsi="Times New Roman" w:cs="Times New Roman"/>
          <w:sz w:val="24"/>
          <w:szCs w:val="24"/>
        </w:rPr>
        <w:t>показателей ЦУР</w:t>
      </w:r>
      <w:r w:rsidRPr="005E47BD">
        <w:rPr>
          <w:rFonts w:ascii="Times New Roman" w:hAnsi="Times New Roman" w:cs="Times New Roman"/>
          <w:sz w:val="24"/>
          <w:szCs w:val="24"/>
        </w:rPr>
        <w:t xml:space="preserve">. Например, элементы </w:t>
      </w:r>
      <w:r w:rsidR="00116248">
        <w:rPr>
          <w:rFonts w:ascii="Times New Roman" w:hAnsi="Times New Roman" w:cs="Times New Roman"/>
          <w:sz w:val="24"/>
          <w:szCs w:val="24"/>
        </w:rPr>
        <w:t>базовых</w:t>
      </w:r>
      <w:r w:rsidRPr="005E47BD">
        <w:rPr>
          <w:rFonts w:ascii="Times New Roman" w:hAnsi="Times New Roman" w:cs="Times New Roman"/>
          <w:sz w:val="24"/>
          <w:szCs w:val="24"/>
        </w:rPr>
        <w:t xml:space="preserve"> услуг измеряются по показателям 3.7.1 (здоровье), 4.1.1 (образование), 6.1.1 (вода), 6.2.1 (санита</w:t>
      </w:r>
      <w:r w:rsidR="00116248">
        <w:rPr>
          <w:rFonts w:ascii="Times New Roman" w:hAnsi="Times New Roman" w:cs="Times New Roman"/>
          <w:sz w:val="24"/>
          <w:szCs w:val="24"/>
        </w:rPr>
        <w:t>рия), 7.1.1 (энергия), 11.2.1 (</w:t>
      </w:r>
      <w:r w:rsidRPr="005E47BD">
        <w:rPr>
          <w:rFonts w:ascii="Times New Roman" w:hAnsi="Times New Roman" w:cs="Times New Roman"/>
          <w:sz w:val="24"/>
          <w:szCs w:val="24"/>
        </w:rPr>
        <w:t>общественный транспорт) и т. д.</w:t>
      </w:r>
    </w:p>
    <w:p w:rsidR="005E47BD" w:rsidRDefault="005E47B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7BD" w:rsidRDefault="005E47B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7BD">
        <w:rPr>
          <w:rFonts w:ascii="Times New Roman" w:hAnsi="Times New Roman" w:cs="Times New Roman"/>
          <w:sz w:val="24"/>
          <w:szCs w:val="24"/>
        </w:rPr>
        <w:t xml:space="preserve">Наконец, многие страны по-прежнему имеют ограниченные возможности для управления данными, сбора данных и мониторинга и продолжают бороться с ограниченными данными о крупных или густонаселенных географических районах. Это означает, что </w:t>
      </w:r>
      <w:proofErr w:type="spellStart"/>
      <w:r w:rsidRPr="005E47BD"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 w:rsidRPr="005E47BD">
        <w:rPr>
          <w:rFonts w:ascii="Times New Roman" w:hAnsi="Times New Roman" w:cs="Times New Roman"/>
          <w:sz w:val="24"/>
          <w:szCs w:val="24"/>
        </w:rPr>
        <w:t xml:space="preserve"> в представлении данных за несколькими исключениями </w:t>
      </w:r>
      <w:proofErr w:type="gramStart"/>
      <w:r w:rsidRPr="005E47BD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5E47BD">
        <w:rPr>
          <w:rFonts w:ascii="Times New Roman" w:hAnsi="Times New Roman" w:cs="Times New Roman"/>
          <w:sz w:val="24"/>
          <w:szCs w:val="24"/>
        </w:rPr>
        <w:t xml:space="preserve"> для обеспечения того, чтобы как национальные, так и глобальные показатели достигали согласованности в конечных сообщенных данных для доступа к </w:t>
      </w:r>
      <w:r w:rsidR="00116248">
        <w:rPr>
          <w:rFonts w:ascii="Times New Roman" w:hAnsi="Times New Roman" w:cs="Times New Roman"/>
          <w:sz w:val="24"/>
          <w:szCs w:val="24"/>
        </w:rPr>
        <w:t>базовым</w:t>
      </w:r>
      <w:r w:rsidRPr="005E47BD">
        <w:rPr>
          <w:rFonts w:ascii="Times New Roman" w:hAnsi="Times New Roman" w:cs="Times New Roman"/>
          <w:sz w:val="24"/>
          <w:szCs w:val="24"/>
        </w:rPr>
        <w:t xml:space="preserve"> услугам.</w:t>
      </w:r>
    </w:p>
    <w:p w:rsidR="005E47BD" w:rsidRDefault="005E47B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7BD" w:rsidRPr="005E47BD" w:rsidRDefault="005E47B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7BD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5E47BD" w:rsidRPr="00E81B35" w:rsidRDefault="005E47BD" w:rsidP="005E47B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35">
        <w:rPr>
          <w:rFonts w:ascii="Times New Roman" w:hAnsi="Times New Roman" w:cs="Times New Roman"/>
          <w:b/>
          <w:sz w:val="24"/>
          <w:szCs w:val="24"/>
        </w:rPr>
        <w:t>Метод расчета:</w:t>
      </w:r>
    </w:p>
    <w:p w:rsidR="005E47BD" w:rsidRDefault="005E47B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7BD" w:rsidRDefault="005E47B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7BD">
        <w:rPr>
          <w:rFonts w:ascii="Times New Roman" w:hAnsi="Times New Roman" w:cs="Times New Roman"/>
          <w:sz w:val="24"/>
          <w:szCs w:val="24"/>
        </w:rPr>
        <w:t>Существуют два этапа вычисления, которые мы применили в зависимости от уровня сбора данных. Шаг 1 - это доля населения, имеющего доступ ко всем основным услугам, упомянутым выше, из первичных источников данных, таких как обследования домашних хозяйств и перепись.</w:t>
      </w:r>
    </w:p>
    <w:p w:rsidR="005E47BD" w:rsidRDefault="005E47B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7BD" w:rsidRPr="00D05466" w:rsidRDefault="005E47B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 xml:space="preserve">Доля населения с доступом к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базовым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услугам=100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Количество людей, имеющих доступ ко всем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базовым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услугам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Население</m:t>
              </m:r>
            </m:den>
          </m:f>
        </m:oMath>
      </m:oMathPara>
    </w:p>
    <w:p w:rsidR="00D05466" w:rsidRDefault="00D05466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05466" w:rsidRDefault="00D05466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Пример: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559"/>
        <w:gridCol w:w="1560"/>
        <w:gridCol w:w="1417"/>
        <w:gridCol w:w="1383"/>
      </w:tblGrid>
      <w:tr w:rsidR="007B0CFD" w:rsidTr="007B0CFD">
        <w:tc>
          <w:tcPr>
            <w:tcW w:w="2235" w:type="dxa"/>
          </w:tcPr>
          <w:p w:rsidR="00D05466" w:rsidRDefault="00D05466" w:rsidP="00F73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5466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</w:tcPr>
          <w:p w:rsidR="00D05466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</w:tcPr>
          <w:p w:rsidR="00D05466" w:rsidRDefault="006B260E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371F" w:rsidRDefault="006B260E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D05466" w:rsidRDefault="006B260E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0CFD" w:rsidTr="007B0CFD">
        <w:tc>
          <w:tcPr>
            <w:tcW w:w="2235" w:type="dxa"/>
          </w:tcPr>
          <w:p w:rsidR="00D05466" w:rsidRDefault="006B260E" w:rsidP="00F73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417" w:type="dxa"/>
          </w:tcPr>
          <w:p w:rsidR="00D05466" w:rsidRDefault="00D05466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5466" w:rsidRDefault="00D05466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05466" w:rsidRDefault="00D05466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5466" w:rsidRDefault="00D05466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D05466" w:rsidRDefault="00D05466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0CFD" w:rsidTr="007B0CFD">
        <w:tc>
          <w:tcPr>
            <w:tcW w:w="2235" w:type="dxa"/>
          </w:tcPr>
          <w:p w:rsidR="00F6371F" w:rsidRDefault="006B260E" w:rsidP="00F73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0E">
              <w:rPr>
                <w:rFonts w:ascii="Times New Roman" w:hAnsi="Times New Roman" w:cs="Times New Roman"/>
                <w:sz w:val="24"/>
                <w:szCs w:val="24"/>
              </w:rPr>
              <w:t>Обслуживание питьевой воды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B0CFD" w:rsidTr="007B0CFD">
        <w:tc>
          <w:tcPr>
            <w:tcW w:w="2235" w:type="dxa"/>
          </w:tcPr>
          <w:p w:rsidR="00F6371F" w:rsidRDefault="006B260E" w:rsidP="00F73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0E">
              <w:rPr>
                <w:rFonts w:ascii="Times New Roman" w:hAnsi="Times New Roman" w:cs="Times New Roman"/>
                <w:sz w:val="24"/>
                <w:szCs w:val="24"/>
              </w:rPr>
              <w:t>Санитарная служба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6371F" w:rsidRDefault="00F6371F" w:rsidP="00F6371F">
            <w:pPr>
              <w:jc w:val="center"/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B0CFD" w:rsidTr="007B0CFD">
        <w:tc>
          <w:tcPr>
            <w:tcW w:w="2235" w:type="dxa"/>
          </w:tcPr>
          <w:p w:rsidR="00F6371F" w:rsidRDefault="006B260E" w:rsidP="00F73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0E">
              <w:rPr>
                <w:rFonts w:ascii="Times New Roman" w:hAnsi="Times New Roman" w:cs="Times New Roman"/>
                <w:sz w:val="24"/>
                <w:szCs w:val="24"/>
              </w:rPr>
              <w:t>Средства гигиены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6371F" w:rsidRDefault="00F6371F" w:rsidP="00F6371F">
            <w:pPr>
              <w:jc w:val="center"/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B0CFD" w:rsidTr="007B0CFD">
        <w:tc>
          <w:tcPr>
            <w:tcW w:w="2235" w:type="dxa"/>
          </w:tcPr>
          <w:p w:rsidR="00F6371F" w:rsidRDefault="006B260E" w:rsidP="00F73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0E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6371F" w:rsidRDefault="00F6371F" w:rsidP="00F6371F">
            <w:pPr>
              <w:jc w:val="center"/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B0CFD" w:rsidTr="007B0CFD">
        <w:tc>
          <w:tcPr>
            <w:tcW w:w="2235" w:type="dxa"/>
          </w:tcPr>
          <w:p w:rsidR="00F6371F" w:rsidRDefault="006B260E" w:rsidP="00F73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0E">
              <w:rPr>
                <w:rFonts w:ascii="Times New Roman" w:hAnsi="Times New Roman" w:cs="Times New Roman"/>
                <w:sz w:val="24"/>
                <w:szCs w:val="24"/>
              </w:rPr>
              <w:t>Чистое топливо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6371F" w:rsidRDefault="00F6371F" w:rsidP="00F6371F">
            <w:pPr>
              <w:jc w:val="center"/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B0CFD" w:rsidTr="007B0CFD">
        <w:tc>
          <w:tcPr>
            <w:tcW w:w="2235" w:type="dxa"/>
          </w:tcPr>
          <w:p w:rsidR="00F6371F" w:rsidRDefault="006B260E" w:rsidP="00F73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260E">
              <w:rPr>
                <w:rFonts w:ascii="Times New Roman" w:hAnsi="Times New Roman" w:cs="Times New Roman"/>
                <w:sz w:val="24"/>
                <w:szCs w:val="24"/>
              </w:rPr>
              <w:t>обильность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6371F" w:rsidRDefault="00F6371F" w:rsidP="00F6371F">
            <w:pPr>
              <w:jc w:val="center"/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371F" w:rsidTr="007B0CFD">
        <w:tc>
          <w:tcPr>
            <w:tcW w:w="2235" w:type="dxa"/>
          </w:tcPr>
          <w:p w:rsidR="00F6371F" w:rsidRDefault="006B260E" w:rsidP="006B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0E">
              <w:rPr>
                <w:rFonts w:ascii="Times New Roman" w:hAnsi="Times New Roman" w:cs="Times New Roman"/>
                <w:sz w:val="24"/>
                <w:szCs w:val="24"/>
              </w:rPr>
              <w:t>Сбор отходов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6371F" w:rsidRDefault="00F6371F" w:rsidP="00F6371F">
            <w:pPr>
              <w:jc w:val="center"/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371F" w:rsidTr="007B0CFD">
        <w:tc>
          <w:tcPr>
            <w:tcW w:w="2235" w:type="dxa"/>
          </w:tcPr>
          <w:p w:rsidR="00F6371F" w:rsidRDefault="006B260E" w:rsidP="006B2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60E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60E" w:rsidTr="007B0CFD">
        <w:tc>
          <w:tcPr>
            <w:tcW w:w="2235" w:type="dxa"/>
          </w:tcPr>
          <w:p w:rsidR="006B260E" w:rsidRDefault="006B260E" w:rsidP="00EB3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</w:tcPr>
          <w:p w:rsidR="006B260E" w:rsidRDefault="006B260E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260E" w:rsidRDefault="006B260E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B260E" w:rsidRDefault="006B260E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B260E" w:rsidRDefault="006B260E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6B260E" w:rsidRDefault="006B260E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60E" w:rsidTr="007B0CFD">
        <w:tc>
          <w:tcPr>
            <w:tcW w:w="2235" w:type="dxa"/>
          </w:tcPr>
          <w:p w:rsidR="006B260E" w:rsidRDefault="006B260E" w:rsidP="007B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0E">
              <w:rPr>
                <w:rFonts w:ascii="Times New Roman" w:hAnsi="Times New Roman" w:cs="Times New Roman"/>
                <w:sz w:val="24"/>
                <w:szCs w:val="24"/>
              </w:rPr>
              <w:t>Широкополосный интернет</w:t>
            </w:r>
          </w:p>
        </w:tc>
        <w:tc>
          <w:tcPr>
            <w:tcW w:w="1417" w:type="dxa"/>
          </w:tcPr>
          <w:p w:rsidR="006B260E" w:rsidRDefault="006B260E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B260E" w:rsidRDefault="006B260E" w:rsidP="00F6371F">
            <w:pPr>
              <w:jc w:val="center"/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6B260E" w:rsidRDefault="006B260E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6B260E" w:rsidRDefault="006B260E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6B260E" w:rsidRDefault="006B260E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371F" w:rsidTr="007B0CFD">
        <w:tc>
          <w:tcPr>
            <w:tcW w:w="2235" w:type="dxa"/>
          </w:tcPr>
          <w:p w:rsidR="00F6371F" w:rsidRDefault="007B0CFD" w:rsidP="004E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население, имеющее доступ ко всем </w:t>
            </w:r>
            <w:r w:rsidR="004E087E">
              <w:rPr>
                <w:rFonts w:ascii="Times New Roman" w:hAnsi="Times New Roman" w:cs="Times New Roman"/>
                <w:sz w:val="24"/>
                <w:szCs w:val="24"/>
              </w:rPr>
              <w:t>базовым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услугам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371F" w:rsidRPr="001726C1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6371F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6371F" w:rsidRPr="001726C1" w:rsidRDefault="00F6371F" w:rsidP="00F6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5466" w:rsidRDefault="00D05466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CFD" w:rsidRDefault="007B0CF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CFD">
        <w:rPr>
          <w:rFonts w:ascii="Times New Roman" w:hAnsi="Times New Roman" w:cs="Times New Roman"/>
          <w:sz w:val="24"/>
          <w:szCs w:val="24"/>
        </w:rPr>
        <w:t xml:space="preserve">Доля населения, имеющего доступ </w:t>
      </w:r>
      <w:proofErr w:type="gramStart"/>
      <w:r w:rsidRPr="007B0C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0CFD">
        <w:rPr>
          <w:rFonts w:ascii="Times New Roman" w:hAnsi="Times New Roman" w:cs="Times New Roman"/>
          <w:sz w:val="24"/>
          <w:szCs w:val="24"/>
        </w:rPr>
        <w:t xml:space="preserve"> (всем) </w:t>
      </w:r>
      <w:r w:rsidR="004E087E">
        <w:rPr>
          <w:rFonts w:ascii="Times New Roman" w:hAnsi="Times New Roman" w:cs="Times New Roman"/>
          <w:sz w:val="24"/>
          <w:szCs w:val="24"/>
        </w:rPr>
        <w:t xml:space="preserve">базовым </w:t>
      </w:r>
      <w:r w:rsidRPr="007B0CFD">
        <w:rPr>
          <w:rFonts w:ascii="Times New Roman" w:hAnsi="Times New Roman" w:cs="Times New Roman"/>
          <w:sz w:val="24"/>
          <w:szCs w:val="24"/>
        </w:rPr>
        <w:t>услугам</w:t>
      </w:r>
      <w:r>
        <w:rPr>
          <w:rFonts w:ascii="Times New Roman" w:hAnsi="Times New Roman" w:cs="Times New Roman"/>
          <w:sz w:val="24"/>
          <w:szCs w:val="24"/>
        </w:rPr>
        <w:t xml:space="preserve"> = 5/(4+7+5+6+3)*100=20%</w:t>
      </w:r>
    </w:p>
    <w:p w:rsidR="007B0CFD" w:rsidRDefault="007B0CF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CFD" w:rsidRDefault="007B0CF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CFD">
        <w:rPr>
          <w:rFonts w:ascii="Times New Roman" w:hAnsi="Times New Roman" w:cs="Times New Roman"/>
          <w:sz w:val="24"/>
          <w:szCs w:val="24"/>
        </w:rPr>
        <w:t>Этот шаг необходим, когда страны имеют первичные данные на уровне домашних хозяй</w:t>
      </w:r>
      <w:proofErr w:type="gramStart"/>
      <w:r w:rsidRPr="007B0CF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7B0CFD">
        <w:rPr>
          <w:rFonts w:ascii="Times New Roman" w:hAnsi="Times New Roman" w:cs="Times New Roman"/>
          <w:sz w:val="24"/>
          <w:szCs w:val="24"/>
        </w:rPr>
        <w:t>я всех видов базовых услуг. Затем следуют вычисления показателей для других компонентов, которые не измеряются на уровне домашних хозяйств, таких как доступ к здравоохранени</w:t>
      </w:r>
      <w:r>
        <w:rPr>
          <w:rFonts w:ascii="Times New Roman" w:hAnsi="Times New Roman" w:cs="Times New Roman"/>
          <w:sz w:val="24"/>
          <w:szCs w:val="24"/>
        </w:rPr>
        <w:t>ю, образованию, транспорту и т.д</w:t>
      </w:r>
      <w:r w:rsidRPr="007B0CFD">
        <w:rPr>
          <w:rFonts w:ascii="Times New Roman" w:hAnsi="Times New Roman" w:cs="Times New Roman"/>
          <w:sz w:val="24"/>
          <w:szCs w:val="24"/>
        </w:rPr>
        <w:t xml:space="preserve">. Например, доступ к мобильности для домашних хозяйств измеряется с помощью данных ГИС, а не обследования домашних хозяйств. Сначала вычисляются отдельные компоненты доступа к базовым </w:t>
      </w:r>
      <w:r w:rsidR="002E122C">
        <w:rPr>
          <w:rFonts w:ascii="Times New Roman" w:hAnsi="Times New Roman" w:cs="Times New Roman"/>
          <w:sz w:val="24"/>
          <w:szCs w:val="24"/>
        </w:rPr>
        <w:t>услугам</w:t>
      </w:r>
      <w:r w:rsidRPr="007B0CFD">
        <w:rPr>
          <w:rFonts w:ascii="Times New Roman" w:hAnsi="Times New Roman" w:cs="Times New Roman"/>
          <w:sz w:val="24"/>
          <w:szCs w:val="24"/>
        </w:rPr>
        <w:t xml:space="preserve">, за которыми следует агрегация компонентов без весов. От пилотов, имеющих общую стоимость, показывающую доступ ко всем </w:t>
      </w:r>
      <w:r w:rsidR="002E122C">
        <w:rPr>
          <w:rFonts w:ascii="Times New Roman" w:hAnsi="Times New Roman" w:cs="Times New Roman"/>
          <w:sz w:val="24"/>
          <w:szCs w:val="24"/>
        </w:rPr>
        <w:t>базовым</w:t>
      </w:r>
      <w:r w:rsidRPr="007B0CFD">
        <w:rPr>
          <w:rFonts w:ascii="Times New Roman" w:hAnsi="Times New Roman" w:cs="Times New Roman"/>
          <w:sz w:val="24"/>
          <w:szCs w:val="24"/>
        </w:rPr>
        <w:t xml:space="preserve"> услугам, работает как лучшая мера для информирования политик регионов, где преобладает большинство лишений, но не подлежит действию. Вместо этого, это индивидуальные компоненты, которые справедливо относятся к областям улучшений или инвестиций.</w:t>
      </w:r>
    </w:p>
    <w:p w:rsidR="007B0CFD" w:rsidRDefault="007B0CF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CFD" w:rsidRDefault="007B0CF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CFD">
        <w:rPr>
          <w:rFonts w:ascii="Times New Roman" w:hAnsi="Times New Roman" w:cs="Times New Roman"/>
          <w:b/>
          <w:sz w:val="24"/>
          <w:szCs w:val="24"/>
        </w:rPr>
        <w:t>Представление данных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0CFD" w:rsidRDefault="007B0CF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CFD">
        <w:rPr>
          <w:rFonts w:ascii="Times New Roman" w:hAnsi="Times New Roman" w:cs="Times New Roman"/>
          <w:sz w:val="24"/>
          <w:szCs w:val="24"/>
        </w:rPr>
        <w:t xml:space="preserve">Данные для этого компонентного </w:t>
      </w:r>
      <w:r w:rsidR="00E90BD4">
        <w:rPr>
          <w:rFonts w:ascii="Times New Roman" w:hAnsi="Times New Roman" w:cs="Times New Roman"/>
          <w:sz w:val="24"/>
          <w:szCs w:val="24"/>
        </w:rPr>
        <w:t>показателя</w:t>
      </w:r>
      <w:r w:rsidRPr="007B0CFD">
        <w:rPr>
          <w:rFonts w:ascii="Times New Roman" w:hAnsi="Times New Roman" w:cs="Times New Roman"/>
          <w:sz w:val="24"/>
          <w:szCs w:val="24"/>
        </w:rPr>
        <w:t xml:space="preserve"> теперь моделируются и представляются или визуализируются как паутинная сеть для достижения доступа к различным основным услугам в стране посредством построения различных компонентов показателя, который также удваивается по мере того, как другие показатели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7B0CFD">
        <w:rPr>
          <w:rFonts w:ascii="Times New Roman" w:hAnsi="Times New Roman" w:cs="Times New Roman"/>
          <w:sz w:val="24"/>
          <w:szCs w:val="24"/>
        </w:rPr>
        <w:t xml:space="preserve">. Таким образом, лица, определяющие политику, могут быть проинформированы о наиболее необходимых областях вмешательства. Эта методология представления данных не обязательно имеет единую агрегированную ценность против «доли населения, имеющего доступ к основным услугам». </w:t>
      </w:r>
    </w:p>
    <w:p w:rsidR="007B0CFD" w:rsidRDefault="007B0CF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CFD" w:rsidRPr="00E81B35" w:rsidRDefault="007B0CFD" w:rsidP="007B0C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1B35">
        <w:rPr>
          <w:rFonts w:ascii="Times New Roman" w:hAnsi="Times New Roman" w:cs="Times New Roman"/>
          <w:b/>
          <w:sz w:val="24"/>
          <w:szCs w:val="24"/>
        </w:rPr>
        <w:lastRenderedPageBreak/>
        <w:t>Дезагрегация</w:t>
      </w:r>
      <w:proofErr w:type="spellEnd"/>
      <w:r w:rsidRPr="00E81B35">
        <w:rPr>
          <w:rFonts w:ascii="Times New Roman" w:hAnsi="Times New Roman" w:cs="Times New Roman"/>
          <w:b/>
          <w:sz w:val="24"/>
          <w:szCs w:val="24"/>
        </w:rPr>
        <w:t>:</w:t>
      </w:r>
    </w:p>
    <w:p w:rsidR="007B0CFD" w:rsidRDefault="007B0CF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CFD" w:rsidRPr="007B0CFD" w:rsidRDefault="007B0CFD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CFD">
        <w:rPr>
          <w:rFonts w:ascii="Times New Roman" w:hAnsi="Times New Roman" w:cs="Times New Roman"/>
          <w:sz w:val="24"/>
          <w:szCs w:val="24"/>
        </w:rPr>
        <w:t>Данные для этого показателя могут быть дезагрегированы на уровне городов и городов.</w:t>
      </w:r>
    </w:p>
    <w:p w:rsidR="007B0CFD" w:rsidRPr="007B0CFD" w:rsidRDefault="007B0CFD" w:rsidP="007B0CFD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CFD">
        <w:rPr>
          <w:rFonts w:ascii="Times New Roman" w:hAnsi="Times New Roman" w:cs="Times New Roman"/>
          <w:sz w:val="24"/>
          <w:szCs w:val="24"/>
        </w:rPr>
        <w:t>Дезагрегация</w:t>
      </w:r>
      <w:proofErr w:type="spellEnd"/>
      <w:r w:rsidRPr="007B0CFD">
        <w:rPr>
          <w:rFonts w:ascii="Times New Roman" w:hAnsi="Times New Roman" w:cs="Times New Roman"/>
          <w:sz w:val="24"/>
          <w:szCs w:val="24"/>
        </w:rPr>
        <w:t xml:space="preserve"> по городским/сельским</w:t>
      </w:r>
    </w:p>
    <w:p w:rsidR="007B0CFD" w:rsidRPr="007B0CFD" w:rsidRDefault="007B0CFD" w:rsidP="007B0CFD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CFD">
        <w:rPr>
          <w:rFonts w:ascii="Times New Roman" w:hAnsi="Times New Roman" w:cs="Times New Roman"/>
          <w:sz w:val="24"/>
          <w:szCs w:val="24"/>
        </w:rPr>
        <w:t>Дезагрегация</w:t>
      </w:r>
      <w:proofErr w:type="spellEnd"/>
      <w:r w:rsidRPr="007B0CFD">
        <w:rPr>
          <w:rFonts w:ascii="Times New Roman" w:hAnsi="Times New Roman" w:cs="Times New Roman"/>
          <w:sz w:val="24"/>
          <w:szCs w:val="24"/>
        </w:rPr>
        <w:t xml:space="preserve"> по полу</w:t>
      </w:r>
    </w:p>
    <w:p w:rsidR="007B0CFD" w:rsidRPr="007B0CFD" w:rsidRDefault="007B0CFD" w:rsidP="007B0CFD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CFD">
        <w:rPr>
          <w:rFonts w:ascii="Times New Roman" w:hAnsi="Times New Roman" w:cs="Times New Roman"/>
          <w:sz w:val="24"/>
          <w:szCs w:val="24"/>
        </w:rPr>
        <w:t>Дезагрегация</w:t>
      </w:r>
      <w:proofErr w:type="spellEnd"/>
      <w:r w:rsidRPr="007B0CFD">
        <w:rPr>
          <w:rFonts w:ascii="Times New Roman" w:hAnsi="Times New Roman" w:cs="Times New Roman"/>
          <w:sz w:val="24"/>
          <w:szCs w:val="24"/>
        </w:rPr>
        <w:t xml:space="preserve"> по возрасту</w:t>
      </w:r>
    </w:p>
    <w:p w:rsidR="007B0CFD" w:rsidRPr="007B0CFD" w:rsidRDefault="007B0CFD" w:rsidP="007B0CFD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CFD">
        <w:rPr>
          <w:rFonts w:ascii="Times New Roman" w:hAnsi="Times New Roman" w:cs="Times New Roman"/>
          <w:sz w:val="24"/>
          <w:szCs w:val="24"/>
        </w:rPr>
        <w:t>Дезагрегирование</w:t>
      </w:r>
      <w:proofErr w:type="spellEnd"/>
      <w:r w:rsidRPr="007B0CFD">
        <w:rPr>
          <w:rFonts w:ascii="Times New Roman" w:hAnsi="Times New Roman" w:cs="Times New Roman"/>
          <w:sz w:val="24"/>
          <w:szCs w:val="24"/>
        </w:rPr>
        <w:t xml:space="preserve"> формальными/неформальными поселениями</w:t>
      </w:r>
    </w:p>
    <w:p w:rsidR="007B0CFD" w:rsidRDefault="007B0CF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CFD" w:rsidRPr="007B0CFD" w:rsidRDefault="007B0CFD" w:rsidP="00F73D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CFD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7B0CFD" w:rsidRPr="007B0CFD" w:rsidRDefault="007B0CFD" w:rsidP="007B0CFD">
      <w:pPr>
        <w:pStyle w:val="a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CFD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7B0CFD">
        <w:rPr>
          <w:rFonts w:ascii="Times New Roman" w:hAnsi="Times New Roman" w:cs="Times New Roman"/>
          <w:i/>
          <w:sz w:val="24"/>
          <w:szCs w:val="24"/>
        </w:rPr>
        <w:t>страновом</w:t>
      </w:r>
      <w:proofErr w:type="spellEnd"/>
      <w:r w:rsidRPr="007B0CFD">
        <w:rPr>
          <w:rFonts w:ascii="Times New Roman" w:hAnsi="Times New Roman" w:cs="Times New Roman"/>
          <w:i/>
          <w:sz w:val="24"/>
          <w:szCs w:val="24"/>
        </w:rPr>
        <w:t xml:space="preserve"> уровне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B0CFD" w:rsidRDefault="007B0CFD" w:rsidP="007B0CFD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CFD">
        <w:rPr>
          <w:rFonts w:ascii="Times New Roman" w:hAnsi="Times New Roman" w:cs="Times New Roman"/>
          <w:sz w:val="24"/>
          <w:szCs w:val="24"/>
        </w:rPr>
        <w:t>В настоящее время информация недоступна.</w:t>
      </w:r>
    </w:p>
    <w:p w:rsidR="007B0CFD" w:rsidRDefault="007B0CFD" w:rsidP="007B0CFD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CFD" w:rsidRDefault="007B0CFD" w:rsidP="007B0CFD">
      <w:pPr>
        <w:pStyle w:val="a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CFD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уровнях:</w:t>
      </w:r>
    </w:p>
    <w:p w:rsidR="007B0CFD" w:rsidRDefault="007B0CFD" w:rsidP="007B0CFD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CFD">
        <w:rPr>
          <w:rFonts w:ascii="Times New Roman" w:hAnsi="Times New Roman" w:cs="Times New Roman"/>
          <w:sz w:val="24"/>
          <w:szCs w:val="24"/>
        </w:rPr>
        <w:t>В настоящее время информация недоступна.</w:t>
      </w:r>
    </w:p>
    <w:p w:rsidR="007B0CFD" w:rsidRDefault="007B0CFD" w:rsidP="007B0CFD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CFD" w:rsidRPr="00E81B35" w:rsidRDefault="007B0CFD" w:rsidP="007B0C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35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7B0CFD" w:rsidRPr="007B0CFD" w:rsidRDefault="007B0CFD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CFD">
        <w:rPr>
          <w:rFonts w:ascii="Times New Roman" w:hAnsi="Times New Roman" w:cs="Times New Roman"/>
          <w:sz w:val="24"/>
          <w:szCs w:val="24"/>
        </w:rPr>
        <w:t>В настоящее время информация недоступна.</w:t>
      </w:r>
    </w:p>
    <w:p w:rsidR="007B0CFD" w:rsidRDefault="007B0CFD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CFD" w:rsidRPr="00E81B35" w:rsidRDefault="007B0CFD" w:rsidP="007B0C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35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:rsidR="007B0CFD" w:rsidRPr="007B0CFD" w:rsidRDefault="007B0CFD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CFD">
        <w:rPr>
          <w:rFonts w:ascii="Times New Roman" w:hAnsi="Times New Roman" w:cs="Times New Roman"/>
          <w:sz w:val="24"/>
          <w:szCs w:val="24"/>
        </w:rPr>
        <w:t>В настоящее время информация недоступна.</w:t>
      </w:r>
    </w:p>
    <w:p w:rsidR="007B0CFD" w:rsidRPr="00E81B35" w:rsidRDefault="007B0CFD" w:rsidP="007B0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CFD" w:rsidRPr="00E81B35" w:rsidRDefault="007B0CFD" w:rsidP="007B0C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35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7B0CFD" w:rsidRPr="007B0CFD" w:rsidRDefault="007B0CFD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CFD">
        <w:rPr>
          <w:rFonts w:ascii="Times New Roman" w:hAnsi="Times New Roman" w:cs="Times New Roman"/>
          <w:sz w:val="24"/>
          <w:szCs w:val="24"/>
        </w:rPr>
        <w:t>В настоящее время информация недоступна.</w:t>
      </w:r>
    </w:p>
    <w:p w:rsidR="007B0CFD" w:rsidRPr="00E81B35" w:rsidRDefault="007B0CFD" w:rsidP="007B0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CFD" w:rsidRPr="00E81B35" w:rsidRDefault="007B0CFD" w:rsidP="007B0C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35">
        <w:rPr>
          <w:rFonts w:ascii="Times New Roman" w:hAnsi="Times New Roman" w:cs="Times New Roman"/>
          <w:b/>
          <w:sz w:val="24"/>
          <w:szCs w:val="24"/>
        </w:rPr>
        <w:t>Гарантия качества:</w:t>
      </w:r>
    </w:p>
    <w:p w:rsidR="007B0CFD" w:rsidRPr="007B0CFD" w:rsidRDefault="007B0CFD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CFD">
        <w:rPr>
          <w:rFonts w:ascii="Times New Roman" w:hAnsi="Times New Roman" w:cs="Times New Roman"/>
          <w:sz w:val="24"/>
          <w:szCs w:val="24"/>
        </w:rPr>
        <w:t>В настоящее время информация недоступна.</w:t>
      </w:r>
    </w:p>
    <w:p w:rsidR="007B0CFD" w:rsidRDefault="007B0CFD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89E" w:rsidRPr="00E81B35" w:rsidRDefault="00EB389E" w:rsidP="00EB389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35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</w:p>
    <w:p w:rsid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89E">
        <w:rPr>
          <w:rFonts w:ascii="Times New Roman" w:hAnsi="Times New Roman" w:cs="Times New Roman"/>
          <w:sz w:val="24"/>
          <w:szCs w:val="24"/>
        </w:rPr>
        <w:t xml:space="preserve">Данные для большого набора вспомогательных </w:t>
      </w:r>
      <w:r w:rsidR="00E90BD4">
        <w:rPr>
          <w:rFonts w:ascii="Times New Roman" w:hAnsi="Times New Roman" w:cs="Times New Roman"/>
          <w:sz w:val="24"/>
          <w:szCs w:val="24"/>
        </w:rPr>
        <w:t>показателей</w:t>
      </w:r>
      <w:r w:rsidRPr="00EB389E">
        <w:rPr>
          <w:rFonts w:ascii="Times New Roman" w:hAnsi="Times New Roman" w:cs="Times New Roman"/>
          <w:sz w:val="24"/>
          <w:szCs w:val="24"/>
        </w:rPr>
        <w:t xml:space="preserve">, таких как вода и санитария, энергия, информация, </w:t>
      </w:r>
      <w:proofErr w:type="gramStart"/>
      <w:r w:rsidRPr="00EB389E">
        <w:rPr>
          <w:rFonts w:ascii="Times New Roman" w:hAnsi="Times New Roman" w:cs="Times New Roman"/>
          <w:sz w:val="24"/>
          <w:szCs w:val="24"/>
        </w:rPr>
        <w:t>легко доступны</w:t>
      </w:r>
      <w:proofErr w:type="gramEnd"/>
      <w:r w:rsidRPr="00EB389E">
        <w:rPr>
          <w:rFonts w:ascii="Times New Roman" w:hAnsi="Times New Roman" w:cs="Times New Roman"/>
          <w:sz w:val="24"/>
          <w:szCs w:val="24"/>
        </w:rPr>
        <w:t xml:space="preserve"> и уже включены в различные рамки международного обследования домашних хозяйств. Был завершен уточнение определений различных типов базовых услуг и включение недавно разработанных пунктов обследования в существующее обследование домашних хозяйств. Сбор данных показал, что уже более 100 стран имеют данные на национальном уровне.</w:t>
      </w:r>
    </w:p>
    <w:p w:rsid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89E">
        <w:rPr>
          <w:rFonts w:ascii="Times New Roman" w:hAnsi="Times New Roman" w:cs="Times New Roman"/>
          <w:b/>
          <w:sz w:val="24"/>
          <w:szCs w:val="24"/>
        </w:rPr>
        <w:t>Временные ряды:</w:t>
      </w:r>
    </w:p>
    <w:p w:rsidR="00EB389E" w:rsidRPr="007B0CFD" w:rsidRDefault="00EB389E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CFD">
        <w:rPr>
          <w:rFonts w:ascii="Times New Roman" w:hAnsi="Times New Roman" w:cs="Times New Roman"/>
          <w:sz w:val="24"/>
          <w:szCs w:val="24"/>
        </w:rPr>
        <w:t>В настоящее время информация недоступна.</w:t>
      </w:r>
    </w:p>
    <w:p w:rsid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Календарь:</w:t>
      </w:r>
    </w:p>
    <w:p w:rsid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 данных:</w:t>
      </w:r>
    </w:p>
    <w:p w:rsid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89E">
        <w:rPr>
          <w:rFonts w:ascii="Times New Roman" w:hAnsi="Times New Roman" w:cs="Times New Roman"/>
          <w:sz w:val="24"/>
          <w:szCs w:val="24"/>
        </w:rPr>
        <w:t xml:space="preserve">Мониторинг и отчетность </w:t>
      </w:r>
      <w:r w:rsidR="00E90BD4">
        <w:rPr>
          <w:rFonts w:ascii="Times New Roman" w:hAnsi="Times New Roman" w:cs="Times New Roman"/>
          <w:sz w:val="24"/>
          <w:szCs w:val="24"/>
        </w:rPr>
        <w:t>показателя</w:t>
      </w:r>
      <w:r w:rsidRPr="00EB389E">
        <w:rPr>
          <w:rFonts w:ascii="Times New Roman" w:hAnsi="Times New Roman" w:cs="Times New Roman"/>
          <w:sz w:val="24"/>
          <w:szCs w:val="24"/>
        </w:rPr>
        <w:t xml:space="preserve"> можно повторять с регулярными интервалами от 3 до 5 лет каждый. Измерение и отчетность должны быть осуществимыми на глобальной </w:t>
      </w:r>
      <w:r w:rsidRPr="00EB389E">
        <w:rPr>
          <w:rFonts w:ascii="Times New Roman" w:hAnsi="Times New Roman" w:cs="Times New Roman"/>
          <w:sz w:val="24"/>
          <w:szCs w:val="24"/>
        </w:rPr>
        <w:lastRenderedPageBreak/>
        <w:t>основе, то есть не столь дорогос</w:t>
      </w:r>
      <w:r w:rsidR="00E90BD4">
        <w:rPr>
          <w:rFonts w:ascii="Times New Roman" w:hAnsi="Times New Roman" w:cs="Times New Roman"/>
          <w:sz w:val="24"/>
          <w:szCs w:val="24"/>
        </w:rPr>
        <w:t xml:space="preserve">тоящими, что затраты </w:t>
      </w:r>
      <w:proofErr w:type="spellStart"/>
      <w:r w:rsidR="00E90BD4">
        <w:rPr>
          <w:rFonts w:ascii="Times New Roman" w:hAnsi="Times New Roman" w:cs="Times New Roman"/>
          <w:sz w:val="24"/>
          <w:szCs w:val="24"/>
        </w:rPr>
        <w:t>необоснованны</w:t>
      </w:r>
      <w:proofErr w:type="spellEnd"/>
      <w:r w:rsidRPr="00EB389E">
        <w:rPr>
          <w:rFonts w:ascii="Times New Roman" w:hAnsi="Times New Roman" w:cs="Times New Roman"/>
          <w:sz w:val="24"/>
          <w:szCs w:val="24"/>
        </w:rPr>
        <w:t xml:space="preserve">, особенно на </w:t>
      </w:r>
      <w:proofErr w:type="spellStart"/>
      <w:r w:rsidRPr="00EB389E">
        <w:rPr>
          <w:rFonts w:ascii="Times New Roman" w:hAnsi="Times New Roman" w:cs="Times New Roman"/>
          <w:sz w:val="24"/>
          <w:szCs w:val="24"/>
        </w:rPr>
        <w:t>страновом</w:t>
      </w:r>
      <w:proofErr w:type="spellEnd"/>
      <w:r w:rsidRPr="00EB389E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89E" w:rsidRP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89E">
        <w:rPr>
          <w:rFonts w:ascii="Times New Roman" w:hAnsi="Times New Roman" w:cs="Times New Roman"/>
          <w:b/>
          <w:sz w:val="24"/>
          <w:szCs w:val="24"/>
        </w:rPr>
        <w:t>Выпуск данных:</w:t>
      </w:r>
    </w:p>
    <w:p w:rsidR="00EB389E" w:rsidRDefault="00EB389E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CFD">
        <w:rPr>
          <w:rFonts w:ascii="Times New Roman" w:hAnsi="Times New Roman" w:cs="Times New Roman"/>
          <w:sz w:val="24"/>
          <w:szCs w:val="24"/>
        </w:rPr>
        <w:t>В настоящее время информация недоступна.</w:t>
      </w:r>
    </w:p>
    <w:p w:rsidR="00E90BD4" w:rsidRPr="007B0CFD" w:rsidRDefault="00E90BD4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389E" w:rsidRP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89E">
        <w:rPr>
          <w:rFonts w:ascii="Times New Roman" w:hAnsi="Times New Roman" w:cs="Times New Roman"/>
          <w:b/>
          <w:sz w:val="24"/>
          <w:szCs w:val="24"/>
        </w:rPr>
        <w:t>Поставщики данных:</w:t>
      </w:r>
    </w:p>
    <w:p w:rsid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89E">
        <w:rPr>
          <w:rFonts w:ascii="Times New Roman" w:hAnsi="Times New Roman" w:cs="Times New Roman"/>
          <w:sz w:val="24"/>
          <w:szCs w:val="24"/>
        </w:rPr>
        <w:t>ООН-</w:t>
      </w:r>
      <w:proofErr w:type="spellStart"/>
      <w:r w:rsidRPr="00EB389E">
        <w:rPr>
          <w:rFonts w:ascii="Times New Roman" w:hAnsi="Times New Roman" w:cs="Times New Roman"/>
          <w:sz w:val="24"/>
          <w:szCs w:val="24"/>
        </w:rPr>
        <w:t>Хабитат</w:t>
      </w:r>
      <w:proofErr w:type="spellEnd"/>
      <w:r w:rsidRPr="00EB389E">
        <w:rPr>
          <w:rFonts w:ascii="Times New Roman" w:hAnsi="Times New Roman" w:cs="Times New Roman"/>
          <w:sz w:val="24"/>
          <w:szCs w:val="24"/>
        </w:rPr>
        <w:t xml:space="preserve"> и Статистический отдел Организации Объединенных Наций (СОООН)</w:t>
      </w:r>
    </w:p>
    <w:p w:rsid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89E" w:rsidRPr="00E81B35" w:rsidRDefault="00EB389E" w:rsidP="00EB389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35">
        <w:rPr>
          <w:rFonts w:ascii="Times New Roman" w:hAnsi="Times New Roman" w:cs="Times New Roman"/>
          <w:b/>
          <w:sz w:val="24"/>
          <w:szCs w:val="24"/>
        </w:rPr>
        <w:t>Составители данных:</w:t>
      </w:r>
    </w:p>
    <w:p w:rsid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89E">
        <w:rPr>
          <w:rFonts w:ascii="Times New Roman" w:hAnsi="Times New Roman" w:cs="Times New Roman"/>
          <w:sz w:val="24"/>
          <w:szCs w:val="24"/>
        </w:rPr>
        <w:t>Национальные статистические агентства и команды городского управления ведут сбор и отчетность на национальном уровне. Глобальную и региональную отчетность возглавляет ООН-</w:t>
      </w:r>
      <w:proofErr w:type="spellStart"/>
      <w:r w:rsidRPr="00EB389E">
        <w:rPr>
          <w:rFonts w:ascii="Times New Roman" w:hAnsi="Times New Roman" w:cs="Times New Roman"/>
          <w:sz w:val="24"/>
          <w:szCs w:val="24"/>
        </w:rPr>
        <w:t>Хабитат</w:t>
      </w:r>
      <w:proofErr w:type="spellEnd"/>
      <w:r w:rsidRPr="00EB389E">
        <w:rPr>
          <w:rFonts w:ascii="Times New Roman" w:hAnsi="Times New Roman" w:cs="Times New Roman"/>
          <w:sz w:val="24"/>
          <w:szCs w:val="24"/>
        </w:rPr>
        <w:t>. Сбор данных поддерживается совместными усилиями нескольких международных учреждений (ООН-</w:t>
      </w:r>
      <w:proofErr w:type="spellStart"/>
      <w:r w:rsidRPr="00EB389E">
        <w:rPr>
          <w:rFonts w:ascii="Times New Roman" w:hAnsi="Times New Roman" w:cs="Times New Roman"/>
          <w:sz w:val="24"/>
          <w:szCs w:val="24"/>
        </w:rPr>
        <w:t>Хабитат</w:t>
      </w:r>
      <w:proofErr w:type="spellEnd"/>
      <w:r w:rsidRPr="00EB389E">
        <w:rPr>
          <w:rFonts w:ascii="Times New Roman" w:hAnsi="Times New Roman" w:cs="Times New Roman"/>
          <w:sz w:val="24"/>
          <w:szCs w:val="24"/>
        </w:rPr>
        <w:t xml:space="preserve">, ЮНЕП, Всемирного банка, </w:t>
      </w:r>
      <w:proofErr w:type="spellStart"/>
      <w:r w:rsidRPr="00EB389E">
        <w:rPr>
          <w:rFonts w:ascii="Times New Roman" w:hAnsi="Times New Roman" w:cs="Times New Roman"/>
          <w:sz w:val="24"/>
          <w:szCs w:val="24"/>
        </w:rPr>
        <w:t>АфБР</w:t>
      </w:r>
      <w:proofErr w:type="spellEnd"/>
      <w:r w:rsidRPr="00EB389E">
        <w:rPr>
          <w:rFonts w:ascii="Times New Roman" w:hAnsi="Times New Roman" w:cs="Times New Roman"/>
          <w:sz w:val="24"/>
          <w:szCs w:val="24"/>
        </w:rPr>
        <w:t>, ИБР, ЕБРР и АБР) и двусторонних доноров (JICA</w:t>
      </w:r>
      <w:r>
        <w:rPr>
          <w:rFonts w:ascii="Times New Roman" w:hAnsi="Times New Roman" w:cs="Times New Roman"/>
          <w:sz w:val="24"/>
          <w:szCs w:val="24"/>
        </w:rPr>
        <w:t>, GDZ и т.д</w:t>
      </w:r>
      <w:r w:rsidRPr="00EB389E">
        <w:rPr>
          <w:rFonts w:ascii="Times New Roman" w:hAnsi="Times New Roman" w:cs="Times New Roman"/>
          <w:sz w:val="24"/>
          <w:szCs w:val="24"/>
        </w:rPr>
        <w:t>.).</w:t>
      </w:r>
    </w:p>
    <w:p w:rsidR="00EB389E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89E" w:rsidRPr="00EB389E" w:rsidRDefault="00EB389E" w:rsidP="00EB389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</w:t>
      </w:r>
      <w:r w:rsidRPr="00EB389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B389E" w:rsidRPr="00EB389E" w:rsidRDefault="00EB389E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89E">
        <w:rPr>
          <w:rFonts w:ascii="Times New Roman" w:hAnsi="Times New Roman" w:cs="Times New Roman"/>
          <w:sz w:val="24"/>
          <w:szCs w:val="24"/>
          <w:lang w:val="en-US"/>
        </w:rPr>
        <w:t xml:space="preserve">- World Bank, 2015 </w:t>
      </w:r>
      <w:proofErr w:type="gramStart"/>
      <w:r w:rsidRPr="00EB389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B389E">
        <w:rPr>
          <w:rFonts w:ascii="Times New Roman" w:hAnsi="Times New Roman" w:cs="Times New Roman"/>
          <w:sz w:val="24"/>
          <w:szCs w:val="24"/>
          <w:lang w:val="en-US"/>
        </w:rPr>
        <w:t xml:space="preserve"> International Poverty Line,</w:t>
      </w:r>
    </w:p>
    <w:p w:rsidR="00EB389E" w:rsidRPr="00EB389E" w:rsidRDefault="00EB389E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89E">
        <w:rPr>
          <w:rFonts w:ascii="Times New Roman" w:hAnsi="Times New Roman" w:cs="Times New Roman"/>
          <w:sz w:val="24"/>
          <w:szCs w:val="24"/>
          <w:lang w:val="en-US"/>
        </w:rPr>
        <w:t>http://www.worldbank.org/en/programs/icp/brief/poverty-line</w:t>
      </w:r>
    </w:p>
    <w:p w:rsidR="00EB389E" w:rsidRPr="007D1185" w:rsidRDefault="00EB389E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89E">
        <w:rPr>
          <w:rFonts w:ascii="Times New Roman" w:hAnsi="Times New Roman" w:cs="Times New Roman"/>
          <w:sz w:val="24"/>
          <w:szCs w:val="24"/>
          <w:lang w:val="en-US"/>
        </w:rPr>
        <w:t xml:space="preserve">- WHO and UNICEF, 2017 Progress on Drinking Water, Sanitation </w:t>
      </w:r>
      <w:r>
        <w:rPr>
          <w:rFonts w:ascii="Times New Roman" w:hAnsi="Times New Roman" w:cs="Times New Roman"/>
          <w:sz w:val="24"/>
          <w:szCs w:val="24"/>
          <w:lang w:val="en-US"/>
        </w:rPr>
        <w:t>and Hygiene Launch version July</w:t>
      </w:r>
      <w:r w:rsidRPr="00EB389E">
        <w:rPr>
          <w:rFonts w:ascii="Times New Roman" w:hAnsi="Times New Roman" w:cs="Times New Roman"/>
          <w:sz w:val="24"/>
          <w:szCs w:val="24"/>
          <w:lang w:val="en-US"/>
        </w:rPr>
        <w:t xml:space="preserve"> 12 2017, </w:t>
      </w:r>
    </w:p>
    <w:p w:rsidR="00EB389E" w:rsidRPr="007D1185" w:rsidRDefault="00EB389E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89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D1185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EB389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D11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B389E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7D11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B389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D118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B389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7D118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B389E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7D1185">
        <w:rPr>
          <w:rFonts w:ascii="Times New Roman" w:hAnsi="Times New Roman" w:cs="Times New Roman"/>
          <w:sz w:val="24"/>
          <w:szCs w:val="24"/>
          <w:lang w:val="en-US"/>
        </w:rPr>
        <w:t>_96611.</w:t>
      </w:r>
      <w:r w:rsidRPr="00EB389E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EB389E" w:rsidRPr="00EB389E" w:rsidRDefault="00EB389E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89E">
        <w:rPr>
          <w:rFonts w:ascii="Times New Roman" w:hAnsi="Times New Roman" w:cs="Times New Roman"/>
          <w:sz w:val="24"/>
          <w:szCs w:val="24"/>
          <w:lang w:val="en-US"/>
        </w:rPr>
        <w:t>- UNDP 2016 Technical Notes Calculating the Human Development Indices,</w:t>
      </w:r>
    </w:p>
    <w:p w:rsidR="00EB389E" w:rsidRPr="00EB389E" w:rsidRDefault="00EB389E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89E">
        <w:rPr>
          <w:rFonts w:ascii="Times New Roman" w:hAnsi="Times New Roman" w:cs="Times New Roman"/>
          <w:sz w:val="24"/>
          <w:szCs w:val="24"/>
          <w:lang w:val="en-US"/>
        </w:rPr>
        <w:t>http://hdr.undp.org/en/content/multidimensional-poverty-index-mpi</w:t>
      </w:r>
    </w:p>
    <w:p w:rsidR="00EB389E" w:rsidRPr="00EB389E" w:rsidRDefault="00EB389E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89E">
        <w:rPr>
          <w:rFonts w:ascii="Times New Roman" w:hAnsi="Times New Roman" w:cs="Times New Roman"/>
          <w:sz w:val="24"/>
          <w:szCs w:val="24"/>
          <w:lang w:val="en-US"/>
        </w:rPr>
        <w:t xml:space="preserve">- The World Bank Group, ESMAP, 2015 </w:t>
      </w:r>
      <w:proofErr w:type="gramStart"/>
      <w:r w:rsidRPr="00EB389E">
        <w:rPr>
          <w:rFonts w:ascii="Times New Roman" w:hAnsi="Times New Roman" w:cs="Times New Roman"/>
          <w:sz w:val="24"/>
          <w:szCs w:val="24"/>
          <w:lang w:val="en-US"/>
        </w:rPr>
        <w:t>Beyond</w:t>
      </w:r>
      <w:proofErr w:type="gramEnd"/>
      <w:r w:rsidRPr="00EB389E">
        <w:rPr>
          <w:rFonts w:ascii="Times New Roman" w:hAnsi="Times New Roman" w:cs="Times New Roman"/>
          <w:sz w:val="24"/>
          <w:szCs w:val="24"/>
          <w:lang w:val="en-US"/>
        </w:rPr>
        <w:t xml:space="preserve"> Connections Energy Access Redefined</w:t>
      </w:r>
    </w:p>
    <w:p w:rsidR="00EB389E" w:rsidRPr="00EB389E" w:rsidRDefault="00EB389E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89E">
        <w:rPr>
          <w:rFonts w:ascii="Times New Roman" w:hAnsi="Times New Roman" w:cs="Times New Roman"/>
          <w:sz w:val="24"/>
          <w:szCs w:val="24"/>
          <w:lang w:val="en-US"/>
        </w:rPr>
        <w:t>http://www.worldbank.org/en/topic/energy/publication/energy-access-redefined</w:t>
      </w:r>
    </w:p>
    <w:p w:rsidR="00EB389E" w:rsidRPr="00EB389E" w:rsidRDefault="00EB389E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89E">
        <w:rPr>
          <w:rFonts w:ascii="Times New Roman" w:hAnsi="Times New Roman" w:cs="Times New Roman"/>
          <w:sz w:val="24"/>
          <w:szCs w:val="24"/>
          <w:lang w:val="en-US"/>
        </w:rPr>
        <w:t xml:space="preserve">- ITU, 2015 ICT Indicators for the SDG Monitoring </w:t>
      </w:r>
      <w:proofErr w:type="gramStart"/>
      <w:r w:rsidRPr="00EB389E">
        <w:rPr>
          <w:rFonts w:ascii="Times New Roman" w:hAnsi="Times New Roman" w:cs="Times New Roman"/>
          <w:sz w:val="24"/>
          <w:szCs w:val="24"/>
          <w:lang w:val="en-US"/>
        </w:rPr>
        <w:t>Framework ,</w:t>
      </w:r>
      <w:proofErr w:type="gramEnd"/>
      <w:r w:rsidRPr="00EB389E">
        <w:rPr>
          <w:rFonts w:ascii="Times New Roman" w:hAnsi="Times New Roman" w:cs="Times New Roman"/>
          <w:sz w:val="24"/>
          <w:szCs w:val="24"/>
          <w:lang w:val="en-US"/>
        </w:rPr>
        <w:t xml:space="preserve"> http://www.itu.int/en/ITUD/Statistics/Documents/intlcoop/sdgs/ITU-ICT-technical-information-sheets-for-the-SDGindicators.pdf</w:t>
      </w:r>
    </w:p>
    <w:p w:rsidR="00EB389E" w:rsidRPr="00EB389E" w:rsidRDefault="00EB389E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89E">
        <w:rPr>
          <w:rFonts w:ascii="Times New Roman" w:hAnsi="Times New Roman" w:cs="Times New Roman"/>
          <w:sz w:val="24"/>
          <w:szCs w:val="24"/>
          <w:lang w:val="en-US"/>
        </w:rPr>
        <w:t xml:space="preserve">- Wilson et al - </w:t>
      </w:r>
      <w:proofErr w:type="spellStart"/>
      <w:r w:rsidRPr="00EB389E">
        <w:rPr>
          <w:rFonts w:ascii="Times New Roman" w:hAnsi="Times New Roman" w:cs="Times New Roman"/>
          <w:sz w:val="24"/>
          <w:szCs w:val="24"/>
          <w:lang w:val="en-US"/>
        </w:rPr>
        <w:t>Wasteaware</w:t>
      </w:r>
      <w:proofErr w:type="spellEnd"/>
      <w:r w:rsidRPr="00EB389E">
        <w:rPr>
          <w:rFonts w:ascii="Times New Roman" w:hAnsi="Times New Roman" w:cs="Times New Roman"/>
          <w:sz w:val="24"/>
          <w:szCs w:val="24"/>
          <w:lang w:val="en-US"/>
        </w:rPr>
        <w:t xml:space="preserve"> ISWM indicators - doi10.1016j.wasman.2014.10.006 - January 2015,</w:t>
      </w:r>
    </w:p>
    <w:p w:rsidR="00EB389E" w:rsidRPr="00EB389E" w:rsidRDefault="00EB389E" w:rsidP="00EB38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89E">
        <w:rPr>
          <w:rFonts w:ascii="Times New Roman" w:hAnsi="Times New Roman" w:cs="Times New Roman"/>
          <w:sz w:val="24"/>
          <w:szCs w:val="24"/>
          <w:lang w:val="en-US"/>
        </w:rPr>
        <w:t>http://wasteaware.org/wpcontent/uploads/2015/11/Wilson_et_al_Supplementary_information_Wasteaware_ISWM_Benchmark_Indicators_User_Manual_Online.pdf</w:t>
      </w:r>
    </w:p>
    <w:p w:rsidR="00EB389E" w:rsidRPr="007D1185" w:rsidRDefault="00EB389E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210D" w:rsidRDefault="000A210D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Связанные показатели:</w:t>
      </w:r>
    </w:p>
    <w:p w:rsidR="000A210D" w:rsidRDefault="000A210D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210D" w:rsidTr="000A2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0A210D" w:rsidRDefault="000A210D" w:rsidP="007B0CF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proofErr w:type="gramStart"/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786" w:type="dxa"/>
          </w:tcPr>
          <w:p w:rsidR="000A210D" w:rsidRPr="000A210D" w:rsidRDefault="000A210D" w:rsidP="007B0C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Связанные показатели ЦУР</w:t>
            </w:r>
          </w:p>
        </w:tc>
      </w:tr>
      <w:tr w:rsidR="000A210D" w:rsidTr="000A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0A210D" w:rsidRDefault="000A210D" w:rsidP="007B0CF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Безопасное управление питьевой водой</w:t>
            </w:r>
          </w:p>
        </w:tc>
        <w:tc>
          <w:tcPr>
            <w:tcW w:w="4786" w:type="dxa"/>
          </w:tcPr>
          <w:p w:rsidR="000A210D" w:rsidRPr="000A210D" w:rsidRDefault="000A210D" w:rsidP="007B0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6.1.1 Доля населения, пользующегося услугами водоснабжения, организованного с соблюдением требований безопасности</w:t>
            </w:r>
          </w:p>
        </w:tc>
      </w:tr>
      <w:tr w:rsidR="000A210D" w:rsidTr="000A2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0A210D" w:rsidRDefault="000A210D" w:rsidP="000A210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 санитария</w:t>
            </w:r>
          </w:p>
        </w:tc>
        <w:tc>
          <w:tcPr>
            <w:tcW w:w="4786" w:type="dxa"/>
          </w:tcPr>
          <w:p w:rsidR="000A210D" w:rsidRPr="000A210D" w:rsidRDefault="000A210D" w:rsidP="007B0C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6.2.1 Доля населения, использующего организованные с соблюдением требований безопасности услуги санитарии, включая устройства для мытья рук с мылом и водой</w:t>
            </w:r>
          </w:p>
        </w:tc>
      </w:tr>
      <w:tr w:rsidR="000A210D" w:rsidTr="000A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0A210D" w:rsidRPr="000A210D" w:rsidRDefault="000A210D" w:rsidP="007B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Сбор отходов</w:t>
            </w:r>
          </w:p>
        </w:tc>
        <w:tc>
          <w:tcPr>
            <w:tcW w:w="4786" w:type="dxa"/>
          </w:tcPr>
          <w:p w:rsidR="000A210D" w:rsidRPr="000A210D" w:rsidRDefault="000A210D" w:rsidP="007B0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 xml:space="preserve">11.6.1 Доля твердых бытовых отходов, которые регулярно собираются и надлежащим образом удаляются, в общей </w:t>
            </w:r>
            <w:r w:rsidRPr="000A2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массе городских отходов</w:t>
            </w:r>
          </w:p>
        </w:tc>
      </w:tr>
      <w:tr w:rsidR="000A210D" w:rsidTr="000A2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0A210D" w:rsidRPr="000A210D" w:rsidRDefault="000A210D" w:rsidP="000A2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Мобильность и</w:t>
            </w:r>
          </w:p>
          <w:p w:rsidR="000A210D" w:rsidRDefault="000A210D" w:rsidP="000A210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4786" w:type="dxa"/>
          </w:tcPr>
          <w:p w:rsidR="000A210D" w:rsidRDefault="000A210D" w:rsidP="007B0C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9.1.1 Доля сельского населения, проживающего в пределах 2 км от круглогодичной дороги</w:t>
            </w:r>
          </w:p>
          <w:p w:rsidR="000A210D" w:rsidRPr="000A210D" w:rsidRDefault="000A210D" w:rsidP="007B0C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11.2.1 Доля населения, имеющего удобный доступ к общественному транспорту, в разбивке по полу, возрасту и признаку инвалидности</w:t>
            </w:r>
          </w:p>
        </w:tc>
      </w:tr>
      <w:tr w:rsidR="000A210D" w:rsidTr="000A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0A210D" w:rsidRDefault="000A210D" w:rsidP="007B0CF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Современная энергия</w:t>
            </w:r>
          </w:p>
        </w:tc>
        <w:tc>
          <w:tcPr>
            <w:tcW w:w="4786" w:type="dxa"/>
          </w:tcPr>
          <w:p w:rsidR="000A210D" w:rsidRDefault="000A210D" w:rsidP="007B0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7.1.1 Доля населения, имеющего доступ к электроэнергии</w:t>
            </w:r>
          </w:p>
          <w:p w:rsidR="000A210D" w:rsidRPr="000A210D" w:rsidRDefault="000A210D" w:rsidP="007B0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7.1.2 Доля населения, использующего в основном чистые виды топлива и технологии</w:t>
            </w:r>
          </w:p>
        </w:tc>
      </w:tr>
      <w:tr w:rsidR="000A210D" w:rsidTr="000A2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0A210D" w:rsidRDefault="000A210D" w:rsidP="007B0CF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4786" w:type="dxa"/>
          </w:tcPr>
          <w:p w:rsidR="000A210D" w:rsidRDefault="00FE35CF" w:rsidP="007B0C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F">
              <w:rPr>
                <w:rFonts w:ascii="Times New Roman" w:hAnsi="Times New Roman" w:cs="Times New Roman"/>
                <w:sz w:val="24"/>
                <w:szCs w:val="24"/>
              </w:rPr>
              <w:t>5.b.1 Доля людей, имеющих мобильный телефон, в разбивке по полу</w:t>
            </w:r>
          </w:p>
          <w:p w:rsidR="00FE35CF" w:rsidRPr="000A210D" w:rsidRDefault="00FE35CF" w:rsidP="007B0C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5CF">
              <w:rPr>
                <w:rFonts w:ascii="Times New Roman" w:hAnsi="Times New Roman" w:cs="Times New Roman"/>
                <w:sz w:val="24"/>
                <w:szCs w:val="24"/>
              </w:rPr>
              <w:t>9.c.1 Доля населения, охваченного мобильными сетями, в разбивке по технологиям</w:t>
            </w:r>
          </w:p>
        </w:tc>
      </w:tr>
      <w:tr w:rsidR="000A210D" w:rsidTr="000A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0A210D" w:rsidRPr="000A210D" w:rsidRDefault="000A210D" w:rsidP="007B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786" w:type="dxa"/>
          </w:tcPr>
          <w:p w:rsidR="000A210D" w:rsidRPr="000A210D" w:rsidRDefault="00FE35CF" w:rsidP="007B0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5CF">
              <w:rPr>
                <w:rFonts w:ascii="Times New Roman" w:hAnsi="Times New Roman" w:cs="Times New Roman"/>
                <w:sz w:val="24"/>
                <w:szCs w:val="24"/>
              </w:rPr>
              <w:t xml:space="preserve">4.1.1 Доля детей и молодежи: a) во 2-м/ 3-м классе, b) выпускников начальной школы и c) выпускников средней школы, достигших, по меньшей мере, минимального уровня i) грамотности и </w:t>
            </w:r>
            <w:proofErr w:type="spellStart"/>
            <w:r w:rsidRPr="00FE35C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FE35CF">
              <w:rPr>
                <w:rFonts w:ascii="Times New Roman" w:hAnsi="Times New Roman" w:cs="Times New Roman"/>
                <w:sz w:val="24"/>
                <w:szCs w:val="24"/>
              </w:rPr>
              <w:t>) навыков счета, в разбивке по полу</w:t>
            </w:r>
            <w:proofErr w:type="gramEnd"/>
          </w:p>
        </w:tc>
      </w:tr>
    </w:tbl>
    <w:p w:rsidR="000A210D" w:rsidRPr="000A210D" w:rsidRDefault="000A210D" w:rsidP="007B0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A210D" w:rsidRPr="000A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71" w:rsidRDefault="00303D71" w:rsidP="00F73DBC">
      <w:pPr>
        <w:spacing w:after="0" w:line="240" w:lineRule="auto"/>
      </w:pPr>
      <w:r>
        <w:separator/>
      </w:r>
    </w:p>
  </w:endnote>
  <w:endnote w:type="continuationSeparator" w:id="0">
    <w:p w:rsidR="00303D71" w:rsidRDefault="00303D71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71" w:rsidRDefault="00303D71" w:rsidP="00F73DBC">
      <w:pPr>
        <w:spacing w:after="0" w:line="240" w:lineRule="auto"/>
      </w:pPr>
      <w:r>
        <w:separator/>
      </w:r>
    </w:p>
  </w:footnote>
  <w:footnote w:type="continuationSeparator" w:id="0">
    <w:p w:rsidR="00303D71" w:rsidRDefault="00303D71" w:rsidP="00F73DBC">
      <w:pPr>
        <w:spacing w:after="0" w:line="240" w:lineRule="auto"/>
      </w:pPr>
      <w:r>
        <w:continuationSeparator/>
      </w:r>
    </w:p>
  </w:footnote>
  <w:footnote w:id="1">
    <w:p w:rsidR="000A210D" w:rsidRPr="00F73DBC" w:rsidRDefault="000A210D">
      <w:pPr>
        <w:pStyle w:val="a4"/>
        <w:rPr>
          <w:rFonts w:ascii="Times New Roman" w:hAnsi="Times New Roman" w:cs="Times New Roman"/>
          <w:szCs w:val="24"/>
        </w:rPr>
      </w:pPr>
      <w:r w:rsidRPr="00F73DBC">
        <w:rPr>
          <w:rFonts w:ascii="Times New Roman" w:hAnsi="Times New Roman" w:cs="Times New Roman"/>
          <w:szCs w:val="24"/>
        </w:rPr>
        <w:footnoteRef/>
      </w:r>
      <w:r w:rsidRPr="00F73DBC">
        <w:rPr>
          <w:rFonts w:ascii="Times New Roman" w:hAnsi="Times New Roman" w:cs="Times New Roman"/>
          <w:szCs w:val="24"/>
        </w:rPr>
        <w:t xml:space="preserve"> http://www.worldbank.org/en/topic/transport/brief/connections-note-23</w:t>
      </w:r>
    </w:p>
  </w:footnote>
  <w:footnote w:id="2">
    <w:p w:rsidR="000A210D" w:rsidRPr="00F73DBC" w:rsidRDefault="000A210D">
      <w:pPr>
        <w:pStyle w:val="a4"/>
        <w:rPr>
          <w:lang w:val="en-US"/>
        </w:rPr>
      </w:pPr>
      <w:r w:rsidRPr="00F73DBC">
        <w:rPr>
          <w:rFonts w:ascii="Times New Roman" w:hAnsi="Times New Roman" w:cs="Times New Roman"/>
          <w:szCs w:val="24"/>
        </w:rPr>
        <w:footnoteRef/>
      </w:r>
      <w:r w:rsidRPr="007D1185">
        <w:rPr>
          <w:rFonts w:ascii="Times New Roman" w:hAnsi="Times New Roman" w:cs="Times New Roman"/>
          <w:szCs w:val="24"/>
          <w:lang w:val="en-US"/>
        </w:rPr>
        <w:t xml:space="preserve"> https://www.ssatp.org/sites/ssatp/files/publications/HTML/Gender-RG/Source documents/Tool Kits &amp; Guides/Monitoring and Evaluation/TLM&amp;E7 Access Index TRB 06.pdf</w:t>
      </w:r>
    </w:p>
  </w:footnote>
  <w:footnote w:id="3">
    <w:p w:rsidR="000A210D" w:rsidRPr="007D1185" w:rsidRDefault="000A210D">
      <w:pPr>
        <w:pStyle w:val="a4"/>
        <w:rPr>
          <w:rFonts w:ascii="Times New Roman" w:hAnsi="Times New Roman" w:cs="Times New Roman"/>
          <w:szCs w:val="24"/>
          <w:lang w:val="en-US"/>
        </w:rPr>
      </w:pPr>
      <w:r w:rsidRPr="00F73DBC">
        <w:rPr>
          <w:rFonts w:ascii="Times New Roman" w:hAnsi="Times New Roman" w:cs="Times New Roman"/>
          <w:szCs w:val="24"/>
        </w:rPr>
        <w:footnoteRef/>
      </w:r>
      <w:r w:rsidRPr="007D1185">
        <w:rPr>
          <w:rFonts w:ascii="Times New Roman" w:hAnsi="Times New Roman" w:cs="Times New Roman"/>
          <w:szCs w:val="24"/>
          <w:lang w:val="en-US"/>
        </w:rPr>
        <w:t xml:space="preserve"> http://www.worldbank.org/en/topic/transport/brief/connections-note-23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A210D"/>
    <w:rsid w:val="00116248"/>
    <w:rsid w:val="002E122C"/>
    <w:rsid w:val="002F63E5"/>
    <w:rsid w:val="00303D71"/>
    <w:rsid w:val="004143B4"/>
    <w:rsid w:val="004E087E"/>
    <w:rsid w:val="005E47BD"/>
    <w:rsid w:val="006B260E"/>
    <w:rsid w:val="00780F08"/>
    <w:rsid w:val="007B0CFD"/>
    <w:rsid w:val="007C27E0"/>
    <w:rsid w:val="007D1185"/>
    <w:rsid w:val="00A618FC"/>
    <w:rsid w:val="00B72F77"/>
    <w:rsid w:val="00D05466"/>
    <w:rsid w:val="00E90BD4"/>
    <w:rsid w:val="00EB389E"/>
    <w:rsid w:val="00F6371F"/>
    <w:rsid w:val="00F73DBC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81B5-C1E2-4FE4-B423-88B7F925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БойкоТатьяна Евгеньевна</dc:creator>
  <cp:keywords/>
  <dc:description/>
  <cp:lastModifiedBy>БойкоТатьяна Евгеньевна</cp:lastModifiedBy>
  <cp:revision>3</cp:revision>
  <dcterms:created xsi:type="dcterms:W3CDTF">2018-10-26T07:49:00Z</dcterms:created>
  <dcterms:modified xsi:type="dcterms:W3CDTF">2018-10-26T12:51:00Z</dcterms:modified>
</cp:coreProperties>
</file>