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BC" w:rsidRPr="00BD29EC" w:rsidRDefault="003143BC" w:rsidP="007872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Метаданные показателя ЦУР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A343D5" w:rsidRDefault="003143BC" w:rsidP="00393B97">
      <w:pPr>
        <w:pStyle w:val="ac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a</w:t>
      </w:r>
      <w:r w:rsidRPr="00A343D5">
        <w:rPr>
          <w:rFonts w:eastAsia="Arial Unicode MS"/>
          <w:b/>
          <w:szCs w:val="24"/>
          <w:bdr w:val="nil"/>
          <w:lang w:eastAsia="ru-RU"/>
        </w:rPr>
        <w:t>. Цель</w:t>
      </w:r>
    </w:p>
    <w:p w:rsidR="002D493B" w:rsidRPr="0013395A" w:rsidRDefault="00780F08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A343D5">
        <w:rPr>
          <w:rFonts w:eastAsia="Arial Unicode MS"/>
          <w:szCs w:val="24"/>
          <w:bdr w:val="nil"/>
          <w:lang w:eastAsia="ru-RU"/>
        </w:rPr>
        <w:t xml:space="preserve">Цель </w:t>
      </w:r>
      <w:r w:rsidR="00935B97">
        <w:rPr>
          <w:rFonts w:eastAsia="Arial Unicode MS"/>
          <w:szCs w:val="24"/>
          <w:bdr w:val="nil"/>
          <w:lang w:eastAsia="ru-RU"/>
        </w:rPr>
        <w:t>1</w:t>
      </w:r>
      <w:r w:rsidR="007920B7">
        <w:rPr>
          <w:rFonts w:eastAsia="Arial Unicode MS"/>
          <w:szCs w:val="24"/>
          <w:bdr w:val="nil"/>
          <w:lang w:eastAsia="ru-RU"/>
        </w:rPr>
        <w:t>3</w:t>
      </w:r>
      <w:r w:rsidRPr="00A343D5">
        <w:rPr>
          <w:rFonts w:eastAsia="Arial Unicode MS"/>
          <w:szCs w:val="24"/>
          <w:bdr w:val="nil"/>
          <w:lang w:eastAsia="ru-RU"/>
        </w:rPr>
        <w:t xml:space="preserve">: </w:t>
      </w:r>
      <w:r w:rsidR="007920B7" w:rsidRPr="007920B7">
        <w:t>Принятие срочных мер по борьбе с изменением климата и его последствиями</w:t>
      </w:r>
    </w:p>
    <w:p w:rsidR="003143BC" w:rsidRPr="00A343D5" w:rsidRDefault="003143BC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b</w:t>
      </w:r>
      <w:r w:rsidRPr="00A343D5">
        <w:rPr>
          <w:rFonts w:eastAsia="Arial Unicode MS"/>
          <w:b/>
          <w:szCs w:val="24"/>
          <w:bdr w:val="nil"/>
          <w:lang w:eastAsia="ru-RU"/>
        </w:rPr>
        <w:t>. Задача</w:t>
      </w:r>
    </w:p>
    <w:p w:rsidR="002F63E5" w:rsidRPr="00147D02" w:rsidRDefault="00935B97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Cs w:val="24"/>
        </w:rPr>
      </w:pPr>
      <w:r>
        <w:rPr>
          <w:szCs w:val="24"/>
        </w:rPr>
        <w:t>1</w:t>
      </w:r>
      <w:r w:rsidR="007920B7">
        <w:rPr>
          <w:szCs w:val="24"/>
        </w:rPr>
        <w:t>3</w:t>
      </w:r>
      <w:r w:rsidR="00780F08" w:rsidRPr="00A343D5">
        <w:rPr>
          <w:szCs w:val="24"/>
        </w:rPr>
        <w:t>.</w:t>
      </w:r>
      <w:r w:rsidR="007920B7">
        <w:rPr>
          <w:szCs w:val="24"/>
        </w:rPr>
        <w:t>2</w:t>
      </w:r>
      <w:r w:rsidR="00780F08" w:rsidRPr="00A343D5">
        <w:rPr>
          <w:szCs w:val="24"/>
        </w:rPr>
        <w:t xml:space="preserve">.  </w:t>
      </w:r>
      <w:r w:rsidR="007920B7" w:rsidRPr="007920B7">
        <w:rPr>
          <w:szCs w:val="24"/>
        </w:rPr>
        <w:t>Интегрировать меры по борьбе с изменением климата в национальную политику, стратегии и планирование</w:t>
      </w:r>
      <w:r w:rsidR="007920B7">
        <w:rPr>
          <w:szCs w:val="24"/>
        </w:rPr>
        <w:t>.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0.с. Показатель</w:t>
      </w:r>
    </w:p>
    <w:p w:rsidR="00067E3E" w:rsidRPr="00147D02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Cs w:val="24"/>
        </w:rPr>
      </w:pPr>
      <w:r w:rsidRPr="00A343D5">
        <w:rPr>
          <w:szCs w:val="24"/>
        </w:rPr>
        <w:t xml:space="preserve">Показатель </w:t>
      </w:r>
      <w:r w:rsidR="00935B97">
        <w:rPr>
          <w:szCs w:val="24"/>
        </w:rPr>
        <w:t>1</w:t>
      </w:r>
      <w:r w:rsidR="007920B7">
        <w:rPr>
          <w:szCs w:val="24"/>
        </w:rPr>
        <w:t>3</w:t>
      </w:r>
      <w:r w:rsidR="00780F08" w:rsidRPr="00A343D5">
        <w:rPr>
          <w:szCs w:val="24"/>
        </w:rPr>
        <w:t>.</w:t>
      </w:r>
      <w:r w:rsidR="007920B7">
        <w:rPr>
          <w:szCs w:val="24"/>
        </w:rPr>
        <w:t>2</w:t>
      </w:r>
      <w:r w:rsidR="00465587">
        <w:rPr>
          <w:szCs w:val="24"/>
        </w:rPr>
        <w:t>.</w:t>
      </w:r>
      <w:r w:rsidR="008203FF">
        <w:rPr>
          <w:szCs w:val="24"/>
        </w:rPr>
        <w:t>2</w:t>
      </w:r>
      <w:r w:rsidR="006677B0">
        <w:rPr>
          <w:szCs w:val="24"/>
        </w:rPr>
        <w:t>.</w:t>
      </w:r>
      <w:r w:rsidR="008203FF" w:rsidRPr="008203FF">
        <w:rPr>
          <w:szCs w:val="24"/>
        </w:rPr>
        <w:t>Совокупный годовой объем выбросов парниковых газов</w:t>
      </w:r>
      <w:r w:rsidR="008203FF">
        <w:rPr>
          <w:szCs w:val="24"/>
        </w:rPr>
        <w:t>.</w:t>
      </w:r>
    </w:p>
    <w:p w:rsidR="003143BC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d</w:t>
      </w:r>
      <w:r w:rsidRPr="00A343D5">
        <w:rPr>
          <w:rFonts w:eastAsia="Arial Unicode MS"/>
          <w:b/>
          <w:szCs w:val="24"/>
          <w:bdr w:val="nil"/>
          <w:lang w:eastAsia="ru-RU"/>
        </w:rPr>
        <w:t xml:space="preserve">. </w:t>
      </w:r>
      <w:r w:rsidR="00A41B68" w:rsidRPr="00A343D5">
        <w:rPr>
          <w:rFonts w:eastAsia="Arial Unicode MS"/>
          <w:b/>
          <w:szCs w:val="24"/>
          <w:bdr w:val="nil"/>
          <w:lang w:eastAsia="ru-RU"/>
        </w:rPr>
        <w:t>Ряд</w:t>
      </w:r>
      <w:r w:rsidR="00704A8D" w:rsidRPr="00A343D5">
        <w:rPr>
          <w:rFonts w:eastAsia="Arial Unicode MS"/>
          <w:b/>
          <w:szCs w:val="24"/>
          <w:bdr w:val="nil"/>
          <w:lang w:eastAsia="ru-RU"/>
        </w:rPr>
        <w:t xml:space="preserve"> данных</w:t>
      </w:r>
    </w:p>
    <w:p w:rsidR="002540B1" w:rsidRPr="002540B1" w:rsidRDefault="002540B1" w:rsidP="002540B1">
      <w:pPr>
        <w:pStyle w:val="a0"/>
        <w:rPr>
          <w:lang w:eastAsia="ru-RU"/>
        </w:rPr>
      </w:pPr>
    </w:p>
    <w:p w:rsidR="00C8596F" w:rsidRPr="00A343D5" w:rsidRDefault="00C8596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e</w:t>
      </w:r>
      <w:r w:rsidRPr="00A343D5">
        <w:rPr>
          <w:rFonts w:eastAsia="Arial Unicode MS"/>
          <w:b/>
          <w:szCs w:val="24"/>
          <w:bdr w:val="nil"/>
          <w:lang w:eastAsia="ru-RU"/>
        </w:rPr>
        <w:t xml:space="preserve">. Обновление данных </w:t>
      </w:r>
    </w:p>
    <w:p w:rsidR="00C8596F" w:rsidRPr="00A343D5" w:rsidRDefault="002D493B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szCs w:val="24"/>
          <w:bdr w:val="nil"/>
          <w:lang w:eastAsia="ru-RU"/>
        </w:rPr>
      </w:pPr>
      <w:r>
        <w:rPr>
          <w:rFonts w:eastAsia="Arial Unicode MS"/>
          <w:szCs w:val="24"/>
          <w:bdr w:val="nil"/>
          <w:lang w:eastAsia="ru-RU"/>
        </w:rPr>
        <w:t>Март</w:t>
      </w:r>
      <w:r w:rsidR="008501F4">
        <w:rPr>
          <w:rFonts w:eastAsia="Arial Unicode MS"/>
          <w:szCs w:val="24"/>
          <w:bdr w:val="nil"/>
          <w:lang w:eastAsia="ru-RU"/>
        </w:rPr>
        <w:t xml:space="preserve"> 2021</w:t>
      </w:r>
    </w:p>
    <w:p w:rsidR="00942EA9" w:rsidRPr="007920B7" w:rsidRDefault="00C8596F" w:rsidP="00942EA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Style w:val="tlid-translation"/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f</w:t>
      </w:r>
      <w:r w:rsidRPr="00A343D5">
        <w:rPr>
          <w:rFonts w:eastAsia="Arial Unicode MS"/>
          <w:b/>
          <w:szCs w:val="24"/>
          <w:bdr w:val="nil"/>
          <w:lang w:eastAsia="ru-RU"/>
        </w:rPr>
        <w:t xml:space="preserve">. Связанные показатели </w:t>
      </w:r>
    </w:p>
    <w:p w:rsidR="00A91FDE" w:rsidRPr="008501F4" w:rsidRDefault="00E33CA8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g</w:t>
      </w:r>
      <w:r w:rsidRPr="00A343D5">
        <w:rPr>
          <w:rFonts w:eastAsia="Arial Unicode MS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7920B7" w:rsidRDefault="007920B7" w:rsidP="007920B7"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7920B7">
        <w:t>Изменение климата ООН (секретариат РКИКООН)</w:t>
      </w:r>
    </w:p>
    <w:p w:rsidR="00957A62" w:rsidRPr="00162B33" w:rsidRDefault="00957A62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162B33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162B33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162B33" w:rsidRPr="00162B33" w:rsidRDefault="00957A62" w:rsidP="00162B33">
      <w:r w:rsidRPr="00162B33">
        <w:t>1.a. Организация</w:t>
      </w:r>
    </w:p>
    <w:p w:rsidR="007920B7" w:rsidRDefault="007920B7" w:rsidP="007920B7">
      <w:pPr>
        <w:rPr>
          <w:rStyle w:val="tlid-translation"/>
          <w:szCs w:val="24"/>
        </w:rPr>
      </w:pPr>
      <w:r w:rsidRPr="007920B7">
        <w:rPr>
          <w:rStyle w:val="tlid-translation"/>
          <w:szCs w:val="24"/>
        </w:rPr>
        <w:t>Изменение климата ООН (секретариат РКИКООН)</w:t>
      </w:r>
    </w:p>
    <w:p w:rsidR="0018458D" w:rsidRPr="002D493B" w:rsidRDefault="00957A62" w:rsidP="0018458D">
      <w:pPr>
        <w:pStyle w:val="MHeader"/>
        <w:rPr>
          <w:b/>
          <w:color w:val="auto"/>
          <w:sz w:val="24"/>
          <w:lang w:val="ru-RU"/>
        </w:rPr>
      </w:pPr>
      <w:r w:rsidRPr="002D493B">
        <w:rPr>
          <w:b/>
          <w:color w:val="auto"/>
          <w:sz w:val="24"/>
          <w:lang w:val="ru-RU"/>
        </w:rPr>
        <w:t xml:space="preserve">2. Определения, </w:t>
      </w:r>
      <w:r w:rsidR="00A41B68" w:rsidRPr="002D493B">
        <w:rPr>
          <w:b/>
          <w:color w:val="auto"/>
          <w:sz w:val="24"/>
          <w:lang w:val="ru-RU"/>
        </w:rPr>
        <w:t>понятия</w:t>
      </w:r>
      <w:r w:rsidRPr="002D493B">
        <w:rPr>
          <w:b/>
          <w:color w:val="auto"/>
          <w:sz w:val="24"/>
          <w:lang w:val="ru-RU"/>
        </w:rPr>
        <w:t xml:space="preserve"> и классификации</w:t>
      </w:r>
    </w:p>
    <w:p w:rsidR="002D493B" w:rsidRPr="00C732B2" w:rsidRDefault="00C732B2" w:rsidP="00C732B2">
      <w:pPr>
        <w:pStyle w:val="MHeader"/>
        <w:rPr>
          <w:b/>
          <w:color w:val="auto"/>
          <w:sz w:val="24"/>
          <w:lang w:val="ru-RU"/>
        </w:rPr>
      </w:pPr>
      <w:r w:rsidRPr="00C674B3">
        <w:rPr>
          <w:b/>
          <w:color w:val="auto"/>
          <w:sz w:val="24"/>
          <w:lang w:val="ru-RU"/>
        </w:rPr>
        <w:t xml:space="preserve">2.а. </w:t>
      </w:r>
      <w:r w:rsidR="002D493B" w:rsidRPr="00C674B3">
        <w:rPr>
          <w:b/>
          <w:color w:val="auto"/>
          <w:sz w:val="24"/>
          <w:lang w:val="ru-RU"/>
        </w:rPr>
        <w:t>Определения</w:t>
      </w:r>
      <w:r>
        <w:rPr>
          <w:b/>
          <w:color w:val="auto"/>
          <w:sz w:val="24"/>
          <w:lang w:val="ru-RU"/>
        </w:rPr>
        <w:t xml:space="preserve"> и понятия</w:t>
      </w:r>
    </w:p>
    <w:p w:rsidR="008203FF" w:rsidRPr="008203FF" w:rsidRDefault="008203FF" w:rsidP="008203FF">
      <w:pPr>
        <w:pStyle w:val="a0"/>
        <w:spacing w:line="276" w:lineRule="auto"/>
        <w:rPr>
          <w:szCs w:val="24"/>
        </w:rPr>
      </w:pPr>
      <w:r w:rsidRPr="008203FF">
        <w:rPr>
          <w:szCs w:val="24"/>
        </w:rPr>
        <w:t>Конечная цель Конвенции об изменении климата (РКИК ООН) - добиться стабилизации концентраций парниковых газов в атмосфере на уровне, который предотвратил бы опасное антропогенное вмешательство в климатическую систему. Оценка уровней выбросов и удаления парниковых газов (ПГ) является важным элементом усилий по достижению этой цели.</w:t>
      </w:r>
    </w:p>
    <w:p w:rsidR="008203FF" w:rsidRPr="008203FF" w:rsidRDefault="008203FF" w:rsidP="008203FF">
      <w:pPr>
        <w:pStyle w:val="a0"/>
        <w:spacing w:line="276" w:lineRule="auto"/>
        <w:rPr>
          <w:szCs w:val="24"/>
        </w:rPr>
      </w:pPr>
      <w:r w:rsidRPr="008203FF">
        <w:rPr>
          <w:szCs w:val="24"/>
        </w:rPr>
        <w:t>В соответствии со статьями 4 и 12 Конвенции об изменении климата и соответствующими решениями Конференции Сторон страны, являющиеся Сторонами Конвенции, представляют национальные кадастры ПГ в секретариат по изменению климата. Эти материалы подаются в соответствии с требованиями к отчетности, принятыми в соответствии с Конвенцией, такими как пересмотренные «Руководящие принципы для подготовки национальных сообщений Сторон, включенных в приложение I к Конвенции, Часть I: Руководящие принципы РКИК ООН по отчетности о ежегодны</w:t>
      </w:r>
      <w:r>
        <w:rPr>
          <w:szCs w:val="24"/>
        </w:rPr>
        <w:t>х кадастрах парниковых газов» (</w:t>
      </w:r>
      <w:r w:rsidRPr="008203FF">
        <w:rPr>
          <w:szCs w:val="24"/>
        </w:rPr>
        <w:t>решение 24 / CP.19) для Сторон, включенных в приложение I, и «Руководящие принципы для подготовки национальных сообщений для Сторон, не включенных в приложение I» (решение 17 / CP.8). Данные кадастров представлены в ежегодных кадастрах ПГ Сторон, включенных в приложение I, а также в национальных сообщениях и двухгодичных обновленных отчетах Сторон, не включенных в приложение I.</w:t>
      </w:r>
    </w:p>
    <w:p w:rsidR="008203FF" w:rsidRDefault="008203FF" w:rsidP="008203FF">
      <w:pPr>
        <w:pStyle w:val="a0"/>
        <w:spacing w:line="276" w:lineRule="auto"/>
        <w:rPr>
          <w:szCs w:val="24"/>
        </w:rPr>
      </w:pPr>
      <w:r w:rsidRPr="008203FF">
        <w:rPr>
          <w:szCs w:val="24"/>
        </w:rPr>
        <w:t xml:space="preserve">Парижское соглашение, принятое в 2015 году, знаменует собой последний шаг в эволюции режима ООН по борьбе с изменением климата и основывается на работе, </w:t>
      </w:r>
      <w:r w:rsidRPr="008203FF">
        <w:rPr>
          <w:szCs w:val="24"/>
        </w:rPr>
        <w:lastRenderedPageBreak/>
        <w:t>проводимой в рамках Конвенции. Его главная цель - усилить глобальный отве</w:t>
      </w:r>
      <w:r>
        <w:rPr>
          <w:szCs w:val="24"/>
        </w:rPr>
        <w:t>т на угрозу изменения климата, с</w:t>
      </w:r>
      <w:r w:rsidRPr="008203FF">
        <w:rPr>
          <w:szCs w:val="24"/>
        </w:rPr>
        <w:t>держивая глобальный рост температуры в этом столетии значительно ниже 2 градусов Цельсия по сравнению с доиндустриальными уровнями, и продолжить усилия по ограничению повышения температуры еще до 1,5 градусов Цельсия. Соглашение также направлено на укрепление способности стран справляться с последствиями изменения климата.</w:t>
      </w:r>
    </w:p>
    <w:p w:rsidR="00B90C3B" w:rsidRDefault="00407E4E" w:rsidP="00C732B2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6C10F0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b</w:t>
      </w:r>
      <w:r w:rsidRPr="006C10F0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Единицаизмерения</w:t>
      </w:r>
    </w:p>
    <w:p w:rsidR="008203FF" w:rsidRDefault="008203FF" w:rsidP="008203FF">
      <w:r w:rsidRPr="008203FF">
        <w:t>Млн т CO2-эквивалента</w:t>
      </w:r>
    </w:p>
    <w:p w:rsidR="00FB0A43" w:rsidRPr="00FB0A43" w:rsidRDefault="000A229E" w:rsidP="00FB0A4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067E3E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c</w:t>
      </w:r>
      <w:r w:rsidRPr="00067E3E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A343D5" w:rsidRDefault="000A229E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Источники данных</w:t>
      </w:r>
    </w:p>
    <w:p w:rsidR="008203FF" w:rsidRPr="008203FF" w:rsidRDefault="008203FF" w:rsidP="008203FF">
      <w:pPr>
        <w:pStyle w:val="ac"/>
        <w:numPr>
          <w:ilvl w:val="0"/>
          <w:numId w:val="24"/>
        </w:numPr>
      </w:pPr>
      <w:r w:rsidRPr="008203FF">
        <w:t>Представление ежегодных кадастров ПГ от Сторон, включенных в приложение I</w:t>
      </w:r>
    </w:p>
    <w:p w:rsidR="008203FF" w:rsidRDefault="008203FF" w:rsidP="008203FF">
      <w:pPr>
        <w:pStyle w:val="ac"/>
        <w:numPr>
          <w:ilvl w:val="0"/>
          <w:numId w:val="24"/>
        </w:numPr>
      </w:pPr>
      <w:r w:rsidRPr="008203FF">
        <w:t>Национальные сообщения (NC) и / или двухгодичные обновленные отчеты (BUR) Сторон, не включенных в приложение I.</w:t>
      </w:r>
    </w:p>
    <w:p w:rsidR="00995788" w:rsidRPr="008203FF" w:rsidRDefault="000A229E" w:rsidP="008203FF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8203FF">
        <w:rPr>
          <w:b/>
          <w:color w:val="auto"/>
          <w:sz w:val="24"/>
          <w:szCs w:val="24"/>
          <w:lang w:val="ru-RU"/>
        </w:rPr>
        <w:t>3.b. Метод сбора данных</w:t>
      </w:r>
    </w:p>
    <w:p w:rsidR="008203FF" w:rsidRPr="008203FF" w:rsidRDefault="008203FF" w:rsidP="008203FF">
      <w:pPr>
        <w:pStyle w:val="ac"/>
        <w:numPr>
          <w:ilvl w:val="0"/>
          <w:numId w:val="26"/>
        </w:numPr>
      </w:pPr>
      <w:r w:rsidRPr="008203FF">
        <w:t>Кадастры ПГ по Приложению I подаются через приложение CRF Reporter. Информация автоматически импортируется в хранилище данных РКИК ООН.</w:t>
      </w:r>
    </w:p>
    <w:p w:rsidR="008203FF" w:rsidRPr="008203FF" w:rsidRDefault="008203FF" w:rsidP="008203FF">
      <w:pPr>
        <w:pStyle w:val="ac"/>
        <w:numPr>
          <w:ilvl w:val="0"/>
          <w:numId w:val="26"/>
        </w:numPr>
        <w:rPr>
          <w:b/>
        </w:rPr>
      </w:pPr>
      <w:r w:rsidRPr="008203FF">
        <w:t>Информация для Сторон, не включенных в приложение I, извлекается вручную из их NC и / или BUR и сохраняется в хранилище данных РКИК ООН с использованием таблиц импорта Excel.</w:t>
      </w:r>
    </w:p>
    <w:p w:rsidR="009E707C" w:rsidRPr="008203FF" w:rsidRDefault="009E707C" w:rsidP="008203FF">
      <w:pPr>
        <w:pStyle w:val="MHeader"/>
        <w:rPr>
          <w:b/>
          <w:color w:val="auto"/>
          <w:sz w:val="24"/>
          <w:lang w:val="ru-RU"/>
        </w:rPr>
      </w:pPr>
      <w:r w:rsidRPr="008203FF">
        <w:rPr>
          <w:b/>
          <w:color w:val="auto"/>
          <w:sz w:val="24"/>
          <w:lang w:val="ru-RU"/>
        </w:rPr>
        <w:t>3.</w:t>
      </w:r>
      <w:r w:rsidR="00900860" w:rsidRPr="008203FF">
        <w:rPr>
          <w:b/>
          <w:color w:val="auto"/>
          <w:sz w:val="24"/>
          <w:lang w:val="ru-RU"/>
        </w:rPr>
        <w:t>с</w:t>
      </w:r>
      <w:r w:rsidRPr="008203FF">
        <w:rPr>
          <w:b/>
          <w:color w:val="auto"/>
          <w:sz w:val="24"/>
          <w:lang w:val="ru-RU"/>
        </w:rPr>
        <w:t>.Календарь сбора данных</w:t>
      </w:r>
    </w:p>
    <w:p w:rsidR="00FB0A43" w:rsidRPr="00FB0A43" w:rsidRDefault="008203FF" w:rsidP="00FB0A43">
      <w:r>
        <w:t>См. выше</w:t>
      </w:r>
    </w:p>
    <w:p w:rsidR="000A229E" w:rsidRDefault="009E707C" w:rsidP="000A6836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56571B">
        <w:rPr>
          <w:color w:val="auto"/>
          <w:sz w:val="24"/>
          <w:szCs w:val="24"/>
          <w:lang w:val="ru-RU"/>
        </w:rPr>
        <w:t>3</w:t>
      </w:r>
      <w:r w:rsidR="000A229E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color w:val="auto"/>
          <w:sz w:val="24"/>
          <w:szCs w:val="24"/>
        </w:rPr>
        <w:t>d</w:t>
      </w:r>
      <w:r w:rsidR="003A389C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8203FF" w:rsidRPr="008203FF" w:rsidRDefault="008203FF" w:rsidP="008203FF">
      <w:r w:rsidRPr="008203FF">
        <w:t>Руководящие принципы РКИК ООН для составления ежегодных кадастров для Сторон, включенных в приложение I, требуют, чтобы каждая Сторона, включенная в приложение I, представляла свой годовой кадастр ПГ к 15 апреля каждого года.</w:t>
      </w:r>
    </w:p>
    <w:p w:rsidR="008203FF" w:rsidRDefault="008203FF" w:rsidP="008203FF">
      <w:r w:rsidRPr="008203FF">
        <w:t>Национальные сообщения (НС) Сторон, не включенных в приложение I, обычно представляются каждые четыре года; двухгодичные обновленные отчеты (BUR) каждые два года.</w:t>
      </w:r>
    </w:p>
    <w:p w:rsidR="000A229E" w:rsidRDefault="000A229E" w:rsidP="008203FF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A71EC6" w:rsidRPr="00A343D5">
        <w:rPr>
          <w:b/>
          <w:color w:val="auto"/>
          <w:sz w:val="24"/>
          <w:szCs w:val="24"/>
          <w:lang w:val="ru-RU"/>
        </w:rPr>
        <w:t>Поставщики данных</w:t>
      </w:r>
    </w:p>
    <w:p w:rsidR="008203FF" w:rsidRDefault="008203FF" w:rsidP="008203FF">
      <w:r w:rsidRPr="008203FF">
        <w:t>Стороны РКИК ООН</w:t>
      </w:r>
    </w:p>
    <w:p w:rsidR="000A229E" w:rsidRDefault="000A229E" w:rsidP="00F4434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FB0A43" w:rsidRPr="00A343D5" w:rsidRDefault="00FB0A43" w:rsidP="00FB0A43">
      <w:r w:rsidRPr="00FB0A43">
        <w:t>ООН по изменению климата (Секретариат РКИК ООН)</w:t>
      </w:r>
    </w:p>
    <w:p w:rsidR="00FB0A43" w:rsidRDefault="000A229E" w:rsidP="0056571B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8203FF" w:rsidRPr="008203FF" w:rsidRDefault="008203FF" w:rsidP="008203FF">
      <w:r w:rsidRPr="008203FF">
        <w:t xml:space="preserve">• Требования к отчетности для Сторон, включенных в приложение I - </w:t>
      </w:r>
      <w:hyperlink r:id="rId8" w:history="1">
        <w:r w:rsidRPr="008203FF">
          <w:rPr>
            <w:rStyle w:val="ad"/>
            <w:szCs w:val="24"/>
          </w:rPr>
          <w:t>https://unfccc.int/process-andmeetings/transparency-and-reporting/reporting-and-review-under-the-convention/greenhousegas-inventories-annex-i-parties/reporting-requirements</w:t>
        </w:r>
      </w:hyperlink>
    </w:p>
    <w:p w:rsidR="008203FF" w:rsidRPr="00A57352" w:rsidRDefault="008203FF" w:rsidP="0056571B">
      <w:pPr>
        <w:pStyle w:val="ac"/>
        <w:numPr>
          <w:ilvl w:val="0"/>
          <w:numId w:val="28"/>
        </w:numPr>
        <w:tabs>
          <w:tab w:val="left" w:pos="284"/>
        </w:tabs>
        <w:ind w:left="0" w:firstLine="0"/>
      </w:pPr>
      <w:r w:rsidRPr="008203FF">
        <w:lastRenderedPageBreak/>
        <w:t>Требования к отчетности для Сторон, не включенных в приложение I - https://unfccc.int/process-andmeetings/transparency-and-reporting/support-for-developing-countries/guidelines-andmanuals-for-the-preparation-of-non-annex-i-national-reports-and-international#eq-5</w:t>
      </w:r>
    </w:p>
    <w:p w:rsidR="002E15F9" w:rsidRDefault="002E15F9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D51C14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Default="002E15F9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Обоснование</w:t>
      </w:r>
    </w:p>
    <w:p w:rsidR="00A57352" w:rsidRDefault="00A57352" w:rsidP="00A57352">
      <w:r>
        <w:t>См. 2а</w:t>
      </w:r>
    </w:p>
    <w:p w:rsidR="0031253B" w:rsidRDefault="002E15F9" w:rsidP="00C732B2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b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A57352" w:rsidRPr="00A57352" w:rsidRDefault="00A57352" w:rsidP="00A57352">
      <w:r w:rsidRPr="00A57352">
        <w:t>Данные ограничиваются Сторонами, которые представляют свои кадастры ПГ. Поскольку требования к отчетности для Сторон, не включенных в приложение I, не такие жесткие, как для Сторон, включенных в приложение I, информация для этих Сторон обычно доступна только за отдельные годы.</w:t>
      </w:r>
    </w:p>
    <w:p w:rsidR="00A57352" w:rsidRDefault="00A57352" w:rsidP="00A57352">
      <w:r w:rsidRPr="00A57352">
        <w:t>Годовой график представления обновленных отчетов по инвентаризации очень близок к дате публикации годовых отчетов о ходе выполнения ЦУР.</w:t>
      </w:r>
    </w:p>
    <w:p w:rsidR="00D273C6" w:rsidRDefault="002E15F9" w:rsidP="00A57352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8501F4">
        <w:rPr>
          <w:color w:val="auto"/>
          <w:sz w:val="24"/>
          <w:szCs w:val="24"/>
          <w:lang w:val="ru-RU"/>
        </w:rPr>
        <w:t>4.</w:t>
      </w:r>
      <w:r w:rsidRPr="004F3B53">
        <w:rPr>
          <w:color w:val="auto"/>
          <w:sz w:val="24"/>
          <w:szCs w:val="24"/>
        </w:rPr>
        <w:t>c</w:t>
      </w:r>
      <w:r w:rsidRPr="004F3B53">
        <w:rPr>
          <w:color w:val="auto"/>
          <w:sz w:val="24"/>
          <w:szCs w:val="24"/>
          <w:lang w:val="ru-RU"/>
        </w:rPr>
        <w:t xml:space="preserve">. </w:t>
      </w:r>
      <w:r w:rsidR="00CA1CB1" w:rsidRPr="004F3B53">
        <w:rPr>
          <w:b/>
          <w:color w:val="auto"/>
          <w:sz w:val="24"/>
          <w:szCs w:val="24"/>
          <w:lang w:val="ru-RU"/>
        </w:rPr>
        <w:t>Метод расчета</w:t>
      </w:r>
    </w:p>
    <w:p w:rsidR="00A57352" w:rsidRDefault="00A57352" w:rsidP="00A57352">
      <w:r w:rsidRPr="00A57352">
        <w:t>Общие выбросы ПГ рассчитываются как сумма выбросов прямых ПГ: диоксида углерода (CO2), метана (CH4), закиси азота (N2O), перфторуглеродов (ПФУ), гидрофторуглеродов (ГФУ), гексафторида</w:t>
      </w:r>
      <w:r>
        <w:t>серы (SF6) и трифторида азота (</w:t>
      </w:r>
      <w:r w:rsidRPr="00A57352">
        <w:t>NF3), измеряемы</w:t>
      </w:r>
      <w:r>
        <w:t>х</w:t>
      </w:r>
      <w:r w:rsidRPr="00A57352">
        <w:t xml:space="preserve"> в единицах эквивалента CO2, с использованием общего весового коэффициента, так называемого потенциала глобального потепления (GWP). В соответствии с последними руководящими принципами отчетности для Сторон, включенных в приложение I в рамках РКИК ООН, будут использоваться значения ПГП для 100-летнего временного горизонта, перечисленные в таблице 2.14 Четвертого оценочного доклада МГЭИК (https://www.ipcc.ch / отчет / ar4 / wg1 /). Однако Сторонам, не включенным в приложение I, следует использовать GWP, представленный во втором докладе об оценке МГЭИК (https://www.ipcc.ch/report/ipcc-second-assessment-full-report/), исходя из воздействия парниковых газов на </w:t>
      </w:r>
      <w:r>
        <w:t>протяжении 100-летнего периода</w:t>
      </w:r>
      <w:r w:rsidRPr="00A57352">
        <w:t>.</w:t>
      </w:r>
    </w:p>
    <w:p w:rsidR="005B3332" w:rsidRPr="00C732B2" w:rsidRDefault="002E15F9" w:rsidP="00A57352">
      <w:pPr>
        <w:pStyle w:val="MHeader2"/>
        <w:rPr>
          <w:b/>
          <w:color w:val="auto"/>
          <w:sz w:val="24"/>
          <w:lang w:val="ru-RU"/>
        </w:rPr>
      </w:pPr>
      <w:r w:rsidRPr="00FE175E">
        <w:rPr>
          <w:b/>
          <w:color w:val="auto"/>
          <w:sz w:val="24"/>
          <w:lang w:val="ru-RU"/>
        </w:rPr>
        <w:t>4.</w:t>
      </w:r>
      <w:r w:rsidRPr="00F947E9">
        <w:rPr>
          <w:b/>
          <w:color w:val="auto"/>
          <w:sz w:val="24"/>
        </w:rPr>
        <w:t>d</w:t>
      </w:r>
      <w:r w:rsidRPr="00FE175E">
        <w:rPr>
          <w:b/>
          <w:color w:val="auto"/>
          <w:sz w:val="24"/>
          <w:lang w:val="ru-RU"/>
        </w:rPr>
        <w:t xml:space="preserve">. </w:t>
      </w:r>
      <w:r w:rsidR="00694160" w:rsidRPr="00FE175E">
        <w:rPr>
          <w:b/>
          <w:color w:val="auto"/>
          <w:sz w:val="24"/>
          <w:lang w:val="ru-RU"/>
        </w:rPr>
        <w:t>Валидация</w:t>
      </w:r>
    </w:p>
    <w:p w:rsidR="002E15F9" w:rsidRDefault="002E15F9" w:rsidP="005B3332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Default="002E15F9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343D5">
        <w:rPr>
          <w:b/>
          <w:color w:val="auto"/>
          <w:sz w:val="24"/>
          <w:szCs w:val="24"/>
        </w:rPr>
        <w:t>i</w:t>
      </w:r>
      <w:r w:rsidR="00694160" w:rsidRPr="00A343D5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343D5">
        <w:rPr>
          <w:b/>
          <w:color w:val="auto"/>
          <w:sz w:val="24"/>
          <w:szCs w:val="24"/>
        </w:rPr>
        <w:t>ii</w:t>
      </w:r>
      <w:r w:rsidR="00694160" w:rsidRPr="00A343D5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A57352" w:rsidRDefault="00A57352" w:rsidP="00A57352">
      <w:r>
        <w:t>На страновом уровне</w:t>
      </w:r>
    </w:p>
    <w:p w:rsidR="00A57352" w:rsidRDefault="00A57352" w:rsidP="00A57352">
      <w:r>
        <w:t xml:space="preserve">Доступность данных зависит от информации, полученной от сторон. </w:t>
      </w:r>
    </w:p>
    <w:p w:rsidR="002E15F9" w:rsidRDefault="002E15F9" w:rsidP="00083DC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E27922" w:rsidRPr="00A343D5">
        <w:rPr>
          <w:b/>
          <w:color w:val="auto"/>
          <w:sz w:val="24"/>
          <w:szCs w:val="24"/>
          <w:lang w:val="ru-RU"/>
        </w:rPr>
        <w:t>Региональное агрегирование</w:t>
      </w:r>
    </w:p>
    <w:p w:rsidR="00FD61C2" w:rsidRDefault="00FD61C2" w:rsidP="00FD61C2">
      <w:r>
        <w:tab/>
        <w:t xml:space="preserve">Информация недоступна. </w:t>
      </w:r>
    </w:p>
    <w:p w:rsidR="00F56853" w:rsidRDefault="002E15F9" w:rsidP="00FD61C2">
      <w:pPr>
        <w:pStyle w:val="MHeader"/>
        <w:rPr>
          <w:b/>
          <w:color w:val="auto"/>
          <w:sz w:val="24"/>
          <w:lang w:val="ru-RU"/>
        </w:rPr>
      </w:pPr>
      <w:r w:rsidRPr="00E66E20">
        <w:rPr>
          <w:b/>
          <w:color w:val="auto"/>
          <w:sz w:val="24"/>
          <w:lang w:val="ru-RU"/>
        </w:rPr>
        <w:t>4.</w:t>
      </w:r>
      <w:r w:rsidRPr="00FD61C2">
        <w:rPr>
          <w:b/>
          <w:color w:val="auto"/>
          <w:sz w:val="24"/>
        </w:rPr>
        <w:t>h</w:t>
      </w:r>
      <w:r w:rsidRPr="00E66E20">
        <w:rPr>
          <w:b/>
          <w:color w:val="auto"/>
          <w:sz w:val="24"/>
          <w:lang w:val="ru-RU"/>
        </w:rPr>
        <w:t xml:space="preserve">. </w:t>
      </w:r>
      <w:r w:rsidR="00E27922" w:rsidRPr="00E66E20">
        <w:rPr>
          <w:b/>
          <w:color w:val="auto"/>
          <w:sz w:val="24"/>
          <w:lang w:val="ru-RU"/>
        </w:rPr>
        <w:t>Доступные странам методы для сбора данных на национальном уровне</w:t>
      </w:r>
    </w:p>
    <w:p w:rsidR="00A575D1" w:rsidRPr="00A575D1" w:rsidRDefault="00A575D1" w:rsidP="00A575D1">
      <w:r w:rsidRPr="00A575D1">
        <w:lastRenderedPageBreak/>
        <w:t>• Требования к отчетности для Сторон, включенных в приложение I - https://unfccc.int/process-andmeetings/transparency-and-reporting/reporting-and-review-under-the-convention/greenhousegas-inventories-annex-i-parties/reporting- требования</w:t>
      </w:r>
    </w:p>
    <w:p w:rsidR="00A575D1" w:rsidRPr="00A575D1" w:rsidRDefault="00A575D1" w:rsidP="00A575D1">
      <w:r w:rsidRPr="00A575D1">
        <w:t>• Требования к отчетности для Сторон, не включенных в приложение I - https://unfccc.int/process-andmeetings/transparency-and-reporting/support-for-developing-countries/guidelines-andmanuals-for-the-preparation-of-non- приложение-i-национальные-отчеты-и-международные # экв-5</w:t>
      </w:r>
    </w:p>
    <w:p w:rsidR="00A575D1" w:rsidRPr="00A575D1" w:rsidRDefault="00A575D1" w:rsidP="00A575D1">
      <w:r w:rsidRPr="00A575D1">
        <w:t>• Руководящие принципы национальных инвентаризаций парниковых газов МГЭИК 2006 г. - https://www.ipccnggip.iges.or.jp/public/2006gl/</w:t>
      </w:r>
    </w:p>
    <w:p w:rsidR="00A575D1" w:rsidRPr="00A575D1" w:rsidRDefault="00A575D1" w:rsidP="00A575D1">
      <w:r w:rsidRPr="00A575D1">
        <w:t xml:space="preserve">• Пересмотренные Руководящие принципы национальных инвентаризаций парниковых газов МГЭИК 1996 г. - </w:t>
      </w:r>
      <w:hyperlink r:id="rId9" w:history="1">
        <w:r w:rsidRPr="00C03EAA">
          <w:rPr>
            <w:rStyle w:val="ad"/>
            <w:b/>
          </w:rPr>
          <w:t>https://www.ipccnggip.iges.or.jp/public/gl/invs1.html</w:t>
        </w:r>
      </w:hyperlink>
    </w:p>
    <w:p w:rsidR="00151C00" w:rsidRPr="008203FF" w:rsidRDefault="002E15F9" w:rsidP="00C732B2">
      <w:pPr>
        <w:pStyle w:val="MHeader"/>
        <w:rPr>
          <w:b/>
          <w:color w:val="auto"/>
          <w:sz w:val="24"/>
          <w:lang w:val="ru-RU"/>
        </w:rPr>
      </w:pPr>
      <w:r w:rsidRPr="008203FF">
        <w:rPr>
          <w:b/>
          <w:color w:val="auto"/>
          <w:sz w:val="24"/>
          <w:lang w:val="ru-RU"/>
        </w:rPr>
        <w:t>4.</w:t>
      </w:r>
      <w:r w:rsidRPr="00C732B2">
        <w:rPr>
          <w:b/>
          <w:color w:val="auto"/>
          <w:sz w:val="24"/>
        </w:rPr>
        <w:t>i</w:t>
      </w:r>
      <w:r w:rsidRPr="008203FF">
        <w:rPr>
          <w:b/>
          <w:color w:val="auto"/>
          <w:sz w:val="24"/>
          <w:lang w:val="ru-RU"/>
        </w:rPr>
        <w:t xml:space="preserve">. </w:t>
      </w:r>
      <w:r w:rsidR="00E27922" w:rsidRPr="008203FF">
        <w:rPr>
          <w:b/>
          <w:color w:val="auto"/>
          <w:sz w:val="24"/>
          <w:lang w:val="ru-RU"/>
        </w:rPr>
        <w:t>Управление качеством</w:t>
      </w:r>
    </w:p>
    <w:p w:rsidR="00151C00" w:rsidRDefault="002E15F9" w:rsidP="00B8481C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j</w:t>
      </w:r>
      <w:r w:rsidR="00E27922" w:rsidRPr="00A343D5">
        <w:rPr>
          <w:color w:val="auto"/>
          <w:sz w:val="24"/>
          <w:szCs w:val="24"/>
          <w:lang w:val="ru-RU"/>
        </w:rPr>
        <w:t>.</w:t>
      </w:r>
      <w:r w:rsidR="00E27922" w:rsidRPr="00A343D5">
        <w:rPr>
          <w:b/>
          <w:color w:val="auto"/>
          <w:sz w:val="24"/>
          <w:szCs w:val="24"/>
          <w:lang w:val="ru-RU"/>
        </w:rPr>
        <w:t>Обеспечение качества</w:t>
      </w:r>
    </w:p>
    <w:p w:rsidR="002E15F9" w:rsidRPr="008203FF" w:rsidRDefault="0075371E" w:rsidP="00924EB8">
      <w:pPr>
        <w:pStyle w:val="MHeader"/>
        <w:rPr>
          <w:b/>
          <w:color w:val="auto"/>
          <w:sz w:val="24"/>
          <w:lang w:val="ru-RU"/>
        </w:rPr>
      </w:pPr>
      <w:r w:rsidRPr="008203FF">
        <w:rPr>
          <w:b/>
          <w:color w:val="auto"/>
          <w:sz w:val="24"/>
          <w:lang w:val="ru-RU"/>
        </w:rPr>
        <w:t>4.</w:t>
      </w:r>
      <w:r w:rsidRPr="00924EB8">
        <w:rPr>
          <w:b/>
          <w:color w:val="auto"/>
          <w:sz w:val="24"/>
        </w:rPr>
        <w:t>k</w:t>
      </w:r>
      <w:r w:rsidRPr="008203FF">
        <w:rPr>
          <w:b/>
          <w:color w:val="auto"/>
          <w:sz w:val="24"/>
          <w:lang w:val="ru-RU"/>
        </w:rPr>
        <w:t xml:space="preserve">. Оценка качества </w:t>
      </w:r>
    </w:p>
    <w:p w:rsidR="002E15F9" w:rsidRDefault="002E15F9" w:rsidP="00CD238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EA60C7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EA60C7">
        <w:rPr>
          <w:b/>
          <w:color w:val="auto"/>
          <w:sz w:val="24"/>
          <w:szCs w:val="24"/>
          <w:lang w:val="ru-RU"/>
        </w:rPr>
        <w:t>Доступность и дезагрегирование данных</w:t>
      </w:r>
    </w:p>
    <w:p w:rsidR="00A575D1" w:rsidRPr="00A575D1" w:rsidRDefault="00A575D1" w:rsidP="00A575D1">
      <w:r w:rsidRPr="00A575D1">
        <w:t>Доступность данных:</w:t>
      </w:r>
    </w:p>
    <w:p w:rsidR="00A575D1" w:rsidRPr="00A575D1" w:rsidRDefault="00A575D1" w:rsidP="00A575D1">
      <w:r w:rsidRPr="00A575D1">
        <w:t xml:space="preserve">На основании отчетов о национальных кадастрах, представленных в секретариат РКИК ООН, общие выбросы парниковых газов (ПГ) в Гт эквивалента CO2 в развитых странах (43 Стороны, включенные в приложение I согласно РКИК ООН) с 1990 г. и далее и в развивающихся странах (153 Стороны, не включенные в приложение I в рамках РКИК ООН), </w:t>
      </w:r>
      <w:r w:rsidR="00BF69B1">
        <w:t xml:space="preserve">с </w:t>
      </w:r>
      <w:r w:rsidRPr="00A575D1">
        <w:t xml:space="preserve">2000 г. </w:t>
      </w:r>
      <w:r w:rsidR="00BF69B1">
        <w:t>с</w:t>
      </w:r>
      <w:r w:rsidRPr="00A575D1">
        <w:t>тороны, включенные в приложение I, представляют свои кадастры ПГ ежегодно (крайний срок подачи - 15 апреля), тогда как Стороны, не включенные в приложение I, представляют свои национальные сообщения / двухгодичные обновленные отчеты периодически.</w:t>
      </w:r>
    </w:p>
    <w:p w:rsidR="00A575D1" w:rsidRPr="00A575D1" w:rsidRDefault="00A575D1" w:rsidP="00A575D1">
      <w:r w:rsidRPr="00A575D1">
        <w:t>Временная последовательность:</w:t>
      </w:r>
    </w:p>
    <w:p w:rsidR="00A575D1" w:rsidRPr="00A575D1" w:rsidRDefault="00A575D1" w:rsidP="00A575D1">
      <w:r w:rsidRPr="00A575D1">
        <w:t>Данные по Сторонам, включенным в приложение I, доступны с базового года (обычно 1990 г.) за два года до даты проведения инвентаризации. Данные по Сторонам, не включенным в приложение I, обычно доступны только за отдельные годы.</w:t>
      </w:r>
    </w:p>
    <w:p w:rsidR="00A575D1" w:rsidRPr="00A575D1" w:rsidRDefault="00A575D1" w:rsidP="00A575D1">
      <w:r w:rsidRPr="00A575D1">
        <w:t>Разбивка:</w:t>
      </w:r>
    </w:p>
    <w:p w:rsidR="00A575D1" w:rsidRDefault="00A575D1" w:rsidP="00A575D1">
      <w:r w:rsidRPr="00A575D1">
        <w:t>Данные дезагрегированы по Сторонам, включенным и не включенным в приложение I к РКИК ООН.</w:t>
      </w:r>
    </w:p>
    <w:p w:rsidR="002E15F9" w:rsidRDefault="00845FE2" w:rsidP="00AF3B1B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A343D5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FD61C2" w:rsidRDefault="00FD61C2" w:rsidP="00FD61C2">
      <w:r>
        <w:t>Информация недоступна.</w:t>
      </w:r>
    </w:p>
    <w:p w:rsidR="00C22DF6" w:rsidRPr="00333E4E" w:rsidRDefault="00845FE2" w:rsidP="00222E13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lang w:eastAsia="en-GB"/>
        </w:rPr>
      </w:pPr>
      <w:r w:rsidRPr="00333E4E">
        <w:rPr>
          <w:rFonts w:eastAsia="Times New Roman"/>
          <w:b/>
          <w:szCs w:val="24"/>
          <w:lang w:eastAsia="en-GB"/>
        </w:rPr>
        <w:t>7</w:t>
      </w:r>
      <w:r w:rsidR="00040034" w:rsidRPr="00333E4E">
        <w:rPr>
          <w:rFonts w:eastAsia="Times New Roman"/>
          <w:b/>
          <w:szCs w:val="24"/>
          <w:lang w:eastAsia="en-GB"/>
        </w:rPr>
        <w:t xml:space="preserve">. </w:t>
      </w:r>
      <w:r w:rsidR="00040034" w:rsidRPr="00A343D5">
        <w:rPr>
          <w:rFonts w:eastAsia="Times New Roman"/>
          <w:b/>
          <w:szCs w:val="24"/>
          <w:lang w:eastAsia="en-GB"/>
        </w:rPr>
        <w:t>Ссылкиидокументы</w:t>
      </w:r>
    </w:p>
    <w:p w:rsidR="00BF69B1" w:rsidRDefault="00BF69B1" w:rsidP="00BF69B1">
      <w:pPr>
        <w:pStyle w:val="a0"/>
        <w:rPr>
          <w:lang w:eastAsia="en-GB"/>
        </w:rPr>
      </w:pPr>
      <w:r>
        <w:rPr>
          <w:lang w:eastAsia="en-GB"/>
        </w:rPr>
        <w:t>• Руководящие принцип</w:t>
      </w:r>
      <w:bookmarkStart w:id="5" w:name="_GoBack"/>
      <w:bookmarkEnd w:id="5"/>
      <w:r>
        <w:rPr>
          <w:lang w:eastAsia="en-GB"/>
        </w:rPr>
        <w:t>ы РКИК ООН по отчетности о годовых кадастрах для Сторон, включенных в приложение I к Конвенции.</w:t>
      </w:r>
    </w:p>
    <w:p w:rsidR="00BF69B1" w:rsidRDefault="00BF69B1" w:rsidP="00BF69B1">
      <w:pPr>
        <w:pStyle w:val="a0"/>
        <w:rPr>
          <w:lang w:eastAsia="en-GB"/>
        </w:rPr>
      </w:pPr>
      <w:r>
        <w:rPr>
          <w:lang w:eastAsia="en-GB"/>
        </w:rPr>
        <w:t>• Руководящие принципы подготовки национальных сообщений Сторон, не включенных в приложение I к Конвенции.</w:t>
      </w:r>
    </w:p>
    <w:p w:rsidR="0049008B" w:rsidRPr="00222E13" w:rsidRDefault="00BF69B1" w:rsidP="00BF69B1">
      <w:pPr>
        <w:pStyle w:val="a0"/>
        <w:rPr>
          <w:lang w:eastAsia="en-GB"/>
        </w:rPr>
      </w:pPr>
      <w:r>
        <w:rPr>
          <w:lang w:eastAsia="en-GB"/>
        </w:rPr>
        <w:t>• Интерфейс данных о парниковых газах</w:t>
      </w:r>
    </w:p>
    <w:sectPr w:rsidR="0049008B" w:rsidRPr="00222E13" w:rsidSect="00EC0B0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17" w:rsidRDefault="009B0617" w:rsidP="00F73DBC">
      <w:pPr>
        <w:spacing w:after="0" w:line="240" w:lineRule="auto"/>
      </w:pPr>
      <w:r>
        <w:separator/>
      </w:r>
    </w:p>
  </w:endnote>
  <w:endnote w:type="continuationSeparator" w:id="1">
    <w:p w:rsidR="009B0617" w:rsidRDefault="009B0617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17" w:rsidRDefault="009B0617" w:rsidP="00F73DBC">
      <w:pPr>
        <w:spacing w:after="0" w:line="240" w:lineRule="auto"/>
      </w:pPr>
      <w:r>
        <w:separator/>
      </w:r>
    </w:p>
  </w:footnote>
  <w:footnote w:type="continuationSeparator" w:id="1">
    <w:p w:rsidR="009B0617" w:rsidRDefault="009B0617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3B" w:rsidRDefault="0031253B" w:rsidP="009508D1">
    <w:pPr>
      <w:pStyle w:val="af"/>
      <w:jc w:val="right"/>
      <w:rPr>
        <w:i/>
      </w:rPr>
    </w:pPr>
    <w:r w:rsidRPr="009508D1">
      <w:rPr>
        <w:i/>
      </w:rPr>
      <w:t>Неофициальный перевод</w:t>
    </w:r>
  </w:p>
  <w:p w:rsidR="0031253B" w:rsidRPr="009508D1" w:rsidRDefault="008203FF" w:rsidP="009508D1">
    <w:pPr>
      <w:pStyle w:val="af"/>
      <w:jc w:val="right"/>
    </w:pPr>
    <w:r>
      <w:t>Последнее обновление: октябрь</w:t>
    </w:r>
    <w:r w:rsidR="0031253B">
      <w:t xml:space="preserve"> 2021</w:t>
    </w:r>
  </w:p>
  <w:p w:rsidR="0031253B" w:rsidRDefault="0031253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F9E"/>
    <w:multiLevelType w:val="hybridMultilevel"/>
    <w:tmpl w:val="5C1E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352C"/>
    <w:multiLevelType w:val="hybridMultilevel"/>
    <w:tmpl w:val="4A82E50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6A5D"/>
    <w:multiLevelType w:val="hybridMultilevel"/>
    <w:tmpl w:val="7F86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A0C42"/>
    <w:multiLevelType w:val="hybridMultilevel"/>
    <w:tmpl w:val="22C43998"/>
    <w:lvl w:ilvl="0" w:tplc="679E9D4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E5AF6"/>
    <w:multiLevelType w:val="hybridMultilevel"/>
    <w:tmpl w:val="C0A29C9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4321A"/>
    <w:multiLevelType w:val="hybridMultilevel"/>
    <w:tmpl w:val="AEA8E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94E04"/>
    <w:multiLevelType w:val="hybridMultilevel"/>
    <w:tmpl w:val="6E8E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E74D4"/>
    <w:multiLevelType w:val="hybridMultilevel"/>
    <w:tmpl w:val="C7C8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B4E66"/>
    <w:multiLevelType w:val="hybridMultilevel"/>
    <w:tmpl w:val="71DA5AD4"/>
    <w:lvl w:ilvl="0" w:tplc="AC92F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C5443"/>
    <w:multiLevelType w:val="hybridMultilevel"/>
    <w:tmpl w:val="6C9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B4257"/>
    <w:multiLevelType w:val="hybridMultilevel"/>
    <w:tmpl w:val="8048D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A7DD6"/>
    <w:multiLevelType w:val="hybridMultilevel"/>
    <w:tmpl w:val="83A2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2BDC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519C7"/>
    <w:multiLevelType w:val="hybridMultilevel"/>
    <w:tmpl w:val="CE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CB2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26A57"/>
    <w:multiLevelType w:val="hybridMultilevel"/>
    <w:tmpl w:val="B6FE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65087"/>
    <w:multiLevelType w:val="hybridMultilevel"/>
    <w:tmpl w:val="ADB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14BB9"/>
    <w:multiLevelType w:val="hybridMultilevel"/>
    <w:tmpl w:val="919229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E4E5E"/>
    <w:multiLevelType w:val="hybridMultilevel"/>
    <w:tmpl w:val="6D049FA0"/>
    <w:lvl w:ilvl="0" w:tplc="63FC1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E24A1"/>
    <w:multiLevelType w:val="hybridMultilevel"/>
    <w:tmpl w:val="D77A1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D109F"/>
    <w:multiLevelType w:val="hybridMultilevel"/>
    <w:tmpl w:val="9200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E4C30"/>
    <w:multiLevelType w:val="hybridMultilevel"/>
    <w:tmpl w:val="054A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56F36"/>
    <w:multiLevelType w:val="hybridMultilevel"/>
    <w:tmpl w:val="96CE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D4A38"/>
    <w:multiLevelType w:val="hybridMultilevel"/>
    <w:tmpl w:val="C21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1618"/>
    <w:multiLevelType w:val="hybridMultilevel"/>
    <w:tmpl w:val="7D7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14544"/>
    <w:multiLevelType w:val="hybridMultilevel"/>
    <w:tmpl w:val="16F8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91F43"/>
    <w:multiLevelType w:val="hybridMultilevel"/>
    <w:tmpl w:val="1E4E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A302C"/>
    <w:multiLevelType w:val="hybridMultilevel"/>
    <w:tmpl w:val="E516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D1E54"/>
    <w:multiLevelType w:val="hybridMultilevel"/>
    <w:tmpl w:val="1AD6DE36"/>
    <w:lvl w:ilvl="0" w:tplc="8062A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26"/>
  </w:num>
  <w:num w:numId="5">
    <w:abstractNumId w:val="22"/>
  </w:num>
  <w:num w:numId="6">
    <w:abstractNumId w:val="14"/>
  </w:num>
  <w:num w:numId="7">
    <w:abstractNumId w:val="18"/>
  </w:num>
  <w:num w:numId="8">
    <w:abstractNumId w:val="16"/>
  </w:num>
  <w:num w:numId="9">
    <w:abstractNumId w:val="5"/>
  </w:num>
  <w:num w:numId="10">
    <w:abstractNumId w:val="17"/>
  </w:num>
  <w:num w:numId="11">
    <w:abstractNumId w:val="21"/>
  </w:num>
  <w:num w:numId="12">
    <w:abstractNumId w:val="9"/>
  </w:num>
  <w:num w:numId="13">
    <w:abstractNumId w:val="24"/>
  </w:num>
  <w:num w:numId="14">
    <w:abstractNumId w:val="0"/>
  </w:num>
  <w:num w:numId="15">
    <w:abstractNumId w:val="23"/>
  </w:num>
  <w:num w:numId="16">
    <w:abstractNumId w:val="27"/>
  </w:num>
  <w:num w:numId="17">
    <w:abstractNumId w:val="7"/>
  </w:num>
  <w:num w:numId="18">
    <w:abstractNumId w:val="10"/>
  </w:num>
  <w:num w:numId="19">
    <w:abstractNumId w:val="3"/>
  </w:num>
  <w:num w:numId="20">
    <w:abstractNumId w:val="1"/>
  </w:num>
  <w:num w:numId="21">
    <w:abstractNumId w:val="4"/>
  </w:num>
  <w:num w:numId="22">
    <w:abstractNumId w:val="8"/>
  </w:num>
  <w:num w:numId="23">
    <w:abstractNumId w:val="19"/>
  </w:num>
  <w:num w:numId="24">
    <w:abstractNumId w:val="11"/>
  </w:num>
  <w:num w:numId="25">
    <w:abstractNumId w:val="20"/>
  </w:num>
  <w:num w:numId="26">
    <w:abstractNumId w:val="2"/>
  </w:num>
  <w:num w:numId="27">
    <w:abstractNumId w:val="6"/>
  </w:num>
  <w:num w:numId="28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8FC"/>
    <w:rsid w:val="00006140"/>
    <w:rsid w:val="00017B67"/>
    <w:rsid w:val="00030BF5"/>
    <w:rsid w:val="00032707"/>
    <w:rsid w:val="00040034"/>
    <w:rsid w:val="0004196A"/>
    <w:rsid w:val="000451B2"/>
    <w:rsid w:val="00053D20"/>
    <w:rsid w:val="00062184"/>
    <w:rsid w:val="00066024"/>
    <w:rsid w:val="00067E3E"/>
    <w:rsid w:val="00080FD3"/>
    <w:rsid w:val="00083DC3"/>
    <w:rsid w:val="0008593B"/>
    <w:rsid w:val="00093790"/>
    <w:rsid w:val="000A210D"/>
    <w:rsid w:val="000A229E"/>
    <w:rsid w:val="000A47E6"/>
    <w:rsid w:val="000A6836"/>
    <w:rsid w:val="000B0E12"/>
    <w:rsid w:val="000C224E"/>
    <w:rsid w:val="000E666A"/>
    <w:rsid w:val="000E7DC3"/>
    <w:rsid w:val="00104284"/>
    <w:rsid w:val="00110FE3"/>
    <w:rsid w:val="0011581A"/>
    <w:rsid w:val="00116248"/>
    <w:rsid w:val="00120E95"/>
    <w:rsid w:val="00122608"/>
    <w:rsid w:val="001269B1"/>
    <w:rsid w:val="0013395A"/>
    <w:rsid w:val="00133E22"/>
    <w:rsid w:val="001373EA"/>
    <w:rsid w:val="0014376D"/>
    <w:rsid w:val="00146B30"/>
    <w:rsid w:val="00146FDC"/>
    <w:rsid w:val="001470A2"/>
    <w:rsid w:val="00147D02"/>
    <w:rsid w:val="001505DD"/>
    <w:rsid w:val="00151C00"/>
    <w:rsid w:val="0015685B"/>
    <w:rsid w:val="001577EB"/>
    <w:rsid w:val="00162B33"/>
    <w:rsid w:val="00165896"/>
    <w:rsid w:val="001661D2"/>
    <w:rsid w:val="0016743D"/>
    <w:rsid w:val="0017579E"/>
    <w:rsid w:val="00176A95"/>
    <w:rsid w:val="0018458D"/>
    <w:rsid w:val="001A0336"/>
    <w:rsid w:val="001A163A"/>
    <w:rsid w:val="001B0DDA"/>
    <w:rsid w:val="001B4464"/>
    <w:rsid w:val="001C2F13"/>
    <w:rsid w:val="001D47B7"/>
    <w:rsid w:val="001E2FC9"/>
    <w:rsid w:val="001F2B04"/>
    <w:rsid w:val="0020339C"/>
    <w:rsid w:val="002165E6"/>
    <w:rsid w:val="00220DFC"/>
    <w:rsid w:val="00222E13"/>
    <w:rsid w:val="00235C73"/>
    <w:rsid w:val="00237F5C"/>
    <w:rsid w:val="002451DF"/>
    <w:rsid w:val="00253365"/>
    <w:rsid w:val="002540B1"/>
    <w:rsid w:val="00263E57"/>
    <w:rsid w:val="002712B1"/>
    <w:rsid w:val="00290B8E"/>
    <w:rsid w:val="002A7CD7"/>
    <w:rsid w:val="002B2508"/>
    <w:rsid w:val="002D493B"/>
    <w:rsid w:val="002D669D"/>
    <w:rsid w:val="002E07D4"/>
    <w:rsid w:val="002E122C"/>
    <w:rsid w:val="002E15F9"/>
    <w:rsid w:val="002E2DAB"/>
    <w:rsid w:val="002E39B2"/>
    <w:rsid w:val="002F63E5"/>
    <w:rsid w:val="00303D71"/>
    <w:rsid w:val="0031253B"/>
    <w:rsid w:val="003143BC"/>
    <w:rsid w:val="00333E4E"/>
    <w:rsid w:val="00334A8E"/>
    <w:rsid w:val="00342801"/>
    <w:rsid w:val="00347912"/>
    <w:rsid w:val="00351952"/>
    <w:rsid w:val="003563A7"/>
    <w:rsid w:val="003569AD"/>
    <w:rsid w:val="0036001C"/>
    <w:rsid w:val="00372DA0"/>
    <w:rsid w:val="003746BC"/>
    <w:rsid w:val="00376FE6"/>
    <w:rsid w:val="00390633"/>
    <w:rsid w:val="00393B97"/>
    <w:rsid w:val="00394222"/>
    <w:rsid w:val="00397764"/>
    <w:rsid w:val="003A389C"/>
    <w:rsid w:val="003B2CF2"/>
    <w:rsid w:val="003B340F"/>
    <w:rsid w:val="003E03CC"/>
    <w:rsid w:val="003E6C49"/>
    <w:rsid w:val="0040583C"/>
    <w:rsid w:val="004066A3"/>
    <w:rsid w:val="00407E4E"/>
    <w:rsid w:val="004143B4"/>
    <w:rsid w:val="00422DE3"/>
    <w:rsid w:val="0042734C"/>
    <w:rsid w:val="004300EC"/>
    <w:rsid w:val="00436030"/>
    <w:rsid w:val="00446A24"/>
    <w:rsid w:val="00453CF8"/>
    <w:rsid w:val="00461079"/>
    <w:rsid w:val="00465587"/>
    <w:rsid w:val="00480D4F"/>
    <w:rsid w:val="0049008B"/>
    <w:rsid w:val="00494AAC"/>
    <w:rsid w:val="004A20F3"/>
    <w:rsid w:val="004A7876"/>
    <w:rsid w:val="004B638C"/>
    <w:rsid w:val="004B6FA0"/>
    <w:rsid w:val="004D283B"/>
    <w:rsid w:val="004D737D"/>
    <w:rsid w:val="004E087E"/>
    <w:rsid w:val="004F3B53"/>
    <w:rsid w:val="00503093"/>
    <w:rsid w:val="00504CD2"/>
    <w:rsid w:val="005057DC"/>
    <w:rsid w:val="005126D2"/>
    <w:rsid w:val="00514C74"/>
    <w:rsid w:val="005220B0"/>
    <w:rsid w:val="00543050"/>
    <w:rsid w:val="00547F84"/>
    <w:rsid w:val="00562B74"/>
    <w:rsid w:val="0056571B"/>
    <w:rsid w:val="00577C9B"/>
    <w:rsid w:val="0059042F"/>
    <w:rsid w:val="005919D0"/>
    <w:rsid w:val="00594963"/>
    <w:rsid w:val="005974D1"/>
    <w:rsid w:val="005A0EA5"/>
    <w:rsid w:val="005B3332"/>
    <w:rsid w:val="005C123D"/>
    <w:rsid w:val="005E2ABC"/>
    <w:rsid w:val="005E47BD"/>
    <w:rsid w:val="005F5D78"/>
    <w:rsid w:val="00607915"/>
    <w:rsid w:val="006120E1"/>
    <w:rsid w:val="00623607"/>
    <w:rsid w:val="006308D5"/>
    <w:rsid w:val="006313E5"/>
    <w:rsid w:val="00642663"/>
    <w:rsid w:val="00647C5F"/>
    <w:rsid w:val="00654380"/>
    <w:rsid w:val="006677B0"/>
    <w:rsid w:val="00670C21"/>
    <w:rsid w:val="00670E26"/>
    <w:rsid w:val="006763D1"/>
    <w:rsid w:val="00676DE5"/>
    <w:rsid w:val="00693A10"/>
    <w:rsid w:val="00694160"/>
    <w:rsid w:val="00696D77"/>
    <w:rsid w:val="006B260E"/>
    <w:rsid w:val="006B3939"/>
    <w:rsid w:val="006C014C"/>
    <w:rsid w:val="006C0984"/>
    <w:rsid w:val="006C10F0"/>
    <w:rsid w:val="006C3901"/>
    <w:rsid w:val="006D7049"/>
    <w:rsid w:val="006E66FC"/>
    <w:rsid w:val="006F1198"/>
    <w:rsid w:val="006F4DA0"/>
    <w:rsid w:val="006F5EC4"/>
    <w:rsid w:val="00702333"/>
    <w:rsid w:val="00702C63"/>
    <w:rsid w:val="00704A8D"/>
    <w:rsid w:val="00705161"/>
    <w:rsid w:val="00707E86"/>
    <w:rsid w:val="00711277"/>
    <w:rsid w:val="0071671D"/>
    <w:rsid w:val="007235FA"/>
    <w:rsid w:val="007321BB"/>
    <w:rsid w:val="0075349F"/>
    <w:rsid w:val="0075371E"/>
    <w:rsid w:val="00766689"/>
    <w:rsid w:val="00780F08"/>
    <w:rsid w:val="0078233F"/>
    <w:rsid w:val="0078726E"/>
    <w:rsid w:val="0079089B"/>
    <w:rsid w:val="00791F1F"/>
    <w:rsid w:val="007920B7"/>
    <w:rsid w:val="007B0CFD"/>
    <w:rsid w:val="007B0D42"/>
    <w:rsid w:val="007C27E0"/>
    <w:rsid w:val="007C6471"/>
    <w:rsid w:val="007C6FBC"/>
    <w:rsid w:val="007D1185"/>
    <w:rsid w:val="007D2576"/>
    <w:rsid w:val="007D49DE"/>
    <w:rsid w:val="007D4F45"/>
    <w:rsid w:val="007D5E35"/>
    <w:rsid w:val="007E6317"/>
    <w:rsid w:val="0080135E"/>
    <w:rsid w:val="00804196"/>
    <w:rsid w:val="00807A22"/>
    <w:rsid w:val="0081063C"/>
    <w:rsid w:val="008203FF"/>
    <w:rsid w:val="0082082A"/>
    <w:rsid w:val="00845FE2"/>
    <w:rsid w:val="008501F4"/>
    <w:rsid w:val="0085248F"/>
    <w:rsid w:val="00853C09"/>
    <w:rsid w:val="008616D9"/>
    <w:rsid w:val="00865164"/>
    <w:rsid w:val="008751C8"/>
    <w:rsid w:val="0089043A"/>
    <w:rsid w:val="0089177B"/>
    <w:rsid w:val="00896D91"/>
    <w:rsid w:val="008A3A19"/>
    <w:rsid w:val="008A7431"/>
    <w:rsid w:val="008B47E0"/>
    <w:rsid w:val="008C01EA"/>
    <w:rsid w:val="008C7B00"/>
    <w:rsid w:val="008E440E"/>
    <w:rsid w:val="008F5301"/>
    <w:rsid w:val="00900860"/>
    <w:rsid w:val="00924835"/>
    <w:rsid w:val="00924EB8"/>
    <w:rsid w:val="0092659A"/>
    <w:rsid w:val="009273B4"/>
    <w:rsid w:val="0093367B"/>
    <w:rsid w:val="00935B97"/>
    <w:rsid w:val="0094218F"/>
    <w:rsid w:val="00942EA9"/>
    <w:rsid w:val="0094718C"/>
    <w:rsid w:val="00947FA7"/>
    <w:rsid w:val="009508D1"/>
    <w:rsid w:val="009558D8"/>
    <w:rsid w:val="00957712"/>
    <w:rsid w:val="00957A62"/>
    <w:rsid w:val="00964BE9"/>
    <w:rsid w:val="00980F79"/>
    <w:rsid w:val="00983CEB"/>
    <w:rsid w:val="009843DD"/>
    <w:rsid w:val="00986D0B"/>
    <w:rsid w:val="00990634"/>
    <w:rsid w:val="009917DD"/>
    <w:rsid w:val="00995788"/>
    <w:rsid w:val="009B0617"/>
    <w:rsid w:val="009B3820"/>
    <w:rsid w:val="009B6CB3"/>
    <w:rsid w:val="009B78A2"/>
    <w:rsid w:val="009D078D"/>
    <w:rsid w:val="009D31AD"/>
    <w:rsid w:val="009E707C"/>
    <w:rsid w:val="009F0769"/>
    <w:rsid w:val="009F4A17"/>
    <w:rsid w:val="00A06695"/>
    <w:rsid w:val="00A1299E"/>
    <w:rsid w:val="00A248E2"/>
    <w:rsid w:val="00A3418B"/>
    <w:rsid w:val="00A343D5"/>
    <w:rsid w:val="00A41B68"/>
    <w:rsid w:val="00A44394"/>
    <w:rsid w:val="00A47315"/>
    <w:rsid w:val="00A47C12"/>
    <w:rsid w:val="00A55D22"/>
    <w:rsid w:val="00A56B34"/>
    <w:rsid w:val="00A57352"/>
    <w:rsid w:val="00A575D1"/>
    <w:rsid w:val="00A618FC"/>
    <w:rsid w:val="00A7053F"/>
    <w:rsid w:val="00A71EC6"/>
    <w:rsid w:val="00A73CA7"/>
    <w:rsid w:val="00A82A69"/>
    <w:rsid w:val="00A8435E"/>
    <w:rsid w:val="00A8462E"/>
    <w:rsid w:val="00A91FDE"/>
    <w:rsid w:val="00AB33B2"/>
    <w:rsid w:val="00AB3516"/>
    <w:rsid w:val="00AC112C"/>
    <w:rsid w:val="00AF3B1B"/>
    <w:rsid w:val="00B0378B"/>
    <w:rsid w:val="00B179C9"/>
    <w:rsid w:val="00B17F13"/>
    <w:rsid w:val="00B27F6B"/>
    <w:rsid w:val="00B30158"/>
    <w:rsid w:val="00B51994"/>
    <w:rsid w:val="00B51BC3"/>
    <w:rsid w:val="00B62ECD"/>
    <w:rsid w:val="00B70499"/>
    <w:rsid w:val="00B72F77"/>
    <w:rsid w:val="00B8481C"/>
    <w:rsid w:val="00B90C3B"/>
    <w:rsid w:val="00BA05C5"/>
    <w:rsid w:val="00BA49DB"/>
    <w:rsid w:val="00BA61D3"/>
    <w:rsid w:val="00BC622F"/>
    <w:rsid w:val="00BC6BB7"/>
    <w:rsid w:val="00BD28B9"/>
    <w:rsid w:val="00BD29EC"/>
    <w:rsid w:val="00BD2BB0"/>
    <w:rsid w:val="00BE4D76"/>
    <w:rsid w:val="00BE618D"/>
    <w:rsid w:val="00BE70C8"/>
    <w:rsid w:val="00BF42F4"/>
    <w:rsid w:val="00BF69B1"/>
    <w:rsid w:val="00C000B0"/>
    <w:rsid w:val="00C00737"/>
    <w:rsid w:val="00C013D8"/>
    <w:rsid w:val="00C1236A"/>
    <w:rsid w:val="00C22DF6"/>
    <w:rsid w:val="00C25229"/>
    <w:rsid w:val="00C34D1D"/>
    <w:rsid w:val="00C362F4"/>
    <w:rsid w:val="00C536F5"/>
    <w:rsid w:val="00C638CE"/>
    <w:rsid w:val="00C645C4"/>
    <w:rsid w:val="00C66AB0"/>
    <w:rsid w:val="00C674B3"/>
    <w:rsid w:val="00C732B2"/>
    <w:rsid w:val="00C74767"/>
    <w:rsid w:val="00C772FD"/>
    <w:rsid w:val="00C83435"/>
    <w:rsid w:val="00C8596F"/>
    <w:rsid w:val="00C909FE"/>
    <w:rsid w:val="00C95868"/>
    <w:rsid w:val="00C9679B"/>
    <w:rsid w:val="00C96C28"/>
    <w:rsid w:val="00CA1CB1"/>
    <w:rsid w:val="00CB26D5"/>
    <w:rsid w:val="00CC1B0F"/>
    <w:rsid w:val="00CD0810"/>
    <w:rsid w:val="00CD238E"/>
    <w:rsid w:val="00CE0762"/>
    <w:rsid w:val="00CE6C1D"/>
    <w:rsid w:val="00CF1BCB"/>
    <w:rsid w:val="00CF2434"/>
    <w:rsid w:val="00CF7625"/>
    <w:rsid w:val="00D006C1"/>
    <w:rsid w:val="00D00F28"/>
    <w:rsid w:val="00D05466"/>
    <w:rsid w:val="00D1082C"/>
    <w:rsid w:val="00D15CDC"/>
    <w:rsid w:val="00D27196"/>
    <w:rsid w:val="00D273C6"/>
    <w:rsid w:val="00D31F63"/>
    <w:rsid w:val="00D40E85"/>
    <w:rsid w:val="00D50F75"/>
    <w:rsid w:val="00D51C14"/>
    <w:rsid w:val="00D54600"/>
    <w:rsid w:val="00D604B3"/>
    <w:rsid w:val="00D62DD3"/>
    <w:rsid w:val="00D636C1"/>
    <w:rsid w:val="00D644B9"/>
    <w:rsid w:val="00D64852"/>
    <w:rsid w:val="00D65C2C"/>
    <w:rsid w:val="00D65EF2"/>
    <w:rsid w:val="00D71A86"/>
    <w:rsid w:val="00D80BC2"/>
    <w:rsid w:val="00D91D5D"/>
    <w:rsid w:val="00DB3A18"/>
    <w:rsid w:val="00DB5508"/>
    <w:rsid w:val="00DB5552"/>
    <w:rsid w:val="00DB7209"/>
    <w:rsid w:val="00DD4453"/>
    <w:rsid w:val="00DD45F3"/>
    <w:rsid w:val="00DE0C01"/>
    <w:rsid w:val="00DE2202"/>
    <w:rsid w:val="00DE5549"/>
    <w:rsid w:val="00E1711B"/>
    <w:rsid w:val="00E206E6"/>
    <w:rsid w:val="00E21B43"/>
    <w:rsid w:val="00E22DA5"/>
    <w:rsid w:val="00E27922"/>
    <w:rsid w:val="00E33CA8"/>
    <w:rsid w:val="00E36AFE"/>
    <w:rsid w:val="00E377B5"/>
    <w:rsid w:val="00E55C4C"/>
    <w:rsid w:val="00E66E20"/>
    <w:rsid w:val="00E7596B"/>
    <w:rsid w:val="00E834AD"/>
    <w:rsid w:val="00E83733"/>
    <w:rsid w:val="00E90BD4"/>
    <w:rsid w:val="00E97471"/>
    <w:rsid w:val="00EA60C7"/>
    <w:rsid w:val="00EB1910"/>
    <w:rsid w:val="00EB389E"/>
    <w:rsid w:val="00EB4CBB"/>
    <w:rsid w:val="00EC0B07"/>
    <w:rsid w:val="00EC3F04"/>
    <w:rsid w:val="00EC6F78"/>
    <w:rsid w:val="00ED1EE4"/>
    <w:rsid w:val="00EE3914"/>
    <w:rsid w:val="00EE3BB4"/>
    <w:rsid w:val="00EE3C6C"/>
    <w:rsid w:val="00EF3886"/>
    <w:rsid w:val="00EF47D7"/>
    <w:rsid w:val="00F03521"/>
    <w:rsid w:val="00F17015"/>
    <w:rsid w:val="00F30F68"/>
    <w:rsid w:val="00F31D49"/>
    <w:rsid w:val="00F44343"/>
    <w:rsid w:val="00F46260"/>
    <w:rsid w:val="00F532A2"/>
    <w:rsid w:val="00F56853"/>
    <w:rsid w:val="00F6371F"/>
    <w:rsid w:val="00F66E7B"/>
    <w:rsid w:val="00F73DBC"/>
    <w:rsid w:val="00F84FF1"/>
    <w:rsid w:val="00F940D0"/>
    <w:rsid w:val="00F947E9"/>
    <w:rsid w:val="00FB0A43"/>
    <w:rsid w:val="00FD23B9"/>
    <w:rsid w:val="00FD61C2"/>
    <w:rsid w:val="00FE175E"/>
    <w:rsid w:val="00FE35CF"/>
    <w:rsid w:val="00FE53A5"/>
    <w:rsid w:val="00FE734E"/>
    <w:rsid w:val="00FE79B4"/>
    <w:rsid w:val="00FE7F68"/>
    <w:rsid w:val="00FF1BAD"/>
    <w:rsid w:val="00FF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D0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/>
      <w:u w:val="single"/>
    </w:rPr>
  </w:style>
  <w:style w:type="table" w:customStyle="1" w:styleId="ae">
    <w:name w:val="Light Shading"/>
    <w:basedOn w:val="a2"/>
    <w:uiPriority w:val="60"/>
    <w:rsid w:val="000A210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="Times New Roman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="Times New Roman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rPr>
      <w:rFonts w:eastAsia="Times New Roman"/>
      <w:lang w:val="en-GB" w:eastAsia="zh-C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="Calibri" w:hAnsi="Calibr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="Times New Roman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="Calibri" w:eastAsia="Times New Roman" w:hAnsi="Calibri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="Calibri" w:eastAsia="Times New Roman" w:hAnsi="Calibri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="Calibri" w:eastAsia="Times New Roman" w:hAnsi="Calibri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="Times New Roman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="Times New Roman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D31F63"/>
    <w:pPr>
      <w:spacing w:after="0" w:line="240" w:lineRule="auto"/>
      <w:jc w:val="left"/>
    </w:pPr>
    <w:rPr>
      <w:rFonts w:ascii="Consolas" w:eastAsia="Times New Roman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31F63"/>
    <w:rPr>
      <w:rFonts w:ascii="Consolas" w:eastAsia="Times New Roman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rPr>
      <w:rFonts w:eastAsia="Times New Roman"/>
      <w:lang w:val="en-GB"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 Spacing"/>
    <w:uiPriority w:val="1"/>
    <w:qFormat/>
    <w:rsid w:val="009558D8"/>
    <w:pPr>
      <w:jc w:val="both"/>
    </w:pPr>
    <w:rPr>
      <w:rFonts w:ascii="Times New Roman" w:hAnsi="Times New Roman"/>
      <w:sz w:val="24"/>
      <w:szCs w:val="22"/>
      <w:lang w:eastAsia="en-US"/>
    </w:rPr>
  </w:style>
  <w:style w:type="table" w:customStyle="1" w:styleId="11">
    <w:name w:val="Сетка таблицы1"/>
    <w:basedOn w:val="a2"/>
    <w:next w:val="ab"/>
    <w:uiPriority w:val="59"/>
    <w:rsid w:val="00F03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b"/>
    <w:uiPriority w:val="59"/>
    <w:rsid w:val="007C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b"/>
    <w:uiPriority w:val="59"/>
    <w:rsid w:val="00EF4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b"/>
    <w:uiPriority w:val="59"/>
    <w:rsid w:val="0011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A7053F"/>
    <w:rPr>
      <w:rFonts w:ascii="Calibri" w:hAnsi="Calibri" w:cs="Calibri" w:hint="default"/>
      <w:b w:val="0"/>
      <w:bCs w:val="0"/>
      <w:i w:val="0"/>
      <w:iCs w:val="0"/>
      <w:color w:val="4A4A4A"/>
      <w:sz w:val="20"/>
      <w:szCs w:val="20"/>
    </w:rPr>
  </w:style>
  <w:style w:type="character" w:customStyle="1" w:styleId="tlid-translation">
    <w:name w:val="tlid-translation"/>
    <w:basedOn w:val="a1"/>
    <w:rsid w:val="00935B97"/>
  </w:style>
  <w:style w:type="character" w:customStyle="1" w:styleId="gt-baf-cell">
    <w:name w:val="gt-baf-cell"/>
    <w:basedOn w:val="a1"/>
    <w:rsid w:val="006C10F0"/>
  </w:style>
  <w:style w:type="table" w:customStyle="1" w:styleId="1-1">
    <w:name w:val="Medium Shading 1 Accent 1"/>
    <w:basedOn w:val="a2"/>
    <w:uiPriority w:val="63"/>
    <w:rsid w:val="00AF3B1B"/>
    <w:rPr>
      <w:rFonts w:eastAsia="Times New Roman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">
    <w:name w:val="Сетка таблицы5"/>
    <w:basedOn w:val="a2"/>
    <w:next w:val="ab"/>
    <w:uiPriority w:val="59"/>
    <w:rsid w:val="004F3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fccc.int/process-andmeetings/transparency-and-reporting/reporting-and-review-under-the-convention/greenhousegas-inventories-annex-i-parties/reporting-require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pccnggip.iges.or.jp/public/gl/invs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CF9F-1C2F-4F77-95AD-06EC90C1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8624</CharactersWithSpaces>
  <SharedDoc>false</SharedDoc>
  <HLinks>
    <vt:vector size="12" baseType="variant"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https://www.ipccnggip.iges.or.jp/public/gl/invs1.html</vt:lpwstr>
      </vt:variant>
      <vt:variant>
        <vt:lpwstr/>
      </vt:variant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https://unfccc.int/process-andmeetings/transparency-and-reporting/reporting-and-review-under-the-convention/greenhousegas-inventories-annex-i-parties/reporting-requirements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a.abraeva</cp:lastModifiedBy>
  <cp:revision>2</cp:revision>
  <dcterms:created xsi:type="dcterms:W3CDTF">2023-02-02T04:38:00Z</dcterms:created>
  <dcterms:modified xsi:type="dcterms:W3CDTF">2023-02-02T04:38:00Z</dcterms:modified>
</cp:coreProperties>
</file>